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14"/>
        <w:spacing w:after="0"/>
        <w:rPr>
          <w:sz w:val="20"/>
          <w:szCs w:val="20"/>
          <w:color w:val="auto"/>
        </w:rPr>
      </w:pPr>
      <w:r>
        <w:rPr>
          <w:rFonts w:ascii="Courier New" w:cs="Courier New" w:eastAsia="Courier New" w:hAnsi="Courier New"/>
          <w:sz w:val="15"/>
          <w:szCs w:val="15"/>
          <w:color w:val="auto"/>
        </w:rPr>
        <w:t>SCHEDULE 14A INFORMATION</w:t>
      </w:r>
    </w:p>
    <w:p>
      <w:pPr>
        <w:spacing w:after="0" w:line="185" w:lineRule="exact"/>
        <w:rPr>
          <w:sz w:val="24"/>
          <w:szCs w:val="24"/>
          <w:color w:val="auto"/>
        </w:rPr>
      </w:pPr>
    </w:p>
    <w:p>
      <w:pPr>
        <w:jc w:val="center"/>
        <w:ind w:right="2934"/>
        <w:spacing w:after="0"/>
        <w:rPr>
          <w:sz w:val="20"/>
          <w:szCs w:val="20"/>
          <w:color w:val="auto"/>
        </w:rPr>
      </w:pPr>
      <w:r>
        <w:rPr>
          <w:rFonts w:ascii="Courier New" w:cs="Courier New" w:eastAsia="Courier New" w:hAnsi="Courier New"/>
          <w:sz w:val="15"/>
          <w:szCs w:val="15"/>
          <w:color w:val="auto"/>
        </w:rPr>
        <w:t>Proxy Statement Pursuant to Section 14(a) of the Securities</w:t>
      </w:r>
    </w:p>
    <w:p>
      <w:pPr>
        <w:spacing w:after="0" w:line="8" w:lineRule="exact"/>
        <w:rPr>
          <w:sz w:val="24"/>
          <w:szCs w:val="24"/>
          <w:color w:val="auto"/>
        </w:rPr>
      </w:pPr>
    </w:p>
    <w:p>
      <w:pPr>
        <w:jc w:val="center"/>
        <w:ind w:right="3034"/>
        <w:spacing w:after="0"/>
        <w:tabs>
          <w:tab w:leader="none" w:pos="180" w:val="left"/>
        </w:tabs>
        <w:rPr>
          <w:sz w:val="20"/>
          <w:szCs w:val="20"/>
          <w:color w:val="auto"/>
        </w:rPr>
      </w:pPr>
      <w:r>
        <w:rPr>
          <w:rFonts w:ascii="Courier New" w:cs="Courier New" w:eastAsia="Courier New" w:hAnsi="Courier New"/>
          <w:sz w:val="15"/>
          <w:szCs w:val="15"/>
          <w:color w:val="auto"/>
        </w:rPr>
        <w:t>Exchange Act of 1934 (Amendment No.</w:t>
      </w:r>
      <w:r>
        <w:rPr>
          <w:sz w:val="20"/>
          <w:szCs w:val="20"/>
          <w:color w:val="auto"/>
        </w:rPr>
        <w:tab/>
      </w:r>
      <w:r>
        <w:rPr>
          <w:rFonts w:ascii="Courier New" w:cs="Courier New" w:eastAsia="Courier New" w:hAnsi="Courier New"/>
          <w:sz w:val="13"/>
          <w:szCs w:val="13"/>
          <w:color w:val="auto"/>
        </w:rPr>
        <w:t>)</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Filed by the Registrant [X]</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Filed by a Party other than the Registrant [_]</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Check the appropriate box:</w:t>
      </w:r>
    </w:p>
    <w:p>
      <w:pPr>
        <w:spacing w:after="0" w:line="185" w:lineRule="exact"/>
        <w:rPr>
          <w:sz w:val="24"/>
          <w:szCs w:val="24"/>
          <w:color w:val="auto"/>
        </w:rPr>
      </w:pPr>
    </w:p>
    <w:tbl>
      <w:tblPr>
        <w:tblLayout w:type="fixed"/>
        <w:tblInd w:w="5" w:type="dxa"/>
        <w:tblCellMar>
          <w:top w:w="0" w:type="dxa"/>
          <w:left w:w="0" w:type="dxa"/>
          <w:bottom w:w="0" w:type="dxa"/>
          <w:right w:w="0" w:type="dxa"/>
        </w:tblCellMar>
      </w:tblPr>
      <w:tr>
        <w:trPr>
          <w:trHeight w:val="172"/>
        </w:trPr>
        <w:tc>
          <w:tcPr>
            <w:tcW w:w="360" w:type="dxa"/>
            <w:vAlign w:val="bottom"/>
          </w:tcPr>
          <w:p>
            <w:pPr>
              <w:spacing w:after="0"/>
              <w:rPr>
                <w:sz w:val="20"/>
                <w:szCs w:val="20"/>
                <w:color w:val="auto"/>
              </w:rPr>
            </w:pPr>
            <w:r>
              <w:rPr>
                <w:rFonts w:ascii="Courier New" w:cs="Courier New" w:eastAsia="Courier New" w:hAnsi="Courier New"/>
                <w:sz w:val="15"/>
                <w:szCs w:val="15"/>
                <w:color w:val="auto"/>
              </w:rPr>
              <w:t>[X]</w:t>
            </w:r>
          </w:p>
        </w:tc>
        <w:tc>
          <w:tcPr>
            <w:tcW w:w="3140" w:type="dxa"/>
            <w:vAlign w:val="bottom"/>
          </w:tcPr>
          <w:p>
            <w:pPr>
              <w:ind w:left="100"/>
              <w:spacing w:after="0"/>
              <w:rPr>
                <w:sz w:val="20"/>
                <w:szCs w:val="20"/>
                <w:color w:val="auto"/>
              </w:rPr>
            </w:pPr>
            <w:r>
              <w:rPr>
                <w:rFonts w:ascii="Courier New" w:cs="Courier New" w:eastAsia="Courier New" w:hAnsi="Courier New"/>
                <w:sz w:val="15"/>
                <w:szCs w:val="15"/>
                <w:color w:val="auto"/>
              </w:rPr>
              <w:t>Preliminary Proxy Statement</w:t>
            </w:r>
          </w:p>
        </w:tc>
        <w:tc>
          <w:tcPr>
            <w:tcW w:w="6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[_]</w:t>
            </w:r>
          </w:p>
        </w:tc>
        <w:tc>
          <w:tcPr>
            <w:tcW w:w="3280" w:type="dxa"/>
            <w:vAlign w:val="bottom"/>
          </w:tcPr>
          <w:p>
            <w:pPr>
              <w:ind w:left="40"/>
              <w:spacing w:after="0"/>
              <w:rPr>
                <w:sz w:val="20"/>
                <w:szCs w:val="20"/>
                <w:color w:val="auto"/>
              </w:rPr>
            </w:pPr>
            <w:r>
              <w:rPr>
                <w:rFonts w:ascii="Courier New" w:cs="Courier New" w:eastAsia="Courier New" w:hAnsi="Courier New"/>
                <w:sz w:val="15"/>
                <w:szCs w:val="15"/>
                <w:color w:val="auto"/>
              </w:rPr>
              <w:t>Confidential, for Use of the</w:t>
            </w:r>
          </w:p>
        </w:tc>
      </w:tr>
      <w:tr>
        <w:trPr>
          <w:trHeight w:val="177"/>
        </w:trPr>
        <w:tc>
          <w:tcPr>
            <w:tcW w:w="3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80" w:type="dxa"/>
            <w:vAlign w:val="bottom"/>
          </w:tcPr>
          <w:p>
            <w:pPr>
              <w:ind w:left="40"/>
              <w:spacing w:after="0"/>
              <w:rPr>
                <w:sz w:val="20"/>
                <w:szCs w:val="20"/>
                <w:color w:val="auto"/>
              </w:rPr>
            </w:pPr>
            <w:r>
              <w:rPr>
                <w:rFonts w:ascii="Courier New" w:cs="Courier New" w:eastAsia="Courier New" w:hAnsi="Courier New"/>
                <w:sz w:val="15"/>
                <w:szCs w:val="15"/>
                <w:color w:val="auto"/>
              </w:rPr>
              <w:t>Commission Only (as permitted by</w:t>
            </w:r>
          </w:p>
        </w:tc>
      </w:tr>
      <w:tr>
        <w:trPr>
          <w:trHeight w:val="177"/>
        </w:trPr>
        <w:tc>
          <w:tcPr>
            <w:tcW w:w="3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80" w:type="dxa"/>
            <w:vAlign w:val="bottom"/>
          </w:tcPr>
          <w:p>
            <w:pPr>
              <w:ind w:left="40"/>
              <w:spacing w:after="0"/>
              <w:rPr>
                <w:sz w:val="20"/>
                <w:szCs w:val="20"/>
                <w:color w:val="auto"/>
              </w:rPr>
            </w:pPr>
            <w:r>
              <w:rPr>
                <w:rFonts w:ascii="Courier New" w:cs="Courier New" w:eastAsia="Courier New" w:hAnsi="Courier New"/>
                <w:sz w:val="15"/>
                <w:szCs w:val="15"/>
                <w:color w:val="auto"/>
              </w:rPr>
              <w:t>Rule 14a-6(e)(2))</w:t>
            </w:r>
          </w:p>
        </w:tc>
      </w:tr>
      <w:tr>
        <w:trPr>
          <w:trHeight w:val="177"/>
        </w:trPr>
        <w:tc>
          <w:tcPr>
            <w:tcW w:w="360" w:type="dxa"/>
            <w:vAlign w:val="bottom"/>
          </w:tcPr>
          <w:p>
            <w:pPr>
              <w:spacing w:after="0"/>
              <w:rPr>
                <w:sz w:val="20"/>
                <w:szCs w:val="20"/>
                <w:color w:val="auto"/>
              </w:rPr>
            </w:pPr>
            <w:r>
              <w:rPr>
                <w:rFonts w:ascii="Courier New" w:cs="Courier New" w:eastAsia="Courier New" w:hAnsi="Courier New"/>
                <w:sz w:val="15"/>
                <w:szCs w:val="15"/>
                <w:color w:val="auto"/>
              </w:rPr>
              <w:t>[_]</w:t>
            </w:r>
          </w:p>
        </w:tc>
        <w:tc>
          <w:tcPr>
            <w:tcW w:w="3140" w:type="dxa"/>
            <w:vAlign w:val="bottom"/>
          </w:tcPr>
          <w:p>
            <w:pPr>
              <w:ind w:left="100"/>
              <w:spacing w:after="0"/>
              <w:rPr>
                <w:sz w:val="20"/>
                <w:szCs w:val="20"/>
                <w:color w:val="auto"/>
              </w:rPr>
            </w:pPr>
            <w:r>
              <w:rPr>
                <w:rFonts w:ascii="Courier New" w:cs="Courier New" w:eastAsia="Courier New" w:hAnsi="Courier New"/>
                <w:sz w:val="15"/>
                <w:szCs w:val="15"/>
                <w:color w:val="auto"/>
              </w:rPr>
              <w:t>Definitive Proxy Statement</w:t>
            </w:r>
          </w:p>
        </w:tc>
        <w:tc>
          <w:tcPr>
            <w:tcW w:w="600" w:type="dxa"/>
            <w:vAlign w:val="bottom"/>
          </w:tcPr>
          <w:p>
            <w:pPr>
              <w:spacing w:after="0"/>
              <w:rPr>
                <w:sz w:val="15"/>
                <w:szCs w:val="15"/>
                <w:color w:val="auto"/>
              </w:rPr>
            </w:pPr>
          </w:p>
        </w:tc>
        <w:tc>
          <w:tcPr>
            <w:tcW w:w="3280" w:type="dxa"/>
            <w:vAlign w:val="bottom"/>
          </w:tcPr>
          <w:p>
            <w:pPr>
              <w:spacing w:after="0"/>
              <w:rPr>
                <w:sz w:val="15"/>
                <w:szCs w:val="15"/>
                <w:color w:val="auto"/>
              </w:rPr>
            </w:pPr>
          </w:p>
        </w:tc>
      </w:tr>
      <w:tr>
        <w:trPr>
          <w:trHeight w:val="355"/>
        </w:trPr>
        <w:tc>
          <w:tcPr>
            <w:tcW w:w="360" w:type="dxa"/>
            <w:vAlign w:val="bottom"/>
          </w:tcPr>
          <w:p>
            <w:pPr>
              <w:spacing w:after="0"/>
              <w:rPr>
                <w:sz w:val="20"/>
                <w:szCs w:val="20"/>
                <w:color w:val="auto"/>
              </w:rPr>
            </w:pPr>
            <w:r>
              <w:rPr>
                <w:rFonts w:ascii="Courier New" w:cs="Courier New" w:eastAsia="Courier New" w:hAnsi="Courier New"/>
                <w:sz w:val="15"/>
                <w:szCs w:val="15"/>
                <w:color w:val="auto"/>
              </w:rPr>
              <w:t>[_]</w:t>
            </w:r>
          </w:p>
        </w:tc>
        <w:tc>
          <w:tcPr>
            <w:tcW w:w="3140" w:type="dxa"/>
            <w:vAlign w:val="bottom"/>
          </w:tcPr>
          <w:p>
            <w:pPr>
              <w:ind w:left="100"/>
              <w:spacing w:after="0"/>
              <w:rPr>
                <w:sz w:val="20"/>
                <w:szCs w:val="20"/>
                <w:color w:val="auto"/>
              </w:rPr>
            </w:pPr>
            <w:r>
              <w:rPr>
                <w:rFonts w:ascii="Courier New" w:cs="Courier New" w:eastAsia="Courier New" w:hAnsi="Courier New"/>
                <w:sz w:val="15"/>
                <w:szCs w:val="15"/>
                <w:color w:val="auto"/>
              </w:rPr>
              <w:t>Definitive Additional Materials</w:t>
            </w:r>
          </w:p>
        </w:tc>
        <w:tc>
          <w:tcPr>
            <w:tcW w:w="60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355"/>
        </w:trPr>
        <w:tc>
          <w:tcPr>
            <w:tcW w:w="360" w:type="dxa"/>
            <w:vAlign w:val="bottom"/>
          </w:tcPr>
          <w:p>
            <w:pPr>
              <w:spacing w:after="0"/>
              <w:rPr>
                <w:sz w:val="20"/>
                <w:szCs w:val="20"/>
                <w:color w:val="auto"/>
              </w:rPr>
            </w:pPr>
            <w:r>
              <w:rPr>
                <w:rFonts w:ascii="Courier New" w:cs="Courier New" w:eastAsia="Courier New" w:hAnsi="Courier New"/>
                <w:sz w:val="15"/>
                <w:szCs w:val="15"/>
                <w:color w:val="auto"/>
              </w:rPr>
              <w:t>[_]</w:t>
            </w:r>
          </w:p>
        </w:tc>
        <w:tc>
          <w:tcPr>
            <w:tcW w:w="37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Soliciting Material Pursuant to Section</w:t>
            </w:r>
          </w:p>
        </w:tc>
        <w:tc>
          <w:tcPr>
            <w:tcW w:w="3280" w:type="dxa"/>
            <w:vAlign w:val="bottom"/>
          </w:tcPr>
          <w:p>
            <w:pPr>
              <w:ind w:left="40"/>
              <w:spacing w:after="0"/>
              <w:rPr>
                <w:sz w:val="20"/>
                <w:szCs w:val="20"/>
                <w:color w:val="auto"/>
              </w:rPr>
            </w:pPr>
            <w:r>
              <w:rPr>
                <w:rFonts w:ascii="Courier New" w:cs="Courier New" w:eastAsia="Courier New" w:hAnsi="Courier New"/>
                <w:sz w:val="15"/>
                <w:szCs w:val="15"/>
                <w:color w:val="auto"/>
              </w:rPr>
              <w:t>240.14a-11(c) or Section 240.14a-12</w:t>
            </w:r>
          </w:p>
        </w:tc>
      </w:tr>
    </w:tbl>
    <w:p>
      <w:pPr>
        <w:spacing w:after="0" w:line="183" w:lineRule="exact"/>
        <w:rPr>
          <w:sz w:val="24"/>
          <w:szCs w:val="24"/>
          <w:color w:val="auto"/>
        </w:rPr>
      </w:pPr>
    </w:p>
    <w:p>
      <w:pPr>
        <w:ind w:left="2685"/>
        <w:spacing w:after="0"/>
        <w:rPr>
          <w:sz w:val="20"/>
          <w:szCs w:val="20"/>
          <w:color w:val="auto"/>
        </w:rPr>
      </w:pPr>
      <w:r>
        <w:rPr>
          <w:rFonts w:ascii="Courier New" w:cs="Courier New" w:eastAsia="Courier New" w:hAnsi="Courier New"/>
          <w:sz w:val="15"/>
          <w:szCs w:val="15"/>
          <w:color w:val="auto"/>
        </w:rPr>
        <w:t>Schlumberger Limited</w:t>
      </w:r>
    </w:p>
    <w:p>
      <w:pPr>
        <w:spacing w:after="0" w:line="8" w:lineRule="exact"/>
        <w:rPr>
          <w:sz w:val="24"/>
          <w:szCs w:val="24"/>
          <w:color w:val="auto"/>
        </w:rPr>
      </w:pPr>
    </w:p>
    <w:p>
      <w:pPr>
        <w:ind w:left="185" w:hanging="185"/>
        <w:spacing w:after="0"/>
        <w:tabs>
          <w:tab w:leader="none" w:pos="18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3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Registrant as Specified In Its Charter)</w:t>
      </w:r>
    </w:p>
    <w:p>
      <w:pPr>
        <w:spacing w:after="0" w:line="362"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2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Person(s) Filing Proxy Statement, if other than the Registrant)</w:t>
      </w:r>
    </w:p>
    <w:p>
      <w:pPr>
        <w:spacing w:after="0" w:line="362"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85" w:lineRule="exact"/>
        <w:rPr>
          <w:sz w:val="24"/>
          <w:szCs w:val="24"/>
          <w:color w:val="auto"/>
        </w:rPr>
      </w:pPr>
    </w:p>
    <w:p>
      <w:pPr>
        <w:ind w:left="465" w:hanging="465"/>
        <w:spacing w:after="0"/>
        <w:tabs>
          <w:tab w:leader="none" w:pos="46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fee required.</w:t>
      </w:r>
    </w:p>
    <w:p>
      <w:pPr>
        <w:spacing w:after="0" w:line="185" w:lineRule="exact"/>
        <w:rPr>
          <w:sz w:val="24"/>
          <w:szCs w:val="24"/>
          <w:color w:val="auto"/>
        </w:rPr>
      </w:pPr>
    </w:p>
    <w:p>
      <w:pPr>
        <w:ind w:left="5"/>
        <w:spacing w:after="0"/>
        <w:tabs>
          <w:tab w:leader="none" w:pos="445" w:val="left"/>
        </w:tabs>
        <w:rPr>
          <w:sz w:val="20"/>
          <w:szCs w:val="20"/>
          <w:color w:val="auto"/>
        </w:rPr>
      </w:pPr>
      <w:r>
        <w:rPr>
          <w:rFonts w:ascii="Courier New" w:cs="Courier New" w:eastAsia="Courier New" w:hAnsi="Courier New"/>
          <w:sz w:val="15"/>
          <w:szCs w:val="15"/>
          <w:color w:val="auto"/>
        </w:rPr>
        <w:t>[_]</w:t>
        <w:tab/>
        <w:t>Fee computed on table below per Exchange Act Rules 14a-6(i)(4) and 0-11.</w:t>
      </w:r>
    </w:p>
    <w:p>
      <w:pPr>
        <w:spacing w:after="0" w:line="362" w:lineRule="exact"/>
        <w:rPr>
          <w:sz w:val="24"/>
          <w:szCs w:val="24"/>
          <w:color w:val="auto"/>
        </w:rPr>
      </w:pPr>
    </w:p>
    <w:p>
      <w:pPr>
        <w:ind w:left="825" w:hanging="364"/>
        <w:spacing w:after="0"/>
        <w:tabs>
          <w:tab w:leader="none" w:pos="82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84" w:lineRule="exact"/>
        <w:rPr>
          <w:rFonts w:ascii="Courier New" w:cs="Courier New" w:eastAsia="Courier New" w:hAnsi="Courier New"/>
          <w:sz w:val="15"/>
          <w:szCs w:val="15"/>
          <w:color w:val="auto"/>
        </w:rPr>
      </w:pPr>
    </w:p>
    <w:p>
      <w:pPr>
        <w:ind w:left="4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62" w:lineRule="exact"/>
        <w:rPr>
          <w:rFonts w:ascii="Courier New" w:cs="Courier New" w:eastAsia="Courier New" w:hAnsi="Courier New"/>
          <w:sz w:val="15"/>
          <w:szCs w:val="15"/>
          <w:color w:val="auto"/>
        </w:rPr>
      </w:pPr>
    </w:p>
    <w:p>
      <w:pPr>
        <w:ind w:left="825" w:hanging="364"/>
        <w:spacing w:after="0"/>
        <w:tabs>
          <w:tab w:leader="none" w:pos="82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84" w:lineRule="exact"/>
        <w:rPr>
          <w:rFonts w:ascii="Courier New" w:cs="Courier New" w:eastAsia="Courier New" w:hAnsi="Courier New"/>
          <w:sz w:val="15"/>
          <w:szCs w:val="15"/>
          <w:color w:val="auto"/>
        </w:rPr>
      </w:pPr>
    </w:p>
    <w:p>
      <w:pPr>
        <w:ind w:left="4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62" w:lineRule="exact"/>
        <w:rPr>
          <w:rFonts w:ascii="Courier New" w:cs="Courier New" w:eastAsia="Courier New" w:hAnsi="Courier New"/>
          <w:sz w:val="15"/>
          <w:szCs w:val="15"/>
          <w:color w:val="auto"/>
        </w:rPr>
      </w:pPr>
    </w:p>
    <w:p>
      <w:pPr>
        <w:ind w:left="825" w:right="3399" w:hanging="364"/>
        <w:spacing w:after="0" w:line="252" w:lineRule="auto"/>
        <w:tabs>
          <w:tab w:leader="none" w:pos="82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75" w:lineRule="exact"/>
        <w:rPr>
          <w:sz w:val="24"/>
          <w:szCs w:val="24"/>
          <w:color w:val="auto"/>
        </w:rPr>
      </w:pPr>
    </w:p>
    <w:p>
      <w:pPr>
        <w:ind w:left="465"/>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4"/>
          <w:szCs w:val="24"/>
          <w:color w:val="auto"/>
        </w:rPr>
      </w:pPr>
    </w:p>
    <w:p>
      <w:pPr>
        <w:ind w:left="825" w:hanging="364"/>
        <w:spacing w:after="0"/>
        <w:tabs>
          <w:tab w:leader="none" w:pos="82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84" w:lineRule="exact"/>
        <w:rPr>
          <w:rFonts w:ascii="Courier New" w:cs="Courier New" w:eastAsia="Courier New" w:hAnsi="Courier New"/>
          <w:sz w:val="15"/>
          <w:szCs w:val="15"/>
          <w:color w:val="auto"/>
        </w:rPr>
      </w:pPr>
    </w:p>
    <w:p>
      <w:pPr>
        <w:ind w:left="4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62" w:lineRule="exact"/>
        <w:rPr>
          <w:rFonts w:ascii="Courier New" w:cs="Courier New" w:eastAsia="Courier New" w:hAnsi="Courier New"/>
          <w:sz w:val="15"/>
          <w:szCs w:val="15"/>
          <w:color w:val="auto"/>
        </w:rPr>
      </w:pPr>
    </w:p>
    <w:p>
      <w:pPr>
        <w:ind w:left="825" w:hanging="364"/>
        <w:spacing w:after="0"/>
        <w:tabs>
          <w:tab w:leader="none" w:pos="82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84" w:lineRule="exact"/>
        <w:rPr>
          <w:rFonts w:ascii="Courier New" w:cs="Courier New" w:eastAsia="Courier New" w:hAnsi="Courier New"/>
          <w:sz w:val="15"/>
          <w:szCs w:val="15"/>
          <w:color w:val="auto"/>
        </w:rPr>
      </w:pPr>
    </w:p>
    <w:p>
      <w:pPr>
        <w:ind w:left="4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ind w:left="5"/>
        <w:spacing w:after="0"/>
        <w:tabs>
          <w:tab w:leader="none" w:pos="445" w:val="left"/>
        </w:tabs>
        <w:rPr>
          <w:sz w:val="20"/>
          <w:szCs w:val="20"/>
          <w:color w:val="auto"/>
        </w:rPr>
      </w:pPr>
      <w:r>
        <w:rPr>
          <w:rFonts w:ascii="Courier New" w:cs="Courier New" w:eastAsia="Courier New" w:hAnsi="Courier New"/>
          <w:sz w:val="15"/>
          <w:szCs w:val="15"/>
          <w:color w:val="auto"/>
        </w:rPr>
        <w:t>[_]</w:t>
        <w:tab/>
        <w:t>Fee paid previously with preliminary materials.</w:t>
      </w:r>
    </w:p>
    <w:p>
      <w:pPr>
        <w:spacing w:after="0" w:line="185" w:lineRule="exact"/>
        <w:rPr>
          <w:sz w:val="24"/>
          <w:szCs w:val="24"/>
          <w:color w:val="auto"/>
        </w:rPr>
      </w:pPr>
    </w:p>
    <w:p>
      <w:pPr>
        <w:ind w:left="5"/>
        <w:spacing w:after="0"/>
        <w:tabs>
          <w:tab w:leader="none" w:pos="445" w:val="left"/>
        </w:tabs>
        <w:rPr>
          <w:sz w:val="20"/>
          <w:szCs w:val="20"/>
          <w:color w:val="auto"/>
        </w:rPr>
      </w:pPr>
      <w:r>
        <w:rPr>
          <w:rFonts w:ascii="Courier New" w:cs="Courier New" w:eastAsia="Courier New" w:hAnsi="Courier New"/>
          <w:sz w:val="15"/>
          <w:szCs w:val="15"/>
          <w:color w:val="auto"/>
        </w:rPr>
        <w:t>[_]</w:t>
        <w:tab/>
        <w:t>Check box if any part of the fee is offset as provided by Exchange</w:t>
      </w:r>
    </w:p>
    <w:p>
      <w:pPr>
        <w:spacing w:after="0" w:line="8" w:lineRule="exact"/>
        <w:rPr>
          <w:sz w:val="24"/>
          <w:szCs w:val="24"/>
          <w:color w:val="auto"/>
        </w:rPr>
      </w:pPr>
    </w:p>
    <w:p>
      <w:pPr>
        <w:ind w:left="465" w:right="2839"/>
        <w:spacing w:after="0" w:line="252" w:lineRule="auto"/>
        <w:rPr>
          <w:sz w:val="20"/>
          <w:szCs w:val="20"/>
          <w:color w:val="auto"/>
        </w:rPr>
      </w:pPr>
      <w:r>
        <w:rPr>
          <w:rFonts w:ascii="Courier New" w:cs="Courier New" w:eastAsia="Courier New" w:hAnsi="Courier New"/>
          <w:sz w:val="15"/>
          <w:szCs w:val="15"/>
          <w:color w:val="auto"/>
        </w:rPr>
        <w:t>Act Rule 0-11(a)(2) and identify the filing for which the offsetting fee was paid previously. Identify the previous filing by registration statement number, or the Form or Schedule and the date of its filing.</w:t>
      </w:r>
    </w:p>
    <w:p>
      <w:pPr>
        <w:spacing w:after="0" w:line="175" w:lineRule="exact"/>
        <w:rPr>
          <w:sz w:val="24"/>
          <w:szCs w:val="24"/>
          <w:color w:val="auto"/>
        </w:rPr>
      </w:pPr>
    </w:p>
    <w:p>
      <w:pPr>
        <w:ind w:left="825" w:hanging="364"/>
        <w:spacing w:after="0"/>
        <w:tabs>
          <w:tab w:leader="none" w:pos="82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84" w:lineRule="exact"/>
        <w:rPr>
          <w:rFonts w:ascii="Courier New" w:cs="Courier New" w:eastAsia="Courier New" w:hAnsi="Courier New"/>
          <w:sz w:val="15"/>
          <w:szCs w:val="15"/>
          <w:color w:val="auto"/>
        </w:rPr>
      </w:pPr>
    </w:p>
    <w:p>
      <w:pPr>
        <w:ind w:left="4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62" w:lineRule="exact"/>
        <w:rPr>
          <w:rFonts w:ascii="Courier New" w:cs="Courier New" w:eastAsia="Courier New" w:hAnsi="Courier New"/>
          <w:sz w:val="15"/>
          <w:szCs w:val="15"/>
          <w:color w:val="auto"/>
        </w:rPr>
      </w:pPr>
    </w:p>
    <w:p>
      <w:pPr>
        <w:ind w:left="825" w:hanging="364"/>
        <w:spacing w:after="0"/>
        <w:tabs>
          <w:tab w:leader="none" w:pos="82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84" w:lineRule="exact"/>
        <w:rPr>
          <w:rFonts w:ascii="Courier New" w:cs="Courier New" w:eastAsia="Courier New" w:hAnsi="Courier New"/>
          <w:sz w:val="15"/>
          <w:szCs w:val="15"/>
          <w:color w:val="auto"/>
        </w:rPr>
      </w:pPr>
    </w:p>
    <w:p>
      <w:pPr>
        <w:ind w:left="4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62" w:lineRule="exact"/>
        <w:rPr>
          <w:rFonts w:ascii="Courier New" w:cs="Courier New" w:eastAsia="Courier New" w:hAnsi="Courier New"/>
          <w:sz w:val="15"/>
          <w:szCs w:val="15"/>
          <w:color w:val="auto"/>
        </w:rPr>
      </w:pPr>
    </w:p>
    <w:p>
      <w:pPr>
        <w:ind w:left="825" w:hanging="364"/>
        <w:spacing w:after="0"/>
        <w:tabs>
          <w:tab w:leader="none" w:pos="82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84" w:lineRule="exact"/>
        <w:rPr>
          <w:rFonts w:ascii="Courier New" w:cs="Courier New" w:eastAsia="Courier New" w:hAnsi="Courier New"/>
          <w:sz w:val="15"/>
          <w:szCs w:val="15"/>
          <w:color w:val="auto"/>
        </w:rPr>
      </w:pPr>
    </w:p>
    <w:p>
      <w:pPr>
        <w:ind w:left="4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62" w:lineRule="exact"/>
        <w:rPr>
          <w:rFonts w:ascii="Courier New" w:cs="Courier New" w:eastAsia="Courier New" w:hAnsi="Courier New"/>
          <w:sz w:val="15"/>
          <w:szCs w:val="15"/>
          <w:color w:val="auto"/>
        </w:rPr>
      </w:pPr>
    </w:p>
    <w:p>
      <w:pPr>
        <w:ind w:left="825" w:hanging="364"/>
        <w:spacing w:after="0"/>
        <w:tabs>
          <w:tab w:leader="none" w:pos="82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84" w:lineRule="exact"/>
        <w:rPr>
          <w:rFonts w:ascii="Courier New" w:cs="Courier New" w:eastAsia="Courier New" w:hAnsi="Courier New"/>
          <w:sz w:val="15"/>
          <w:szCs w:val="15"/>
          <w:color w:val="auto"/>
        </w:rPr>
      </w:pPr>
    </w:p>
    <w:p>
      <w:pPr>
        <w:ind w:left="4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5"/>
          </w:cols>
          <w:pgMar w:left="235" w:top="768" w:right="1440" w:bottom="75" w:gutter="0" w:footer="0" w:header="0"/>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Notes:</w:t>
      </w:r>
    </w:p>
    <w:p>
      <w:pPr>
        <w:sectPr>
          <w:pgSz w:w="11900" w:h="16838" w:orient="portrait"/>
          <w:cols w:equalWidth="0" w:num="1">
            <w:col w:w="10219"/>
          </w:cols>
          <w:pgMar w:left="240" w:top="142" w:right="1440" w:bottom="1440" w:gutter="0" w:footer="0" w:header="0"/>
        </w:sectPr>
      </w:pPr>
    </w:p>
    <w:bookmarkStart w:id="2" w:name="page3"/>
    <w:bookmarkEnd w:id="2"/>
    <w:p>
      <w:pPr>
        <w:ind w:left="2860"/>
        <w:spacing w:after="0"/>
        <w:rPr>
          <w:sz w:val="20"/>
          <w:szCs w:val="20"/>
          <w:color w:val="auto"/>
        </w:rPr>
      </w:pPr>
      <w:r>
        <w:rPr>
          <w:rFonts w:ascii="Courier New" w:cs="Courier New" w:eastAsia="Courier New" w:hAnsi="Courier New"/>
          <w:sz w:val="15"/>
          <w:szCs w:val="15"/>
          <w:color w:val="auto"/>
        </w:rPr>
        <w:t>PRELIMINARY COPY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[LOGO] SCHLUMBERGER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Limited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277 Park Avenue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 10172-0266</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42, rue Saint Dominique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75007 Paris, France</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Laan Van Meerdervoort 55,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2517 AG The Hague,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Netherlands</w:t>
      </w:r>
    </w:p>
    <w:p>
      <w:pPr>
        <w:spacing w:after="0" w:line="18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NOTICE OF ANNUAL GENERAL MEETING OF STOCKHOLDERS</w:t>
      </w:r>
    </w:p>
    <w:p>
      <w:pPr>
        <w:spacing w:after="0" w:line="18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TO BE HELD APRIL 9, 1997</w:t>
      </w:r>
    </w:p>
    <w:p>
      <w:pPr>
        <w:spacing w:after="0" w:line="185"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March 7, 1997</w:t>
      </w:r>
    </w:p>
    <w:p>
      <w:pPr>
        <w:spacing w:after="0" w:line="185" w:lineRule="exact"/>
        <w:rPr>
          <w:sz w:val="20"/>
          <w:szCs w:val="20"/>
          <w:color w:val="auto"/>
        </w:rPr>
      </w:pPr>
    </w:p>
    <w:p>
      <w:pPr>
        <w:ind w:right="3399" w:firstLine="185"/>
        <w:spacing w:after="0" w:line="251" w:lineRule="auto"/>
        <w:rPr>
          <w:sz w:val="20"/>
          <w:szCs w:val="20"/>
          <w:color w:val="auto"/>
        </w:rPr>
      </w:pPr>
      <w:r>
        <w:rPr>
          <w:rFonts w:ascii="Courier New" w:cs="Courier New" w:eastAsia="Courier New" w:hAnsi="Courier New"/>
          <w:sz w:val="15"/>
          <w:szCs w:val="15"/>
          <w:color w:val="auto"/>
        </w:rPr>
        <w:t>The Annual General Meeting of Stockholders of Schlumberger Limited (Schlumberger N.V.) will be held at the Avila Beach Hotel, Penstraat 130, Willemstad, Curacao, Netherlands Antilles, on Wednesday, April 9, 1997, at 10:30 o'clock in the morning (Curacao time), for the following purposes:</w:t>
      </w:r>
    </w:p>
    <w:p>
      <w:pPr>
        <w:spacing w:after="0" w:line="176" w:lineRule="exact"/>
        <w:rPr>
          <w:sz w:val="20"/>
          <w:szCs w:val="20"/>
          <w:color w:val="auto"/>
        </w:rPr>
      </w:pPr>
    </w:p>
    <w:p>
      <w:pPr>
        <w:ind w:left="640" w:hanging="276"/>
        <w:spacing w:after="0"/>
        <w:tabs>
          <w:tab w:leader="none" w:pos="6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11 directors.</w:t>
      </w:r>
    </w:p>
    <w:p>
      <w:pPr>
        <w:spacing w:after="0" w:line="184" w:lineRule="exact"/>
        <w:rPr>
          <w:rFonts w:ascii="Courier New" w:cs="Courier New" w:eastAsia="Courier New" w:hAnsi="Courier New"/>
          <w:sz w:val="15"/>
          <w:szCs w:val="15"/>
          <w:color w:val="auto"/>
        </w:rPr>
      </w:pPr>
    </w:p>
    <w:p>
      <w:pPr>
        <w:ind w:left="180" w:right="3119" w:firstLine="184"/>
        <w:spacing w:after="0" w:line="251" w:lineRule="auto"/>
        <w:tabs>
          <w:tab w:leader="none" w:pos="641"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report on the course of business during the year ended December 31, 1996, to approve the Company's Consolidated Balance Sheet as at December 31, 1996, its Consolidated Statement of Income for the year ended December 31, 1996, and the declaration of dividends by the Board of Directors as reflected in the Company's 1996 Annual Report to Stockholders.</w:t>
      </w:r>
    </w:p>
    <w:p>
      <w:pPr>
        <w:spacing w:after="0" w:line="176" w:lineRule="exact"/>
        <w:rPr>
          <w:rFonts w:ascii="Courier New" w:cs="Courier New" w:eastAsia="Courier New" w:hAnsi="Courier New"/>
          <w:sz w:val="15"/>
          <w:szCs w:val="15"/>
          <w:color w:val="auto"/>
        </w:rPr>
      </w:pPr>
    </w:p>
    <w:p>
      <w:pPr>
        <w:ind w:left="180" w:right="3579" w:firstLine="184"/>
        <w:spacing w:after="0" w:line="253" w:lineRule="auto"/>
        <w:tabs>
          <w:tab w:leader="none" w:pos="641"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amend the Deed of Incorporation of the Company to increase the authorized Common Stock from 500,000,000 to 1,000,000,000 shares.</w:t>
      </w:r>
    </w:p>
    <w:p>
      <w:pPr>
        <w:spacing w:after="0" w:line="174" w:lineRule="exact"/>
        <w:rPr>
          <w:rFonts w:ascii="Courier New" w:cs="Courier New" w:eastAsia="Courier New" w:hAnsi="Courier New"/>
          <w:sz w:val="15"/>
          <w:szCs w:val="15"/>
          <w:color w:val="auto"/>
        </w:rPr>
      </w:pPr>
    </w:p>
    <w:p>
      <w:pPr>
        <w:ind w:left="180" w:right="3579" w:firstLine="184"/>
        <w:spacing w:after="0" w:line="253" w:lineRule="auto"/>
        <w:tabs>
          <w:tab w:leader="none" w:pos="641"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the appointment of Price Waterhouse LLP as independent public accountants to audit the accounts of the Company for 1997.</w:t>
      </w:r>
    </w:p>
    <w:p>
      <w:pPr>
        <w:spacing w:after="0" w:line="174" w:lineRule="exact"/>
        <w:rPr>
          <w:sz w:val="20"/>
          <w:szCs w:val="20"/>
          <w:color w:val="auto"/>
        </w:rPr>
      </w:pPr>
    </w:p>
    <w:p>
      <w:pPr>
        <w:ind w:right="3579" w:firstLine="185"/>
        <w:spacing w:after="0" w:line="253" w:lineRule="auto"/>
        <w:rPr>
          <w:sz w:val="20"/>
          <w:szCs w:val="20"/>
          <w:color w:val="auto"/>
        </w:rPr>
      </w:pPr>
      <w:r>
        <w:rPr>
          <w:rFonts w:ascii="Courier New" w:cs="Courier New" w:eastAsia="Courier New" w:hAnsi="Courier New"/>
          <w:sz w:val="15"/>
          <w:szCs w:val="15"/>
          <w:color w:val="auto"/>
        </w:rPr>
        <w:t>Action will also be taken upon such other matters as may come properly before the Meeting.</w:t>
      </w:r>
    </w:p>
    <w:p>
      <w:pPr>
        <w:spacing w:after="0" w:line="174" w:lineRule="exact"/>
        <w:rPr>
          <w:sz w:val="20"/>
          <w:szCs w:val="20"/>
          <w:color w:val="auto"/>
        </w:rPr>
      </w:pPr>
    </w:p>
    <w:p>
      <w:pPr>
        <w:ind w:right="3019" w:firstLine="185"/>
        <w:spacing w:after="0" w:line="252" w:lineRule="auto"/>
        <w:rPr>
          <w:sz w:val="20"/>
          <w:szCs w:val="20"/>
          <w:color w:val="auto"/>
        </w:rPr>
      </w:pPr>
      <w:r>
        <w:rPr>
          <w:rFonts w:ascii="Courier New" w:cs="Courier New" w:eastAsia="Courier New" w:hAnsi="Courier New"/>
          <w:sz w:val="15"/>
          <w:szCs w:val="15"/>
          <w:color w:val="auto"/>
        </w:rPr>
        <w:t>The close of business on February 24, 1997 has been fixed as the record date for the Meeting. All holders of Common Stock of record at that time are entitled to vote at the Meeting.</w:t>
      </w:r>
    </w:p>
    <w:p>
      <w:pPr>
        <w:spacing w:after="0" w:line="175" w:lineRule="exact"/>
        <w:rPr>
          <w:sz w:val="20"/>
          <w:szCs w:val="20"/>
          <w:color w:val="auto"/>
        </w:rPr>
      </w:pPr>
    </w:p>
    <w:p>
      <w:pPr>
        <w:ind w:left="4240"/>
        <w:spacing w:after="0"/>
        <w:rPr>
          <w:sz w:val="20"/>
          <w:szCs w:val="20"/>
          <w:color w:val="auto"/>
        </w:rPr>
      </w:pPr>
      <w:r>
        <w:rPr>
          <w:rFonts w:ascii="Courier New" w:cs="Courier New" w:eastAsia="Courier New" w:hAnsi="Courier New"/>
          <w:sz w:val="15"/>
          <w:szCs w:val="15"/>
          <w:color w:val="auto"/>
        </w:rPr>
        <w:t>By order of the Board of</w:t>
      </w:r>
    </w:p>
    <w:p>
      <w:pPr>
        <w:spacing w:after="0" w:line="8" w:lineRule="exact"/>
        <w:rPr>
          <w:sz w:val="20"/>
          <w:szCs w:val="20"/>
          <w:color w:val="auto"/>
        </w:rPr>
      </w:pPr>
    </w:p>
    <w:p>
      <w:pPr>
        <w:ind w:left="4240"/>
        <w:spacing w:after="0"/>
        <w:rPr>
          <w:sz w:val="20"/>
          <w:szCs w:val="20"/>
          <w:color w:val="auto"/>
        </w:rPr>
      </w:pPr>
      <w:r>
        <w:rPr>
          <w:rFonts w:ascii="Courier New" w:cs="Courier New" w:eastAsia="Courier New" w:hAnsi="Courier New"/>
          <w:sz w:val="15"/>
          <w:szCs w:val="15"/>
          <w:color w:val="auto"/>
        </w:rPr>
        <w:t>Directors,</w:t>
      </w:r>
    </w:p>
    <w:p>
      <w:pPr>
        <w:spacing w:after="0" w:line="185" w:lineRule="exact"/>
        <w:rPr>
          <w:sz w:val="20"/>
          <w:szCs w:val="20"/>
          <w:color w:val="auto"/>
        </w:rPr>
      </w:pPr>
    </w:p>
    <w:p>
      <w:pPr>
        <w:jc w:val="center"/>
        <w:ind w:right="-740"/>
        <w:spacing w:after="0"/>
        <w:rPr>
          <w:sz w:val="20"/>
          <w:szCs w:val="20"/>
          <w:color w:val="auto"/>
        </w:rPr>
      </w:pPr>
      <w:r>
        <w:rPr>
          <w:rFonts w:ascii="Courier New" w:cs="Courier New" w:eastAsia="Courier New" w:hAnsi="Courier New"/>
          <w:sz w:val="15"/>
          <w:szCs w:val="15"/>
          <w:color w:val="auto"/>
        </w:rPr>
        <w:t>DAVID S. BROWNING</w:t>
      </w:r>
    </w:p>
    <w:p>
      <w:pPr>
        <w:spacing w:after="0" w:line="8" w:lineRule="exact"/>
        <w:rPr>
          <w:sz w:val="20"/>
          <w:szCs w:val="20"/>
          <w:color w:val="auto"/>
        </w:rPr>
      </w:pPr>
    </w:p>
    <w:p>
      <w:pPr>
        <w:jc w:val="center"/>
        <w:ind w:right="-740"/>
        <w:spacing w:after="0"/>
        <w:rPr>
          <w:sz w:val="20"/>
          <w:szCs w:val="20"/>
          <w:color w:val="auto"/>
        </w:rPr>
      </w:pPr>
      <w:r>
        <w:rPr>
          <w:rFonts w:ascii="Courier New" w:cs="Courier New" w:eastAsia="Courier New" w:hAnsi="Courier New"/>
          <w:sz w:val="15"/>
          <w:szCs w:val="15"/>
          <w:color w:val="auto"/>
        </w:rPr>
        <w:t>Secretary</w:t>
      </w:r>
    </w:p>
    <w:p>
      <w:pPr>
        <w:sectPr>
          <w:pgSz w:w="11900" w:h="16838" w:orient="portrait"/>
          <w:cols w:equalWidth="0" w:num="1">
            <w:col w:w="10219"/>
          </w:cols>
          <w:pgMar w:left="240" w:top="650" w:right="1440" w:bottom="1440" w:gutter="0" w:footer="0" w:header="0"/>
        </w:sectPr>
      </w:pPr>
    </w:p>
    <w:bookmarkStart w:id="3" w:name="page4"/>
    <w:bookmarkEnd w:id="3"/>
    <w:p>
      <w:pPr>
        <w:ind w:left="2860"/>
        <w:spacing w:after="0"/>
        <w:rPr>
          <w:sz w:val="20"/>
          <w:szCs w:val="20"/>
          <w:color w:val="auto"/>
        </w:rPr>
      </w:pPr>
      <w:r>
        <w:rPr>
          <w:rFonts w:ascii="Courier New" w:cs="Courier New" w:eastAsia="Courier New" w:hAnsi="Courier New"/>
          <w:sz w:val="15"/>
          <w:szCs w:val="15"/>
          <w:color w:val="auto"/>
        </w:rPr>
        <w:t>PRELIMINARY COPY</w:t>
      </w:r>
    </w:p>
    <w:p>
      <w:pPr>
        <w:spacing w:after="0" w:line="185"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PROXY STATEMENT</w:t>
      </w:r>
    </w:p>
    <w:p>
      <w:pPr>
        <w:spacing w:after="0" w:line="185"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March 7, 1997</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This statement is furnished in connection with the solicitation by the Board of Directors of Schlumberger Limited (Schlumberger N.V.) (the "Company") of proxies to be voted at the 1997 Annual General Meeting of Stockholders (the "Meeting"). The approximate mailing date of this Proxy Statement is March 7, 1997. Business at the Meeting is conducted in accordance with the procedures determined by the presiding officer and is generally limited to matters properly brought before the Meeting by or at the direction of the Board of Directors or by a stockholder in accordance with requirements requiring advance notice and disclosure of relevant information.</w:t>
      </w:r>
    </w:p>
    <w:p>
      <w:pPr>
        <w:spacing w:after="0" w:line="17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The Company's 1996 Annual Report to Stockholders (the "Report") has been mailed under separate cover. The Company's Consolidated Balance Sheet as at December 31, 1996, its Consolidated Statement of Income for the year ended December 31, 1996 and the supplemental financial information with respect to dividends included in the Report are incorporated by reference as part of this proxy soliciting material.</w:t>
      </w:r>
    </w:p>
    <w:p>
      <w:pPr>
        <w:spacing w:after="0" w:line="176"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The Company will bear the cost of furnishing proxy material to all stockholders and of soliciting proxies by mail and telephone. D. F. King &amp; Co., Inc. has been retained by the Company to assist in the solicitation of proxies for a fee estimated at $9,500.00, plus reasonable expenses. The Company will reimburse brokerage firms, fiduciaries and custodians for their reasonable expenses in forwarding the solicitation material to the beneficial owners.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PROCEDURE</w:t>
      </w:r>
    </w:p>
    <w:p>
      <w:pPr>
        <w:spacing w:after="0" w:line="185"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Each stockholder of record at the close of business on February 24, 1997 is entitled to one vote for each share registered in such stockholder's name. On that date there were outstanding shares of Common Stock of the Company (excluding shares held in treasury).</w:t>
      </w:r>
    </w:p>
    <w:p>
      <w:pPr>
        <w:spacing w:after="0" w:line="176"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Fifty percent of the outstanding shares, exclusive of shares held in treasury, must be present in person or by proxy to constitute a quorum for the holding of the Meeting. Abstentions and broker non-votes are counted for determining the presence of a quorum but are not counted as votes cast in the tabulation of votes on any matter brought before the Meeting.</w:t>
      </w:r>
    </w:p>
    <w:p>
      <w:pPr>
        <w:spacing w:after="0" w:line="176"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Shares cannot be voted at the Meeting unless the owner of record is present in person or is represented by proxy. The Company is incorporated in the Netherlands Antilles and, as required by the laws thereof and the Company's Deed of Incorporation, meetings of stockholders must be held in Curacao. The enclosed proxy card is a means by which a stockholder may authorize the voting of shares at the Meeting. It may be revoked at any time by written notice to the Secretary of the Company before it is voted. If it is not revoked, the shares represented will be voted in accordance with the proxy.</w:t>
      </w:r>
    </w:p>
    <w:p>
      <w:pPr>
        <w:sectPr>
          <w:pgSz w:w="11900" w:h="16838" w:orient="portrait"/>
          <w:cols w:equalWidth="0" w:num="1">
            <w:col w:w="10219"/>
          </w:cols>
          <w:pgMar w:left="240" w:top="650" w:right="1440" w:bottom="1440" w:gutter="0" w:footer="0" w:header="0"/>
        </w:sectPr>
      </w:pPr>
    </w:p>
    <w:bookmarkStart w:id="4" w:name="page5"/>
    <w:bookmarkEnd w:id="4"/>
    <w:p>
      <w:pPr>
        <w:jc w:val="center"/>
        <w:ind w:right="3019"/>
        <w:spacing w:after="0"/>
        <w:rPr>
          <w:sz w:val="20"/>
          <w:szCs w:val="20"/>
          <w:color w:val="auto"/>
        </w:rPr>
      </w:pPr>
      <w:r>
        <w:rPr>
          <w:rFonts w:ascii="Courier New" w:cs="Courier New" w:eastAsia="Courier New" w:hAnsi="Courier New"/>
          <w:sz w:val="15"/>
          <w:szCs w:val="15"/>
          <w:color w:val="auto"/>
        </w:rPr>
        <w:t>1. ELECTION OF DIRECTORS</w:t>
      </w:r>
    </w:p>
    <w:p>
      <w:pPr>
        <w:spacing w:after="0" w:line="18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It is intended to fix the number of directors at 11 and to elect a Board of 11 directors, each to hold office until the next Annual General Meeting of Stockholders and until a director's successor is elected and qualified or until a director's death, resignation or removal. All of the nominees, except John Deutch and Yoshihiko Wakumoto, are now directors and were previously elected by the stockholders. Mr. Deutch was a director of the Company from May 15, 1987 until 1993 when he resigned to accept a position in the United States Government. Eiji Umene, a director since 1989, has reached retirement age and is not standing for reelection. Unless instructed otherwise, the proxies will be voted for the election of the 11 nominees named below. If any nominee is unable or unwilling to serve, proxies may be voted for another person designated by the Board of Directors. The Board knows of no reason why any nominee will be unable or unwilling to serve, if elected.</w:t>
      </w:r>
    </w:p>
    <w:p>
      <w:pPr>
        <w:spacing w:after="0" w:line="183" w:lineRule="exact"/>
        <w:rPr>
          <w:sz w:val="20"/>
          <w:szCs w:val="20"/>
          <w:color w:val="auto"/>
        </w:rPr>
      </w:pPr>
    </w:p>
    <w:p>
      <w:pPr>
        <w:ind w:right="3219" w:firstLine="185"/>
        <w:spacing w:after="0" w:line="253" w:lineRule="auto"/>
        <w:rPr>
          <w:sz w:val="20"/>
          <w:szCs w:val="20"/>
          <w:color w:val="auto"/>
        </w:rPr>
      </w:pPr>
      <w:r>
        <w:rPr>
          <w:rFonts w:ascii="Courier New" w:cs="Courier New" w:eastAsia="Courier New" w:hAnsi="Courier New"/>
          <w:sz w:val="15"/>
          <w:szCs w:val="15"/>
          <w:color w:val="auto"/>
        </w:rPr>
        <w:t>A majority of the votes cast is required to elect each of the nominees for director.</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BOARD OF DIRECTORS RECOMMENDS A VOTE FOR ALL NOMINEES.</w:t>
      </w:r>
    </w:p>
    <w:p>
      <w:pPr>
        <w:spacing w:after="0" w:line="185" w:lineRule="exact"/>
        <w:rPr>
          <w:sz w:val="20"/>
          <w:szCs w:val="20"/>
          <w:color w:val="auto"/>
        </w:rPr>
      </w:pPr>
    </w:p>
    <w:p>
      <w:pPr>
        <w:ind w:right="3219" w:firstLine="185"/>
        <w:spacing w:after="0" w:line="252" w:lineRule="auto"/>
        <w:rPr>
          <w:sz w:val="20"/>
          <w:szCs w:val="20"/>
          <w:color w:val="auto"/>
        </w:rPr>
      </w:pPr>
      <w:r>
        <w:rPr>
          <w:rFonts w:ascii="Courier New" w:cs="Courier New" w:eastAsia="Courier New" w:hAnsi="Courier New"/>
          <w:sz w:val="15"/>
          <w:szCs w:val="15"/>
          <w:color w:val="auto"/>
        </w:rPr>
        <w:t>The Board of Directors' nominees for election to the Board, together with information furnished by them with respect to their business experience, and other information regarding them, are set forth below:</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500" w:type="dxa"/>
            <w:vAlign w:val="bottom"/>
          </w:tcPr>
          <w:p>
            <w:pPr>
              <w:ind w:left="2480"/>
              <w:spacing w:after="0"/>
              <w:rPr>
                <w:sz w:val="20"/>
                <w:szCs w:val="20"/>
                <w:color w:val="auto"/>
              </w:rPr>
            </w:pPr>
            <w:r>
              <w:rPr>
                <w:rFonts w:ascii="Courier New" w:cs="Courier New" w:eastAsia="Courier New" w:hAnsi="Courier New"/>
                <w:sz w:val="15"/>
                <w:szCs w:val="15"/>
                <w:color w:val="auto"/>
              </w:rPr>
              <w:t>NOMINEE, AGE AND</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w w:val="99"/>
              </w:rPr>
              <w:t>DIRECTOR</w:t>
            </w:r>
          </w:p>
        </w:tc>
      </w:tr>
      <w:tr>
        <w:trPr>
          <w:trHeight w:val="177"/>
        </w:trPr>
        <w:tc>
          <w:tcPr>
            <w:tcW w:w="6500" w:type="dxa"/>
            <w:vAlign w:val="bottom"/>
          </w:tcPr>
          <w:p>
            <w:pPr>
              <w:ind w:left="1840"/>
              <w:spacing w:after="0"/>
              <w:rPr>
                <w:sz w:val="20"/>
                <w:szCs w:val="20"/>
                <w:color w:val="auto"/>
              </w:rPr>
            </w:pPr>
            <w:r>
              <w:rPr>
                <w:rFonts w:ascii="Courier New" w:cs="Courier New" w:eastAsia="Courier New" w:hAnsi="Courier New"/>
                <w:sz w:val="15"/>
                <w:szCs w:val="15"/>
                <w:color w:val="auto"/>
              </w:rPr>
              <w:t>FIVE-YEAR BUSINESS EXPERIENCE</w:t>
            </w:r>
          </w:p>
        </w:tc>
        <w:tc>
          <w:tcPr>
            <w:tcW w:w="780" w:type="dxa"/>
            <w:vAlign w:val="bottom"/>
          </w:tcPr>
          <w:p>
            <w:pPr>
              <w:ind w:left="140"/>
              <w:spacing w:after="0"/>
              <w:rPr>
                <w:sz w:val="20"/>
                <w:szCs w:val="20"/>
                <w:color w:val="auto"/>
              </w:rPr>
            </w:pPr>
            <w:r>
              <w:rPr>
                <w:rFonts w:ascii="Courier New" w:cs="Courier New" w:eastAsia="Courier New" w:hAnsi="Courier New"/>
                <w:sz w:val="15"/>
                <w:szCs w:val="15"/>
                <w:color w:val="auto"/>
              </w:rPr>
              <w:t>SINCE</w:t>
            </w:r>
          </w:p>
        </w:tc>
      </w:tr>
      <w:tr>
        <w:trPr>
          <w:trHeight w:val="177"/>
        </w:trPr>
        <w:tc>
          <w:tcPr>
            <w:tcW w:w="6500" w:type="dxa"/>
            <w:vAlign w:val="bottom"/>
          </w:tcPr>
          <w:p>
            <w:pPr>
              <w:ind w:left="18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355"/>
        </w:trPr>
        <w:tc>
          <w:tcPr>
            <w:tcW w:w="6500" w:type="dxa"/>
            <w:vAlign w:val="bottom"/>
          </w:tcPr>
          <w:p>
            <w:pPr>
              <w:spacing w:after="0"/>
              <w:rPr>
                <w:sz w:val="20"/>
                <w:szCs w:val="20"/>
                <w:color w:val="auto"/>
              </w:rPr>
            </w:pPr>
            <w:r>
              <w:rPr>
                <w:rFonts w:ascii="Courier New" w:cs="Courier New" w:eastAsia="Courier New" w:hAnsi="Courier New"/>
                <w:sz w:val="15"/>
                <w:szCs w:val="15"/>
                <w:color w:val="auto"/>
              </w:rPr>
              <w:t>DON E. ACKERMAN, 63; Private Investor, New Canaan, Connecticut (1)....</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9"/>
              </w:rPr>
              <w:t>1982</w:t>
            </w:r>
          </w:p>
        </w:tc>
      </w:tr>
      <w:tr>
        <w:trPr>
          <w:trHeight w:val="177"/>
        </w:trPr>
        <w:tc>
          <w:tcPr>
            <w:tcW w:w="6500" w:type="dxa"/>
            <w:vAlign w:val="bottom"/>
          </w:tcPr>
          <w:p>
            <w:pPr>
              <w:spacing w:after="0"/>
              <w:rPr>
                <w:sz w:val="20"/>
                <w:szCs w:val="20"/>
                <w:color w:val="auto"/>
              </w:rPr>
            </w:pPr>
            <w:r>
              <w:rPr>
                <w:rFonts w:ascii="Courier New" w:cs="Courier New" w:eastAsia="Courier New" w:hAnsi="Courier New"/>
                <w:sz w:val="15"/>
                <w:szCs w:val="15"/>
                <w:color w:val="auto"/>
              </w:rPr>
              <w:t>D. EUAN BAIRD, 59; Chairman and Chief Executive Officer since October</w:t>
            </w:r>
          </w:p>
        </w:tc>
        <w:tc>
          <w:tcPr>
            <w:tcW w:w="780" w:type="dxa"/>
            <w:vAlign w:val="bottom"/>
          </w:tcPr>
          <w:p>
            <w:pPr>
              <w:spacing w:after="0"/>
              <w:rPr>
                <w:sz w:val="15"/>
                <w:szCs w:val="15"/>
                <w:color w:val="auto"/>
              </w:rPr>
            </w:pPr>
          </w:p>
        </w:tc>
      </w:tr>
      <w:tr>
        <w:trPr>
          <w:trHeight w:val="177"/>
        </w:trPr>
        <w:tc>
          <w:tcPr>
            <w:tcW w:w="6500" w:type="dxa"/>
            <w:vAlign w:val="bottom"/>
          </w:tcPr>
          <w:p>
            <w:pPr>
              <w:ind w:left="80"/>
              <w:spacing w:after="0"/>
              <w:rPr>
                <w:sz w:val="20"/>
                <w:szCs w:val="20"/>
                <w:color w:val="auto"/>
              </w:rPr>
            </w:pPr>
            <w:r>
              <w:rPr>
                <w:rFonts w:ascii="Courier New" w:cs="Courier New" w:eastAsia="Courier New" w:hAnsi="Courier New"/>
                <w:sz w:val="15"/>
                <w:szCs w:val="15"/>
                <w:color w:val="auto"/>
              </w:rPr>
              <w:t>1986 (2).............................................................</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9"/>
              </w:rPr>
              <w:t>1986</w:t>
            </w:r>
          </w:p>
        </w:tc>
      </w:tr>
      <w:tr>
        <w:trPr>
          <w:trHeight w:val="177"/>
        </w:trPr>
        <w:tc>
          <w:tcPr>
            <w:tcW w:w="6500" w:type="dxa"/>
            <w:vAlign w:val="bottom"/>
          </w:tcPr>
          <w:p>
            <w:pPr>
              <w:spacing w:after="0"/>
              <w:rPr>
                <w:sz w:val="20"/>
                <w:szCs w:val="20"/>
                <w:color w:val="auto"/>
              </w:rPr>
            </w:pPr>
            <w:r>
              <w:rPr>
                <w:rFonts w:ascii="Courier New" w:cs="Courier New" w:eastAsia="Courier New" w:hAnsi="Courier New"/>
                <w:sz w:val="15"/>
                <w:szCs w:val="15"/>
                <w:color w:val="auto"/>
              </w:rPr>
              <w:t>JOHN DEUTCH, 58; Institute Professor, Massachusetts Institute of</w:t>
            </w:r>
          </w:p>
        </w:tc>
        <w:tc>
          <w:tcPr>
            <w:tcW w:w="780" w:type="dxa"/>
            <w:vAlign w:val="bottom"/>
          </w:tcPr>
          <w:p>
            <w:pPr>
              <w:spacing w:after="0"/>
              <w:rPr>
                <w:sz w:val="15"/>
                <w:szCs w:val="15"/>
                <w:color w:val="auto"/>
              </w:rPr>
            </w:pPr>
          </w:p>
        </w:tc>
      </w:tr>
      <w:tr>
        <w:trPr>
          <w:trHeight w:val="177"/>
        </w:trPr>
        <w:tc>
          <w:tcPr>
            <w:tcW w:w="6500" w:type="dxa"/>
            <w:vAlign w:val="bottom"/>
          </w:tcPr>
          <w:p>
            <w:pPr>
              <w:ind w:left="80"/>
              <w:spacing w:after="0"/>
              <w:rPr>
                <w:sz w:val="20"/>
                <w:szCs w:val="20"/>
                <w:color w:val="auto"/>
              </w:rPr>
            </w:pPr>
            <w:r>
              <w:rPr>
                <w:rFonts w:ascii="Courier New" w:cs="Courier New" w:eastAsia="Courier New" w:hAnsi="Courier New"/>
                <w:sz w:val="15"/>
                <w:szCs w:val="15"/>
                <w:color w:val="auto"/>
              </w:rPr>
              <w:t>Technology since January 1997; Director of U.S. Central Intelligence</w:t>
            </w:r>
          </w:p>
        </w:tc>
        <w:tc>
          <w:tcPr>
            <w:tcW w:w="780" w:type="dxa"/>
            <w:vAlign w:val="bottom"/>
          </w:tcPr>
          <w:p>
            <w:pPr>
              <w:spacing w:after="0"/>
              <w:rPr>
                <w:sz w:val="15"/>
                <w:szCs w:val="15"/>
                <w:color w:val="auto"/>
              </w:rPr>
            </w:pPr>
          </w:p>
        </w:tc>
      </w:tr>
      <w:tr>
        <w:trPr>
          <w:trHeight w:val="177"/>
        </w:trPr>
        <w:tc>
          <w:tcPr>
            <w:tcW w:w="6500" w:type="dxa"/>
            <w:vAlign w:val="bottom"/>
          </w:tcPr>
          <w:p>
            <w:pPr>
              <w:ind w:left="80"/>
              <w:spacing w:after="0"/>
              <w:rPr>
                <w:sz w:val="20"/>
                <w:szCs w:val="20"/>
                <w:color w:val="auto"/>
              </w:rPr>
            </w:pPr>
            <w:r>
              <w:rPr>
                <w:rFonts w:ascii="Courier New" w:cs="Courier New" w:eastAsia="Courier New" w:hAnsi="Courier New"/>
                <w:sz w:val="15"/>
                <w:szCs w:val="15"/>
                <w:color w:val="auto"/>
              </w:rPr>
              <w:t>May 1995 to December 1996; Deputy Secretary of Defense April 1994 to</w:t>
            </w:r>
          </w:p>
        </w:tc>
        <w:tc>
          <w:tcPr>
            <w:tcW w:w="780" w:type="dxa"/>
            <w:vAlign w:val="bottom"/>
          </w:tcPr>
          <w:p>
            <w:pPr>
              <w:spacing w:after="0"/>
              <w:rPr>
                <w:sz w:val="15"/>
                <w:szCs w:val="15"/>
                <w:color w:val="auto"/>
              </w:rPr>
            </w:pPr>
          </w:p>
        </w:tc>
      </w:tr>
      <w:tr>
        <w:trPr>
          <w:trHeight w:val="177"/>
        </w:trPr>
        <w:tc>
          <w:tcPr>
            <w:tcW w:w="6500" w:type="dxa"/>
            <w:vAlign w:val="bottom"/>
          </w:tcPr>
          <w:p>
            <w:pPr>
              <w:ind w:left="80"/>
              <w:spacing w:after="0"/>
              <w:rPr>
                <w:sz w:val="20"/>
                <w:szCs w:val="20"/>
                <w:color w:val="auto"/>
              </w:rPr>
            </w:pPr>
            <w:r>
              <w:rPr>
                <w:rFonts w:ascii="Courier New" w:cs="Courier New" w:eastAsia="Courier New" w:hAnsi="Courier New"/>
                <w:sz w:val="15"/>
                <w:szCs w:val="15"/>
                <w:color w:val="auto"/>
              </w:rPr>
              <w:t>May 1995; Under Secretary of Defense (Acquisition and Technology)</w:t>
            </w:r>
          </w:p>
        </w:tc>
        <w:tc>
          <w:tcPr>
            <w:tcW w:w="780" w:type="dxa"/>
            <w:vAlign w:val="bottom"/>
          </w:tcPr>
          <w:p>
            <w:pPr>
              <w:spacing w:after="0"/>
              <w:rPr>
                <w:sz w:val="15"/>
                <w:szCs w:val="15"/>
                <w:color w:val="auto"/>
              </w:rPr>
            </w:pPr>
          </w:p>
        </w:tc>
      </w:tr>
      <w:tr>
        <w:trPr>
          <w:trHeight w:val="177"/>
        </w:trPr>
        <w:tc>
          <w:tcPr>
            <w:tcW w:w="6500" w:type="dxa"/>
            <w:vAlign w:val="bottom"/>
          </w:tcPr>
          <w:p>
            <w:pPr>
              <w:ind w:left="80"/>
              <w:spacing w:after="0"/>
              <w:rPr>
                <w:sz w:val="20"/>
                <w:szCs w:val="20"/>
                <w:color w:val="auto"/>
              </w:rPr>
            </w:pPr>
            <w:r>
              <w:rPr>
                <w:rFonts w:ascii="Courier New" w:cs="Courier New" w:eastAsia="Courier New" w:hAnsi="Courier New"/>
                <w:sz w:val="15"/>
                <w:szCs w:val="15"/>
                <w:color w:val="auto"/>
              </w:rPr>
              <w:t>March 1993 to 1994; Director of Schlumberger Limited May 1987 to</w:t>
            </w:r>
          </w:p>
        </w:tc>
        <w:tc>
          <w:tcPr>
            <w:tcW w:w="780" w:type="dxa"/>
            <w:vAlign w:val="bottom"/>
          </w:tcPr>
          <w:p>
            <w:pPr>
              <w:spacing w:after="0"/>
              <w:rPr>
                <w:sz w:val="15"/>
                <w:szCs w:val="15"/>
                <w:color w:val="auto"/>
              </w:rPr>
            </w:pPr>
          </w:p>
        </w:tc>
      </w:tr>
      <w:tr>
        <w:trPr>
          <w:trHeight w:val="177"/>
        </w:trPr>
        <w:tc>
          <w:tcPr>
            <w:tcW w:w="6500" w:type="dxa"/>
            <w:vAlign w:val="bottom"/>
          </w:tcPr>
          <w:p>
            <w:pPr>
              <w:ind w:left="80"/>
              <w:spacing w:after="0"/>
              <w:rPr>
                <w:sz w:val="20"/>
                <w:szCs w:val="20"/>
                <w:color w:val="auto"/>
              </w:rPr>
            </w:pPr>
            <w:r>
              <w:rPr>
                <w:rFonts w:ascii="Courier New" w:cs="Courier New" w:eastAsia="Courier New" w:hAnsi="Courier New"/>
                <w:sz w:val="15"/>
                <w:szCs w:val="15"/>
                <w:color w:val="auto"/>
              </w:rPr>
              <w:t>1993; Institute Professor, Massachusetts Institute of Technology 1990</w:t>
            </w:r>
          </w:p>
        </w:tc>
        <w:tc>
          <w:tcPr>
            <w:tcW w:w="780" w:type="dxa"/>
            <w:vAlign w:val="bottom"/>
          </w:tcPr>
          <w:p>
            <w:pPr>
              <w:spacing w:after="0"/>
              <w:rPr>
                <w:sz w:val="15"/>
                <w:szCs w:val="15"/>
                <w:color w:val="auto"/>
              </w:rPr>
            </w:pPr>
          </w:p>
        </w:tc>
      </w:tr>
      <w:tr>
        <w:trPr>
          <w:trHeight w:val="177"/>
        </w:trPr>
        <w:tc>
          <w:tcPr>
            <w:tcW w:w="6500" w:type="dxa"/>
            <w:vAlign w:val="bottom"/>
          </w:tcPr>
          <w:p>
            <w:pPr>
              <w:ind w:left="80"/>
              <w:spacing w:after="0"/>
              <w:rPr>
                <w:sz w:val="20"/>
                <w:szCs w:val="20"/>
                <w:color w:val="auto"/>
              </w:rPr>
            </w:pPr>
            <w:r>
              <w:rPr>
                <w:rFonts w:ascii="Courier New" w:cs="Courier New" w:eastAsia="Courier New" w:hAnsi="Courier New"/>
                <w:sz w:val="15"/>
                <w:szCs w:val="15"/>
                <w:color w:val="auto"/>
              </w:rPr>
              <w:t>to 1993 (3)..........................................................</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6500" w:type="dxa"/>
            <w:vAlign w:val="bottom"/>
          </w:tcPr>
          <w:p>
            <w:pPr>
              <w:spacing w:after="0"/>
              <w:rPr>
                <w:sz w:val="20"/>
                <w:szCs w:val="20"/>
                <w:color w:val="auto"/>
              </w:rPr>
            </w:pPr>
            <w:r>
              <w:rPr>
                <w:rFonts w:ascii="Courier New" w:cs="Courier New" w:eastAsia="Courier New" w:hAnsi="Courier New"/>
                <w:sz w:val="15"/>
                <w:szCs w:val="15"/>
                <w:color w:val="auto"/>
              </w:rPr>
              <w:t>DENYS HENDERSON, 64; Chairman, The Rank Group Plc., a diversified</w:t>
            </w:r>
          </w:p>
        </w:tc>
        <w:tc>
          <w:tcPr>
            <w:tcW w:w="780" w:type="dxa"/>
            <w:vAlign w:val="bottom"/>
          </w:tcPr>
          <w:p>
            <w:pPr>
              <w:spacing w:after="0"/>
              <w:rPr>
                <w:sz w:val="15"/>
                <w:szCs w:val="15"/>
                <w:color w:val="auto"/>
              </w:rPr>
            </w:pPr>
          </w:p>
        </w:tc>
      </w:tr>
      <w:tr>
        <w:trPr>
          <w:trHeight w:val="177"/>
        </w:trPr>
        <w:tc>
          <w:tcPr>
            <w:tcW w:w="6500" w:type="dxa"/>
            <w:vAlign w:val="bottom"/>
          </w:tcPr>
          <w:p>
            <w:pPr>
              <w:ind w:left="80"/>
              <w:spacing w:after="0"/>
              <w:rPr>
                <w:sz w:val="20"/>
                <w:szCs w:val="20"/>
                <w:color w:val="auto"/>
              </w:rPr>
            </w:pPr>
            <w:r>
              <w:rPr>
                <w:rFonts w:ascii="Courier New" w:cs="Courier New" w:eastAsia="Courier New" w:hAnsi="Courier New"/>
                <w:sz w:val="15"/>
                <w:szCs w:val="15"/>
                <w:color w:val="auto"/>
              </w:rPr>
              <w:t>leisure services concern, since March 1995; Chairman, Zeneca Group</w:t>
            </w:r>
          </w:p>
        </w:tc>
        <w:tc>
          <w:tcPr>
            <w:tcW w:w="780" w:type="dxa"/>
            <w:vAlign w:val="bottom"/>
          </w:tcPr>
          <w:p>
            <w:pPr>
              <w:spacing w:after="0"/>
              <w:rPr>
                <w:sz w:val="15"/>
                <w:szCs w:val="15"/>
                <w:color w:val="auto"/>
              </w:rPr>
            </w:pPr>
          </w:p>
        </w:tc>
      </w:tr>
      <w:tr>
        <w:trPr>
          <w:trHeight w:val="177"/>
        </w:trPr>
        <w:tc>
          <w:tcPr>
            <w:tcW w:w="6500" w:type="dxa"/>
            <w:vAlign w:val="bottom"/>
          </w:tcPr>
          <w:p>
            <w:pPr>
              <w:ind w:left="80"/>
              <w:spacing w:after="0"/>
              <w:rPr>
                <w:sz w:val="20"/>
                <w:szCs w:val="20"/>
                <w:color w:val="auto"/>
              </w:rPr>
            </w:pPr>
            <w:r>
              <w:rPr>
                <w:rFonts w:ascii="Courier New" w:cs="Courier New" w:eastAsia="Courier New" w:hAnsi="Courier New"/>
                <w:sz w:val="15"/>
                <w:szCs w:val="15"/>
                <w:color w:val="auto"/>
              </w:rPr>
              <w:t>PLC, June 1993 to May 1995; Chairman, Imperial Chemical Industries</w:t>
            </w:r>
          </w:p>
        </w:tc>
        <w:tc>
          <w:tcPr>
            <w:tcW w:w="780" w:type="dxa"/>
            <w:vAlign w:val="bottom"/>
          </w:tcPr>
          <w:p>
            <w:pPr>
              <w:spacing w:after="0"/>
              <w:rPr>
                <w:sz w:val="15"/>
                <w:szCs w:val="15"/>
                <w:color w:val="auto"/>
              </w:rPr>
            </w:pPr>
          </w:p>
        </w:tc>
      </w:tr>
      <w:tr>
        <w:trPr>
          <w:trHeight w:val="177"/>
        </w:trPr>
        <w:tc>
          <w:tcPr>
            <w:tcW w:w="6500" w:type="dxa"/>
            <w:vAlign w:val="bottom"/>
          </w:tcPr>
          <w:p>
            <w:pPr>
              <w:ind w:left="80"/>
              <w:spacing w:after="0"/>
              <w:rPr>
                <w:sz w:val="20"/>
                <w:szCs w:val="20"/>
                <w:color w:val="auto"/>
              </w:rPr>
            </w:pPr>
            <w:r>
              <w:rPr>
                <w:rFonts w:ascii="Courier New" w:cs="Courier New" w:eastAsia="Courier New" w:hAnsi="Courier New"/>
                <w:sz w:val="15"/>
                <w:szCs w:val="15"/>
                <w:color w:val="auto"/>
              </w:rPr>
              <w:t>PLC, ("ICI"),June 1993 through April 1995; Chairman and Chief</w:t>
            </w:r>
          </w:p>
        </w:tc>
        <w:tc>
          <w:tcPr>
            <w:tcW w:w="780" w:type="dxa"/>
            <w:vAlign w:val="bottom"/>
          </w:tcPr>
          <w:p>
            <w:pPr>
              <w:spacing w:after="0"/>
              <w:rPr>
                <w:sz w:val="15"/>
                <w:szCs w:val="15"/>
                <w:color w:val="auto"/>
              </w:rPr>
            </w:pPr>
          </w:p>
        </w:tc>
      </w:tr>
      <w:tr>
        <w:trPr>
          <w:trHeight w:val="177"/>
        </w:trPr>
        <w:tc>
          <w:tcPr>
            <w:tcW w:w="6500" w:type="dxa"/>
            <w:vAlign w:val="bottom"/>
          </w:tcPr>
          <w:p>
            <w:pPr>
              <w:ind w:left="80"/>
              <w:spacing w:after="0"/>
              <w:rPr>
                <w:sz w:val="20"/>
                <w:szCs w:val="20"/>
                <w:color w:val="auto"/>
              </w:rPr>
            </w:pPr>
            <w:r>
              <w:rPr>
                <w:rFonts w:ascii="Courier New" w:cs="Courier New" w:eastAsia="Courier New" w:hAnsi="Courier New"/>
                <w:sz w:val="15"/>
                <w:szCs w:val="15"/>
                <w:color w:val="auto"/>
              </w:rPr>
              <w:t>Executive Officer, ICI, April 1987 to June 1993, all in the United</w:t>
            </w:r>
          </w:p>
        </w:tc>
        <w:tc>
          <w:tcPr>
            <w:tcW w:w="780" w:type="dxa"/>
            <w:vAlign w:val="bottom"/>
          </w:tcPr>
          <w:p>
            <w:pPr>
              <w:spacing w:after="0"/>
              <w:rPr>
                <w:sz w:val="15"/>
                <w:szCs w:val="15"/>
                <w:color w:val="auto"/>
              </w:rPr>
            </w:pPr>
          </w:p>
        </w:tc>
      </w:tr>
      <w:tr>
        <w:trPr>
          <w:trHeight w:val="177"/>
        </w:trPr>
        <w:tc>
          <w:tcPr>
            <w:tcW w:w="6500" w:type="dxa"/>
            <w:vAlign w:val="bottom"/>
          </w:tcPr>
          <w:p>
            <w:pPr>
              <w:ind w:left="80"/>
              <w:spacing w:after="0"/>
              <w:rPr>
                <w:sz w:val="20"/>
                <w:szCs w:val="20"/>
                <w:color w:val="auto"/>
              </w:rPr>
            </w:pPr>
            <w:r>
              <w:rPr>
                <w:rFonts w:ascii="Courier New" w:cs="Courier New" w:eastAsia="Courier New" w:hAnsi="Courier New"/>
                <w:sz w:val="15"/>
                <w:szCs w:val="15"/>
                <w:color w:val="auto"/>
              </w:rPr>
              <w:t>Kingdom (4)..........................................................</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9"/>
              </w:rPr>
              <w:t>1995</w:t>
            </w:r>
          </w:p>
        </w:tc>
      </w:tr>
      <w:tr>
        <w:trPr>
          <w:trHeight w:val="177"/>
        </w:trPr>
        <w:tc>
          <w:tcPr>
            <w:tcW w:w="6500" w:type="dxa"/>
            <w:vAlign w:val="bottom"/>
          </w:tcPr>
          <w:p>
            <w:pPr>
              <w:spacing w:after="0"/>
              <w:rPr>
                <w:sz w:val="20"/>
                <w:szCs w:val="20"/>
                <w:color w:val="auto"/>
              </w:rPr>
            </w:pPr>
            <w:r>
              <w:rPr>
                <w:rFonts w:ascii="Courier New" w:cs="Courier New" w:eastAsia="Courier New" w:hAnsi="Courier New"/>
                <w:sz w:val="15"/>
                <w:szCs w:val="15"/>
                <w:color w:val="auto"/>
              </w:rPr>
              <w:t>ANDRE LEVY-LANG, 59; Chairman of the Board of Management of Compagnie</w:t>
            </w:r>
          </w:p>
        </w:tc>
        <w:tc>
          <w:tcPr>
            <w:tcW w:w="780" w:type="dxa"/>
            <w:vAlign w:val="bottom"/>
          </w:tcPr>
          <w:p>
            <w:pPr>
              <w:spacing w:after="0"/>
              <w:rPr>
                <w:sz w:val="15"/>
                <w:szCs w:val="15"/>
                <w:color w:val="auto"/>
              </w:rPr>
            </w:pPr>
          </w:p>
        </w:tc>
      </w:tr>
      <w:tr>
        <w:trPr>
          <w:trHeight w:val="177"/>
        </w:trPr>
        <w:tc>
          <w:tcPr>
            <w:tcW w:w="6500" w:type="dxa"/>
            <w:vAlign w:val="bottom"/>
          </w:tcPr>
          <w:p>
            <w:pPr>
              <w:ind w:left="80"/>
              <w:spacing w:after="0"/>
              <w:rPr>
                <w:sz w:val="20"/>
                <w:szCs w:val="20"/>
                <w:color w:val="auto"/>
              </w:rPr>
            </w:pPr>
            <w:r>
              <w:rPr>
                <w:rFonts w:ascii="Courier New" w:cs="Courier New" w:eastAsia="Courier New" w:hAnsi="Courier New"/>
                <w:sz w:val="15"/>
                <w:szCs w:val="15"/>
                <w:color w:val="auto"/>
              </w:rPr>
              <w:t>Financiere de Paribas, an international banking group, since June</w:t>
            </w:r>
          </w:p>
        </w:tc>
        <w:tc>
          <w:tcPr>
            <w:tcW w:w="780" w:type="dxa"/>
            <w:vAlign w:val="bottom"/>
          </w:tcPr>
          <w:p>
            <w:pPr>
              <w:spacing w:after="0"/>
              <w:rPr>
                <w:sz w:val="15"/>
                <w:szCs w:val="15"/>
                <w:color w:val="auto"/>
              </w:rPr>
            </w:pPr>
          </w:p>
        </w:tc>
      </w:tr>
      <w:tr>
        <w:trPr>
          <w:trHeight w:val="177"/>
        </w:trPr>
        <w:tc>
          <w:tcPr>
            <w:tcW w:w="6500" w:type="dxa"/>
            <w:vAlign w:val="bottom"/>
          </w:tcPr>
          <w:p>
            <w:pPr>
              <w:ind w:left="80"/>
              <w:spacing w:after="0"/>
              <w:rPr>
                <w:sz w:val="20"/>
                <w:szCs w:val="20"/>
                <w:color w:val="auto"/>
              </w:rPr>
            </w:pPr>
            <w:r>
              <w:rPr>
                <w:rFonts w:ascii="Courier New" w:cs="Courier New" w:eastAsia="Courier New" w:hAnsi="Courier New"/>
                <w:sz w:val="15"/>
                <w:szCs w:val="15"/>
                <w:color w:val="auto"/>
              </w:rPr>
              <w:t>1990; Chairman of the Board of Management of Banque Paribas, a</w:t>
            </w:r>
          </w:p>
        </w:tc>
        <w:tc>
          <w:tcPr>
            <w:tcW w:w="780" w:type="dxa"/>
            <w:vAlign w:val="bottom"/>
          </w:tcPr>
          <w:p>
            <w:pPr>
              <w:spacing w:after="0"/>
              <w:rPr>
                <w:sz w:val="15"/>
                <w:szCs w:val="15"/>
                <w:color w:val="auto"/>
              </w:rPr>
            </w:pPr>
          </w:p>
        </w:tc>
      </w:tr>
      <w:tr>
        <w:trPr>
          <w:trHeight w:val="177"/>
        </w:trPr>
        <w:tc>
          <w:tcPr>
            <w:tcW w:w="6500" w:type="dxa"/>
            <w:vAlign w:val="bottom"/>
          </w:tcPr>
          <w:p>
            <w:pPr>
              <w:ind w:left="80"/>
              <w:spacing w:after="0"/>
              <w:rPr>
                <w:sz w:val="20"/>
                <w:szCs w:val="20"/>
                <w:color w:val="auto"/>
              </w:rPr>
            </w:pPr>
            <w:r>
              <w:rPr>
                <w:rFonts w:ascii="Courier New" w:cs="Courier New" w:eastAsia="Courier New" w:hAnsi="Courier New"/>
                <w:sz w:val="15"/>
                <w:szCs w:val="15"/>
                <w:color w:val="auto"/>
              </w:rPr>
              <w:t>subsidiary of Compagnie Financiere de Paribas, since 1991; Chairman</w:t>
            </w:r>
          </w:p>
        </w:tc>
        <w:tc>
          <w:tcPr>
            <w:tcW w:w="780" w:type="dxa"/>
            <w:vAlign w:val="bottom"/>
          </w:tcPr>
          <w:p>
            <w:pPr>
              <w:spacing w:after="0"/>
              <w:rPr>
                <w:sz w:val="15"/>
                <w:szCs w:val="15"/>
                <w:color w:val="auto"/>
              </w:rPr>
            </w:pPr>
          </w:p>
        </w:tc>
      </w:tr>
      <w:tr>
        <w:trPr>
          <w:trHeight w:val="177"/>
        </w:trPr>
        <w:tc>
          <w:tcPr>
            <w:tcW w:w="6500" w:type="dxa"/>
            <w:vAlign w:val="bottom"/>
          </w:tcPr>
          <w:p>
            <w:pPr>
              <w:ind w:left="80"/>
              <w:spacing w:after="0"/>
              <w:rPr>
                <w:sz w:val="20"/>
                <w:szCs w:val="20"/>
                <w:color w:val="auto"/>
              </w:rPr>
            </w:pPr>
            <w:r>
              <w:rPr>
                <w:rFonts w:ascii="Courier New" w:cs="Courier New" w:eastAsia="Courier New" w:hAnsi="Courier New"/>
                <w:sz w:val="15"/>
                <w:szCs w:val="15"/>
                <w:color w:val="auto"/>
              </w:rPr>
              <w:t>of the Board of Management of Compagnie Bancaire 1989 to 1993;</w:t>
            </w:r>
          </w:p>
        </w:tc>
        <w:tc>
          <w:tcPr>
            <w:tcW w:w="780" w:type="dxa"/>
            <w:vAlign w:val="bottom"/>
          </w:tcPr>
          <w:p>
            <w:pPr>
              <w:spacing w:after="0"/>
              <w:rPr>
                <w:sz w:val="15"/>
                <w:szCs w:val="15"/>
                <w:color w:val="auto"/>
              </w:rPr>
            </w:pPr>
          </w:p>
        </w:tc>
      </w:tr>
      <w:tr>
        <w:trPr>
          <w:trHeight w:val="177"/>
        </w:trPr>
        <w:tc>
          <w:tcPr>
            <w:tcW w:w="6500" w:type="dxa"/>
            <w:vAlign w:val="bottom"/>
          </w:tcPr>
          <w:p>
            <w:pPr>
              <w:ind w:left="80"/>
              <w:spacing w:after="0"/>
              <w:rPr>
                <w:sz w:val="20"/>
                <w:szCs w:val="20"/>
                <w:color w:val="auto"/>
              </w:rPr>
            </w:pPr>
            <w:r>
              <w:rPr>
                <w:rFonts w:ascii="Courier New" w:cs="Courier New" w:eastAsia="Courier New" w:hAnsi="Courier New"/>
                <w:sz w:val="15"/>
                <w:szCs w:val="15"/>
                <w:color w:val="auto"/>
              </w:rPr>
              <w:t>Chairman of the Supervisory Board of Compagnie Bancaire since 1993,</w:t>
            </w:r>
          </w:p>
        </w:tc>
        <w:tc>
          <w:tcPr>
            <w:tcW w:w="780" w:type="dxa"/>
            <w:vAlign w:val="bottom"/>
          </w:tcPr>
          <w:p>
            <w:pPr>
              <w:spacing w:after="0"/>
              <w:rPr>
                <w:sz w:val="15"/>
                <w:szCs w:val="15"/>
                <w:color w:val="auto"/>
              </w:rPr>
            </w:pPr>
          </w:p>
        </w:tc>
      </w:tr>
      <w:tr>
        <w:trPr>
          <w:trHeight w:val="177"/>
        </w:trPr>
        <w:tc>
          <w:tcPr>
            <w:tcW w:w="6500" w:type="dxa"/>
            <w:vAlign w:val="bottom"/>
          </w:tcPr>
          <w:p>
            <w:pPr>
              <w:ind w:left="80"/>
              <w:spacing w:after="0"/>
              <w:rPr>
                <w:sz w:val="20"/>
                <w:szCs w:val="20"/>
                <w:color w:val="auto"/>
              </w:rPr>
            </w:pPr>
            <w:r>
              <w:rPr>
                <w:rFonts w:ascii="Courier New" w:cs="Courier New" w:eastAsia="Courier New" w:hAnsi="Courier New"/>
                <w:sz w:val="15"/>
                <w:szCs w:val="15"/>
                <w:color w:val="auto"/>
              </w:rPr>
              <w:t>all in Paris (5).....................................................</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9"/>
              </w:rPr>
              <w:t>1992</w:t>
            </w:r>
          </w:p>
        </w:tc>
      </w:tr>
      <w:tr>
        <w:trPr>
          <w:trHeight w:val="532"/>
        </w:trPr>
        <w:tc>
          <w:tcPr>
            <w:tcW w:w="6500" w:type="dxa"/>
            <w:vAlign w:val="bottom"/>
          </w:tcPr>
          <w:p>
            <w:pPr>
              <w:ind w:left="3600"/>
              <w:spacing w:after="0"/>
              <w:rPr>
                <w:sz w:val="20"/>
                <w:szCs w:val="20"/>
                <w:color w:val="auto"/>
              </w:rPr>
            </w:pPr>
            <w:r>
              <w:rPr>
                <w:rFonts w:ascii="Courier New" w:cs="Courier New" w:eastAsia="Courier New" w:hAnsi="Courier New"/>
                <w:sz w:val="15"/>
                <w:szCs w:val="15"/>
                <w:color w:val="auto"/>
              </w:rPr>
              <w:t>2</w:t>
            </w:r>
          </w:p>
        </w:tc>
        <w:tc>
          <w:tcPr>
            <w:tcW w:w="780" w:type="dxa"/>
            <w:vAlign w:val="bottom"/>
          </w:tcPr>
          <w:p>
            <w:pPr>
              <w:spacing w:after="0"/>
              <w:rPr>
                <w:sz w:val="24"/>
                <w:szCs w:val="24"/>
                <w:color w:val="auto"/>
              </w:rPr>
            </w:pPr>
          </w:p>
        </w:tc>
      </w:tr>
    </w:tbl>
    <w:p>
      <w:pPr>
        <w:sectPr>
          <w:pgSz w:w="11900" w:h="16838" w:orient="portrait"/>
          <w:cols w:equalWidth="0" w:num="1">
            <w:col w:w="10219"/>
          </w:cols>
          <w:pgMar w:left="240" w:top="650" w:right="1440" w:bottom="1440" w:gutter="0" w:footer="0" w:header="0"/>
        </w:sectPr>
      </w:pPr>
    </w:p>
    <w:bookmarkStart w:id="5" w:name="page6"/>
    <w:bookmarkEnd w:id="5"/>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6460" w:type="dxa"/>
            <w:vAlign w:val="bottom"/>
          </w:tcPr>
          <w:p>
            <w:pPr>
              <w:ind w:left="2400"/>
              <w:spacing w:after="0"/>
              <w:rPr>
                <w:sz w:val="20"/>
                <w:szCs w:val="20"/>
                <w:color w:val="auto"/>
              </w:rPr>
            </w:pPr>
            <w:r>
              <w:rPr>
                <w:rFonts w:ascii="Courier New" w:cs="Courier New" w:eastAsia="Courier New" w:hAnsi="Courier New"/>
                <w:sz w:val="15"/>
                <w:szCs w:val="15"/>
                <w:color w:val="auto"/>
              </w:rPr>
              <w:t>NOMINEE, AGE AND</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w w:val="99"/>
              </w:rPr>
              <w:t>DIRECTOR</w:t>
            </w:r>
          </w:p>
        </w:tc>
      </w:tr>
      <w:tr>
        <w:trPr>
          <w:trHeight w:val="177"/>
        </w:trPr>
        <w:tc>
          <w:tcPr>
            <w:tcW w:w="6460" w:type="dxa"/>
            <w:vAlign w:val="bottom"/>
          </w:tcPr>
          <w:p>
            <w:pPr>
              <w:ind w:left="1840"/>
              <w:spacing w:after="0"/>
              <w:rPr>
                <w:sz w:val="20"/>
                <w:szCs w:val="20"/>
                <w:color w:val="auto"/>
              </w:rPr>
            </w:pPr>
            <w:r>
              <w:rPr>
                <w:rFonts w:ascii="Courier New" w:cs="Courier New" w:eastAsia="Courier New" w:hAnsi="Courier New"/>
                <w:sz w:val="15"/>
                <w:szCs w:val="15"/>
                <w:color w:val="auto"/>
              </w:rPr>
              <w:t>FIVE-YEAR BUSINESS EXPERIENCE</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SINCE</w:t>
            </w:r>
          </w:p>
        </w:tc>
      </w:tr>
      <w:tr>
        <w:trPr>
          <w:trHeight w:val="177"/>
        </w:trPr>
        <w:tc>
          <w:tcPr>
            <w:tcW w:w="6460" w:type="dxa"/>
            <w:vAlign w:val="bottom"/>
          </w:tcPr>
          <w:p>
            <w:pPr>
              <w:ind w:left="18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ind w:left="3"/>
              <w:spacing w:after="0"/>
              <w:rPr>
                <w:sz w:val="20"/>
                <w:szCs w:val="20"/>
                <w:color w:val="auto"/>
              </w:rPr>
            </w:pPr>
            <w:r>
              <w:rPr>
                <w:rFonts w:ascii="Courier New" w:cs="Courier New" w:eastAsia="Courier New" w:hAnsi="Courier New"/>
                <w:sz w:val="15"/>
                <w:szCs w:val="15"/>
                <w:color w:val="auto"/>
              </w:rPr>
              <w:t>--------</w:t>
            </w:r>
          </w:p>
        </w:tc>
      </w:tr>
      <w:tr>
        <w:trPr>
          <w:trHeight w:val="355"/>
        </w:trPr>
        <w:tc>
          <w:tcPr>
            <w:tcW w:w="6460" w:type="dxa"/>
            <w:vAlign w:val="bottom"/>
          </w:tcPr>
          <w:p>
            <w:pPr>
              <w:spacing w:after="0"/>
              <w:rPr>
                <w:sz w:val="20"/>
                <w:szCs w:val="20"/>
                <w:color w:val="auto"/>
              </w:rPr>
            </w:pPr>
            <w:r>
              <w:rPr>
                <w:rFonts w:ascii="Courier New" w:cs="Courier New" w:eastAsia="Courier New" w:hAnsi="Courier New"/>
                <w:sz w:val="15"/>
                <w:szCs w:val="15"/>
                <w:color w:val="auto"/>
              </w:rPr>
              <w:t>WILLIAM T. MC CORMICK, JR., 52; Chairman and Chief Executive Officer,</w:t>
            </w:r>
          </w:p>
        </w:tc>
        <w:tc>
          <w:tcPr>
            <w:tcW w:w="820" w:type="dxa"/>
            <w:vAlign w:val="bottom"/>
          </w:tcPr>
          <w:p>
            <w:pPr>
              <w:spacing w:after="0"/>
              <w:rPr>
                <w:sz w:val="24"/>
                <w:szCs w:val="24"/>
                <w:color w:val="auto"/>
              </w:rPr>
            </w:pPr>
          </w:p>
        </w:tc>
      </w:tr>
      <w:tr>
        <w:trPr>
          <w:trHeight w:val="177"/>
        </w:trPr>
        <w:tc>
          <w:tcPr>
            <w:tcW w:w="6460" w:type="dxa"/>
            <w:vAlign w:val="bottom"/>
          </w:tcPr>
          <w:p>
            <w:pPr>
              <w:ind w:left="80"/>
              <w:spacing w:after="0"/>
              <w:rPr>
                <w:sz w:val="20"/>
                <w:szCs w:val="20"/>
                <w:color w:val="auto"/>
              </w:rPr>
            </w:pPr>
            <w:r>
              <w:rPr>
                <w:rFonts w:ascii="Courier New" w:cs="Courier New" w:eastAsia="Courier New" w:hAnsi="Courier New"/>
                <w:sz w:val="15"/>
                <w:szCs w:val="15"/>
                <w:color w:val="auto"/>
              </w:rPr>
              <w:t>CMS Energy Corp., a diversified energy company, Dearborn,</w:t>
            </w:r>
          </w:p>
        </w:tc>
        <w:tc>
          <w:tcPr>
            <w:tcW w:w="820" w:type="dxa"/>
            <w:vAlign w:val="bottom"/>
          </w:tcPr>
          <w:p>
            <w:pPr>
              <w:spacing w:after="0"/>
              <w:rPr>
                <w:sz w:val="15"/>
                <w:szCs w:val="15"/>
                <w:color w:val="auto"/>
              </w:rPr>
            </w:pPr>
          </w:p>
        </w:tc>
      </w:tr>
      <w:tr>
        <w:trPr>
          <w:trHeight w:val="177"/>
        </w:trPr>
        <w:tc>
          <w:tcPr>
            <w:tcW w:w="6460" w:type="dxa"/>
            <w:vAlign w:val="bottom"/>
          </w:tcPr>
          <w:p>
            <w:pPr>
              <w:ind w:left="80"/>
              <w:spacing w:after="0"/>
              <w:rPr>
                <w:sz w:val="20"/>
                <w:szCs w:val="20"/>
                <w:color w:val="auto"/>
              </w:rPr>
            </w:pPr>
            <w:r>
              <w:rPr>
                <w:rFonts w:ascii="Courier New" w:cs="Courier New" w:eastAsia="Courier New" w:hAnsi="Courier New"/>
                <w:sz w:val="15"/>
                <w:szCs w:val="15"/>
                <w:color w:val="auto"/>
              </w:rPr>
              <w:t>Michigan(6).........................................................</w:t>
            </w:r>
          </w:p>
        </w:tc>
        <w:tc>
          <w:tcPr>
            <w:tcW w:w="820" w:type="dxa"/>
            <w:vAlign w:val="bottom"/>
          </w:tcPr>
          <w:p>
            <w:pPr>
              <w:jc w:val="center"/>
              <w:ind w:left="23"/>
              <w:spacing w:after="0"/>
              <w:rPr>
                <w:sz w:val="20"/>
                <w:szCs w:val="20"/>
                <w:color w:val="auto"/>
              </w:rPr>
            </w:pPr>
            <w:r>
              <w:rPr>
                <w:rFonts w:ascii="Courier New" w:cs="Courier New" w:eastAsia="Courier New" w:hAnsi="Courier New"/>
                <w:sz w:val="15"/>
                <w:szCs w:val="15"/>
                <w:color w:val="auto"/>
                <w:w w:val="99"/>
              </w:rPr>
              <w:t>1990</w:t>
            </w:r>
          </w:p>
        </w:tc>
      </w:tr>
      <w:tr>
        <w:trPr>
          <w:trHeight w:val="177"/>
        </w:trPr>
        <w:tc>
          <w:tcPr>
            <w:tcW w:w="6460" w:type="dxa"/>
            <w:vAlign w:val="bottom"/>
          </w:tcPr>
          <w:p>
            <w:pPr>
              <w:spacing w:after="0"/>
              <w:rPr>
                <w:sz w:val="20"/>
                <w:szCs w:val="20"/>
                <w:color w:val="auto"/>
              </w:rPr>
            </w:pPr>
            <w:r>
              <w:rPr>
                <w:rFonts w:ascii="Courier New" w:cs="Courier New" w:eastAsia="Courier New" w:hAnsi="Courier New"/>
                <w:sz w:val="15"/>
                <w:szCs w:val="15"/>
                <w:color w:val="auto"/>
              </w:rPr>
              <w:t>DIDIER PRIMAT, 52; President, Primwest Holding N.V., an investment</w:t>
            </w:r>
          </w:p>
        </w:tc>
        <w:tc>
          <w:tcPr>
            <w:tcW w:w="820" w:type="dxa"/>
            <w:vAlign w:val="bottom"/>
          </w:tcPr>
          <w:p>
            <w:pPr>
              <w:spacing w:after="0"/>
              <w:rPr>
                <w:sz w:val="15"/>
                <w:szCs w:val="15"/>
                <w:color w:val="auto"/>
              </w:rPr>
            </w:pPr>
          </w:p>
        </w:tc>
      </w:tr>
      <w:tr>
        <w:trPr>
          <w:trHeight w:val="177"/>
        </w:trPr>
        <w:tc>
          <w:tcPr>
            <w:tcW w:w="6460" w:type="dxa"/>
            <w:vAlign w:val="bottom"/>
          </w:tcPr>
          <w:p>
            <w:pPr>
              <w:ind w:left="80"/>
              <w:spacing w:after="0"/>
              <w:rPr>
                <w:sz w:val="20"/>
                <w:szCs w:val="20"/>
                <w:color w:val="auto"/>
              </w:rPr>
            </w:pPr>
            <w:r>
              <w:rPr>
                <w:rFonts w:ascii="Courier New" w:cs="Courier New" w:eastAsia="Courier New" w:hAnsi="Courier New"/>
                <w:sz w:val="15"/>
                <w:szCs w:val="15"/>
                <w:color w:val="auto"/>
              </w:rPr>
              <w:t>management company, Curacao, N.A. (7)...............................</w:t>
            </w:r>
          </w:p>
        </w:tc>
        <w:tc>
          <w:tcPr>
            <w:tcW w:w="820" w:type="dxa"/>
            <w:vAlign w:val="bottom"/>
          </w:tcPr>
          <w:p>
            <w:pPr>
              <w:jc w:val="center"/>
              <w:ind w:left="23"/>
              <w:spacing w:after="0"/>
              <w:rPr>
                <w:sz w:val="20"/>
                <w:szCs w:val="20"/>
                <w:color w:val="auto"/>
              </w:rPr>
            </w:pPr>
            <w:r>
              <w:rPr>
                <w:rFonts w:ascii="Courier New" w:cs="Courier New" w:eastAsia="Courier New" w:hAnsi="Courier New"/>
                <w:sz w:val="15"/>
                <w:szCs w:val="15"/>
                <w:color w:val="auto"/>
                <w:w w:val="99"/>
              </w:rPr>
              <w:t>1988</w:t>
            </w:r>
          </w:p>
        </w:tc>
      </w:tr>
      <w:tr>
        <w:trPr>
          <w:trHeight w:val="177"/>
        </w:trPr>
        <w:tc>
          <w:tcPr>
            <w:tcW w:w="6460" w:type="dxa"/>
            <w:vAlign w:val="bottom"/>
          </w:tcPr>
          <w:p>
            <w:pPr>
              <w:spacing w:after="0"/>
              <w:rPr>
                <w:sz w:val="20"/>
                <w:szCs w:val="20"/>
                <w:color w:val="auto"/>
              </w:rPr>
            </w:pPr>
            <w:r>
              <w:rPr>
                <w:rFonts w:ascii="Courier New" w:cs="Courier New" w:eastAsia="Courier New" w:hAnsi="Courier New"/>
                <w:sz w:val="15"/>
                <w:szCs w:val="15"/>
                <w:color w:val="auto"/>
              </w:rPr>
              <w:t>NICOLAS SEYDOUX, 57; Chairman and Chief Executive Officer, Gaumont, a</w:t>
            </w:r>
          </w:p>
        </w:tc>
        <w:tc>
          <w:tcPr>
            <w:tcW w:w="820" w:type="dxa"/>
            <w:vAlign w:val="bottom"/>
          </w:tcPr>
          <w:p>
            <w:pPr>
              <w:spacing w:after="0"/>
              <w:rPr>
                <w:sz w:val="15"/>
                <w:szCs w:val="15"/>
                <w:color w:val="auto"/>
              </w:rPr>
            </w:pPr>
          </w:p>
        </w:tc>
      </w:tr>
      <w:tr>
        <w:trPr>
          <w:trHeight w:val="177"/>
        </w:trPr>
        <w:tc>
          <w:tcPr>
            <w:tcW w:w="6460" w:type="dxa"/>
            <w:vAlign w:val="bottom"/>
          </w:tcPr>
          <w:p>
            <w:pPr>
              <w:ind w:left="80"/>
              <w:spacing w:after="0"/>
              <w:rPr>
                <w:sz w:val="20"/>
                <w:szCs w:val="20"/>
                <w:color w:val="auto"/>
              </w:rPr>
            </w:pPr>
            <w:r>
              <w:rPr>
                <w:rFonts w:ascii="Courier New" w:cs="Courier New" w:eastAsia="Courier New" w:hAnsi="Courier New"/>
                <w:sz w:val="15"/>
                <w:szCs w:val="15"/>
                <w:color w:val="auto"/>
              </w:rPr>
              <w:t>French film-making enterprise, Paris (7)............................</w:t>
            </w:r>
          </w:p>
        </w:tc>
        <w:tc>
          <w:tcPr>
            <w:tcW w:w="820" w:type="dxa"/>
            <w:vAlign w:val="bottom"/>
          </w:tcPr>
          <w:p>
            <w:pPr>
              <w:jc w:val="center"/>
              <w:ind w:left="23"/>
              <w:spacing w:after="0"/>
              <w:rPr>
                <w:sz w:val="20"/>
                <w:szCs w:val="20"/>
                <w:color w:val="auto"/>
              </w:rPr>
            </w:pPr>
            <w:r>
              <w:rPr>
                <w:rFonts w:ascii="Courier New" w:cs="Courier New" w:eastAsia="Courier New" w:hAnsi="Courier New"/>
                <w:sz w:val="15"/>
                <w:szCs w:val="15"/>
                <w:color w:val="auto"/>
                <w:w w:val="99"/>
              </w:rPr>
              <w:t>1982</w:t>
            </w:r>
          </w:p>
        </w:tc>
      </w:tr>
      <w:tr>
        <w:trPr>
          <w:trHeight w:val="177"/>
        </w:trPr>
        <w:tc>
          <w:tcPr>
            <w:tcW w:w="6460" w:type="dxa"/>
            <w:vAlign w:val="bottom"/>
          </w:tcPr>
          <w:p>
            <w:pPr>
              <w:spacing w:after="0"/>
              <w:rPr>
                <w:sz w:val="20"/>
                <w:szCs w:val="20"/>
                <w:color w:val="auto"/>
              </w:rPr>
            </w:pPr>
            <w:r>
              <w:rPr>
                <w:rFonts w:ascii="Courier New" w:cs="Courier New" w:eastAsia="Courier New" w:hAnsi="Courier New"/>
                <w:sz w:val="15"/>
                <w:szCs w:val="15"/>
                <w:color w:val="auto"/>
              </w:rPr>
              <w:t>LINDA GILLESPIE STUNTZ, 42; Partner, law firm of Stuntz &amp; Davis P.C.,</w:t>
            </w:r>
          </w:p>
        </w:tc>
        <w:tc>
          <w:tcPr>
            <w:tcW w:w="820" w:type="dxa"/>
            <w:vAlign w:val="bottom"/>
          </w:tcPr>
          <w:p>
            <w:pPr>
              <w:spacing w:after="0"/>
              <w:rPr>
                <w:sz w:val="15"/>
                <w:szCs w:val="15"/>
                <w:color w:val="auto"/>
              </w:rPr>
            </w:pPr>
          </w:p>
        </w:tc>
      </w:tr>
      <w:tr>
        <w:trPr>
          <w:trHeight w:val="177"/>
        </w:trPr>
        <w:tc>
          <w:tcPr>
            <w:tcW w:w="6460" w:type="dxa"/>
            <w:vAlign w:val="bottom"/>
          </w:tcPr>
          <w:p>
            <w:pPr>
              <w:ind w:left="80"/>
              <w:spacing w:after="0"/>
              <w:rPr>
                <w:sz w:val="20"/>
                <w:szCs w:val="20"/>
                <w:color w:val="auto"/>
              </w:rPr>
            </w:pPr>
            <w:r>
              <w:rPr>
                <w:rFonts w:ascii="Courier New" w:cs="Courier New" w:eastAsia="Courier New" w:hAnsi="Courier New"/>
                <w:sz w:val="15"/>
                <w:szCs w:val="15"/>
                <w:color w:val="auto"/>
              </w:rPr>
              <w:t>Washington, D.C. since February 1995; Partner, law firm of Van Ness</w:t>
            </w:r>
          </w:p>
        </w:tc>
        <w:tc>
          <w:tcPr>
            <w:tcW w:w="820" w:type="dxa"/>
            <w:vAlign w:val="bottom"/>
          </w:tcPr>
          <w:p>
            <w:pPr>
              <w:spacing w:after="0"/>
              <w:rPr>
                <w:sz w:val="15"/>
                <w:szCs w:val="15"/>
                <w:color w:val="auto"/>
              </w:rPr>
            </w:pPr>
          </w:p>
        </w:tc>
      </w:tr>
      <w:tr>
        <w:trPr>
          <w:trHeight w:val="177"/>
        </w:trPr>
        <w:tc>
          <w:tcPr>
            <w:tcW w:w="6460" w:type="dxa"/>
            <w:vAlign w:val="bottom"/>
          </w:tcPr>
          <w:p>
            <w:pPr>
              <w:ind w:left="80"/>
              <w:spacing w:after="0"/>
              <w:rPr>
                <w:sz w:val="20"/>
                <w:szCs w:val="20"/>
                <w:color w:val="auto"/>
              </w:rPr>
            </w:pPr>
            <w:r>
              <w:rPr>
                <w:rFonts w:ascii="Courier New" w:cs="Courier New" w:eastAsia="Courier New" w:hAnsi="Courier New"/>
                <w:sz w:val="15"/>
                <w:szCs w:val="15"/>
                <w:color w:val="auto"/>
              </w:rPr>
              <w:t>Feldman, P.C., Washington, D.C. March 1993 to February 1995; U.S.</w:t>
            </w:r>
          </w:p>
        </w:tc>
        <w:tc>
          <w:tcPr>
            <w:tcW w:w="820" w:type="dxa"/>
            <w:vAlign w:val="bottom"/>
          </w:tcPr>
          <w:p>
            <w:pPr>
              <w:spacing w:after="0"/>
              <w:rPr>
                <w:sz w:val="15"/>
                <w:szCs w:val="15"/>
                <w:color w:val="auto"/>
              </w:rPr>
            </w:pPr>
          </w:p>
        </w:tc>
      </w:tr>
      <w:tr>
        <w:trPr>
          <w:trHeight w:val="177"/>
        </w:trPr>
        <w:tc>
          <w:tcPr>
            <w:tcW w:w="6460" w:type="dxa"/>
            <w:vAlign w:val="bottom"/>
          </w:tcPr>
          <w:p>
            <w:pPr>
              <w:ind w:left="80"/>
              <w:spacing w:after="0"/>
              <w:rPr>
                <w:sz w:val="20"/>
                <w:szCs w:val="20"/>
                <w:color w:val="auto"/>
              </w:rPr>
            </w:pPr>
            <w:r>
              <w:rPr>
                <w:rFonts w:ascii="Courier New" w:cs="Courier New" w:eastAsia="Courier New" w:hAnsi="Courier New"/>
                <w:sz w:val="15"/>
                <w:szCs w:val="15"/>
                <w:color w:val="auto"/>
              </w:rPr>
              <w:t>Dept. of Energy May 1989 to January 1993 (8)........................</w:t>
            </w:r>
          </w:p>
        </w:tc>
        <w:tc>
          <w:tcPr>
            <w:tcW w:w="820" w:type="dxa"/>
            <w:vAlign w:val="bottom"/>
          </w:tcPr>
          <w:p>
            <w:pPr>
              <w:jc w:val="center"/>
              <w:ind w:left="23"/>
              <w:spacing w:after="0"/>
              <w:rPr>
                <w:sz w:val="20"/>
                <w:szCs w:val="20"/>
                <w:color w:val="auto"/>
              </w:rPr>
            </w:pPr>
            <w:r>
              <w:rPr>
                <w:rFonts w:ascii="Courier New" w:cs="Courier New" w:eastAsia="Courier New" w:hAnsi="Courier New"/>
                <w:sz w:val="15"/>
                <w:szCs w:val="15"/>
                <w:color w:val="auto"/>
                <w:w w:val="99"/>
              </w:rPr>
              <w:t>1993</w:t>
            </w:r>
          </w:p>
        </w:tc>
      </w:tr>
      <w:tr>
        <w:trPr>
          <w:trHeight w:val="177"/>
        </w:trPr>
        <w:tc>
          <w:tcPr>
            <w:tcW w:w="6460" w:type="dxa"/>
            <w:vAlign w:val="bottom"/>
          </w:tcPr>
          <w:p>
            <w:pPr>
              <w:spacing w:after="0"/>
              <w:rPr>
                <w:sz w:val="20"/>
                <w:szCs w:val="20"/>
                <w:color w:val="auto"/>
              </w:rPr>
            </w:pPr>
            <w:r>
              <w:rPr>
                <w:rFonts w:ascii="Courier New" w:cs="Courier New" w:eastAsia="Courier New" w:hAnsi="Courier New"/>
                <w:sz w:val="15"/>
                <w:szCs w:val="15"/>
                <w:color w:val="auto"/>
              </w:rPr>
              <w:t>SVEN ULLRING, 61; President and Chief Executive Officer, Det Norske</w:t>
            </w:r>
          </w:p>
        </w:tc>
        <w:tc>
          <w:tcPr>
            <w:tcW w:w="820" w:type="dxa"/>
            <w:vAlign w:val="bottom"/>
          </w:tcPr>
          <w:p>
            <w:pPr>
              <w:spacing w:after="0"/>
              <w:rPr>
                <w:sz w:val="15"/>
                <w:szCs w:val="15"/>
                <w:color w:val="auto"/>
              </w:rPr>
            </w:pPr>
          </w:p>
        </w:tc>
      </w:tr>
      <w:tr>
        <w:trPr>
          <w:trHeight w:val="177"/>
        </w:trPr>
        <w:tc>
          <w:tcPr>
            <w:tcW w:w="6460" w:type="dxa"/>
            <w:vAlign w:val="bottom"/>
          </w:tcPr>
          <w:p>
            <w:pPr>
              <w:ind w:left="80"/>
              <w:spacing w:after="0"/>
              <w:rPr>
                <w:sz w:val="20"/>
                <w:szCs w:val="20"/>
                <w:color w:val="auto"/>
              </w:rPr>
            </w:pPr>
            <w:r>
              <w:rPr>
                <w:rFonts w:ascii="Courier New" w:cs="Courier New" w:eastAsia="Courier New" w:hAnsi="Courier New"/>
                <w:sz w:val="15"/>
                <w:szCs w:val="15"/>
                <w:color w:val="auto"/>
              </w:rPr>
              <w:t>Veritas, which provides safety, quality and reliability services to</w:t>
            </w:r>
          </w:p>
        </w:tc>
        <w:tc>
          <w:tcPr>
            <w:tcW w:w="820" w:type="dxa"/>
            <w:vAlign w:val="bottom"/>
          </w:tcPr>
          <w:p>
            <w:pPr>
              <w:spacing w:after="0"/>
              <w:rPr>
                <w:sz w:val="15"/>
                <w:szCs w:val="15"/>
                <w:color w:val="auto"/>
              </w:rPr>
            </w:pPr>
          </w:p>
        </w:tc>
      </w:tr>
      <w:tr>
        <w:trPr>
          <w:trHeight w:val="177"/>
        </w:trPr>
        <w:tc>
          <w:tcPr>
            <w:tcW w:w="6460" w:type="dxa"/>
            <w:vAlign w:val="bottom"/>
          </w:tcPr>
          <w:p>
            <w:pPr>
              <w:ind w:left="80"/>
              <w:spacing w:after="0"/>
              <w:rPr>
                <w:sz w:val="20"/>
                <w:szCs w:val="20"/>
                <w:color w:val="auto"/>
              </w:rPr>
            </w:pPr>
            <w:r>
              <w:rPr>
                <w:rFonts w:ascii="Courier New" w:cs="Courier New" w:eastAsia="Courier New" w:hAnsi="Courier New"/>
                <w:sz w:val="15"/>
                <w:szCs w:val="15"/>
                <w:color w:val="auto"/>
              </w:rPr>
              <w:t>maritime, offshore and other industries, Hovik, Norway..............</w:t>
            </w:r>
          </w:p>
        </w:tc>
        <w:tc>
          <w:tcPr>
            <w:tcW w:w="820" w:type="dxa"/>
            <w:vAlign w:val="bottom"/>
          </w:tcPr>
          <w:p>
            <w:pPr>
              <w:jc w:val="center"/>
              <w:ind w:left="23"/>
              <w:spacing w:after="0"/>
              <w:rPr>
                <w:sz w:val="20"/>
                <w:szCs w:val="20"/>
                <w:color w:val="auto"/>
              </w:rPr>
            </w:pPr>
            <w:r>
              <w:rPr>
                <w:rFonts w:ascii="Courier New" w:cs="Courier New" w:eastAsia="Courier New" w:hAnsi="Courier New"/>
                <w:sz w:val="15"/>
                <w:szCs w:val="15"/>
                <w:color w:val="auto"/>
                <w:w w:val="99"/>
              </w:rPr>
              <w:t>1990</w:t>
            </w:r>
          </w:p>
        </w:tc>
      </w:tr>
      <w:tr>
        <w:trPr>
          <w:trHeight w:val="177"/>
        </w:trPr>
        <w:tc>
          <w:tcPr>
            <w:tcW w:w="6460" w:type="dxa"/>
            <w:vAlign w:val="bottom"/>
          </w:tcPr>
          <w:p>
            <w:pPr>
              <w:spacing w:after="0"/>
              <w:rPr>
                <w:sz w:val="20"/>
                <w:szCs w:val="20"/>
                <w:color w:val="auto"/>
              </w:rPr>
            </w:pPr>
            <w:r>
              <w:rPr>
                <w:rFonts w:ascii="Courier New" w:cs="Courier New" w:eastAsia="Courier New" w:hAnsi="Courier New"/>
                <w:sz w:val="15"/>
                <w:szCs w:val="15"/>
                <w:color w:val="auto"/>
              </w:rPr>
              <w:t>YOSHIHIKO WAKUMOTO, 65; Adviser to Toshiba Corporation, a technology</w:t>
            </w:r>
          </w:p>
        </w:tc>
        <w:tc>
          <w:tcPr>
            <w:tcW w:w="820" w:type="dxa"/>
            <w:vAlign w:val="bottom"/>
          </w:tcPr>
          <w:p>
            <w:pPr>
              <w:spacing w:after="0"/>
              <w:rPr>
                <w:sz w:val="15"/>
                <w:szCs w:val="15"/>
                <w:color w:val="auto"/>
              </w:rPr>
            </w:pPr>
          </w:p>
        </w:tc>
      </w:tr>
      <w:tr>
        <w:trPr>
          <w:trHeight w:val="177"/>
        </w:trPr>
        <w:tc>
          <w:tcPr>
            <w:tcW w:w="6460" w:type="dxa"/>
            <w:vAlign w:val="bottom"/>
          </w:tcPr>
          <w:p>
            <w:pPr>
              <w:ind w:left="80"/>
              <w:spacing w:after="0"/>
              <w:rPr>
                <w:sz w:val="20"/>
                <w:szCs w:val="20"/>
                <w:color w:val="auto"/>
              </w:rPr>
            </w:pPr>
            <w:r>
              <w:rPr>
                <w:rFonts w:ascii="Courier New" w:cs="Courier New" w:eastAsia="Courier New" w:hAnsi="Courier New"/>
                <w:sz w:val="15"/>
                <w:szCs w:val="15"/>
                <w:color w:val="auto"/>
              </w:rPr>
              <w:t>company centered on electronics and energy, since July 1996, and</w:t>
            </w:r>
          </w:p>
        </w:tc>
        <w:tc>
          <w:tcPr>
            <w:tcW w:w="820" w:type="dxa"/>
            <w:vAlign w:val="bottom"/>
          </w:tcPr>
          <w:p>
            <w:pPr>
              <w:spacing w:after="0"/>
              <w:rPr>
                <w:sz w:val="15"/>
                <w:szCs w:val="15"/>
                <w:color w:val="auto"/>
              </w:rPr>
            </w:pPr>
          </w:p>
        </w:tc>
      </w:tr>
      <w:tr>
        <w:trPr>
          <w:trHeight w:val="177"/>
        </w:trPr>
        <w:tc>
          <w:tcPr>
            <w:tcW w:w="6460" w:type="dxa"/>
            <w:vAlign w:val="bottom"/>
          </w:tcPr>
          <w:p>
            <w:pPr>
              <w:ind w:left="80"/>
              <w:spacing w:after="0"/>
              <w:rPr>
                <w:sz w:val="20"/>
                <w:szCs w:val="20"/>
                <w:color w:val="auto"/>
              </w:rPr>
            </w:pPr>
            <w:r>
              <w:rPr>
                <w:rFonts w:ascii="Courier New" w:cs="Courier New" w:eastAsia="Courier New" w:hAnsi="Courier New"/>
                <w:sz w:val="15"/>
                <w:szCs w:val="15"/>
                <w:color w:val="auto"/>
              </w:rPr>
              <w:t>since November 1996, Vice President, The Japan Foundation, and</w:t>
            </w:r>
          </w:p>
        </w:tc>
        <w:tc>
          <w:tcPr>
            <w:tcW w:w="820" w:type="dxa"/>
            <w:vAlign w:val="bottom"/>
          </w:tcPr>
          <w:p>
            <w:pPr>
              <w:spacing w:after="0"/>
              <w:rPr>
                <w:sz w:val="15"/>
                <w:szCs w:val="15"/>
                <w:color w:val="auto"/>
              </w:rPr>
            </w:pPr>
          </w:p>
        </w:tc>
      </w:tr>
      <w:tr>
        <w:trPr>
          <w:trHeight w:val="177"/>
        </w:trPr>
        <w:tc>
          <w:tcPr>
            <w:tcW w:w="6460" w:type="dxa"/>
            <w:vAlign w:val="bottom"/>
          </w:tcPr>
          <w:p>
            <w:pPr>
              <w:ind w:left="80"/>
              <w:spacing w:after="0"/>
              <w:rPr>
                <w:sz w:val="20"/>
                <w:szCs w:val="20"/>
                <w:color w:val="auto"/>
              </w:rPr>
            </w:pPr>
            <w:r>
              <w:rPr>
                <w:rFonts w:ascii="Courier New" w:cs="Courier New" w:eastAsia="Courier New" w:hAnsi="Courier New"/>
                <w:sz w:val="15"/>
                <w:szCs w:val="15"/>
                <w:color w:val="auto"/>
              </w:rPr>
              <w:t>Executive Director of its Center for Global Partnership; Member of</w:t>
            </w:r>
          </w:p>
        </w:tc>
        <w:tc>
          <w:tcPr>
            <w:tcW w:w="820" w:type="dxa"/>
            <w:vAlign w:val="bottom"/>
          </w:tcPr>
          <w:p>
            <w:pPr>
              <w:spacing w:after="0"/>
              <w:rPr>
                <w:sz w:val="15"/>
                <w:szCs w:val="15"/>
                <w:color w:val="auto"/>
              </w:rPr>
            </w:pPr>
          </w:p>
        </w:tc>
      </w:tr>
      <w:tr>
        <w:trPr>
          <w:trHeight w:val="177"/>
        </w:trPr>
        <w:tc>
          <w:tcPr>
            <w:tcW w:w="6460" w:type="dxa"/>
            <w:vAlign w:val="bottom"/>
          </w:tcPr>
          <w:p>
            <w:pPr>
              <w:ind w:left="80"/>
              <w:spacing w:after="0"/>
              <w:rPr>
                <w:sz w:val="20"/>
                <w:szCs w:val="20"/>
                <w:color w:val="auto"/>
              </w:rPr>
            </w:pPr>
            <w:r>
              <w:rPr>
                <w:rFonts w:ascii="Courier New" w:cs="Courier New" w:eastAsia="Courier New" w:hAnsi="Courier New"/>
                <w:sz w:val="15"/>
                <w:szCs w:val="15"/>
                <w:color w:val="auto"/>
              </w:rPr>
              <w:t>Board of Toshiba Corporation from July 1988 to June 1996; from July</w:t>
            </w:r>
          </w:p>
        </w:tc>
        <w:tc>
          <w:tcPr>
            <w:tcW w:w="820" w:type="dxa"/>
            <w:vAlign w:val="bottom"/>
          </w:tcPr>
          <w:p>
            <w:pPr>
              <w:spacing w:after="0"/>
              <w:rPr>
                <w:sz w:val="15"/>
                <w:szCs w:val="15"/>
                <w:color w:val="auto"/>
              </w:rPr>
            </w:pPr>
          </w:p>
        </w:tc>
      </w:tr>
      <w:tr>
        <w:trPr>
          <w:trHeight w:val="177"/>
        </w:trPr>
        <w:tc>
          <w:tcPr>
            <w:tcW w:w="6460" w:type="dxa"/>
            <w:vAlign w:val="bottom"/>
          </w:tcPr>
          <w:p>
            <w:pPr>
              <w:ind w:left="80"/>
              <w:spacing w:after="0"/>
              <w:rPr>
                <w:sz w:val="20"/>
                <w:szCs w:val="20"/>
                <w:color w:val="auto"/>
              </w:rPr>
            </w:pPr>
            <w:r>
              <w:rPr>
                <w:rFonts w:ascii="Courier New" w:cs="Courier New" w:eastAsia="Courier New" w:hAnsi="Courier New"/>
                <w:sz w:val="15"/>
                <w:szCs w:val="15"/>
                <w:color w:val="auto"/>
              </w:rPr>
              <w:t>1992 to June 1996, Executive Vice President of Toshiba with</w:t>
            </w:r>
          </w:p>
        </w:tc>
        <w:tc>
          <w:tcPr>
            <w:tcW w:w="820" w:type="dxa"/>
            <w:vAlign w:val="bottom"/>
          </w:tcPr>
          <w:p>
            <w:pPr>
              <w:spacing w:after="0"/>
              <w:rPr>
                <w:sz w:val="15"/>
                <w:szCs w:val="15"/>
                <w:color w:val="auto"/>
              </w:rPr>
            </w:pPr>
          </w:p>
        </w:tc>
      </w:tr>
      <w:tr>
        <w:trPr>
          <w:trHeight w:val="177"/>
        </w:trPr>
        <w:tc>
          <w:tcPr>
            <w:tcW w:w="6460" w:type="dxa"/>
            <w:vAlign w:val="bottom"/>
          </w:tcPr>
          <w:p>
            <w:pPr>
              <w:ind w:left="80"/>
              <w:spacing w:after="0"/>
              <w:rPr>
                <w:sz w:val="20"/>
                <w:szCs w:val="20"/>
                <w:color w:val="auto"/>
              </w:rPr>
            </w:pPr>
            <w:r>
              <w:rPr>
                <w:rFonts w:ascii="Courier New" w:cs="Courier New" w:eastAsia="Courier New" w:hAnsi="Courier New"/>
                <w:sz w:val="15"/>
                <w:szCs w:val="15"/>
                <w:color w:val="auto"/>
              </w:rPr>
              <w:t>responsibility for corporate planning, group companies and</w:t>
            </w:r>
          </w:p>
        </w:tc>
        <w:tc>
          <w:tcPr>
            <w:tcW w:w="820" w:type="dxa"/>
            <w:vAlign w:val="bottom"/>
          </w:tcPr>
          <w:p>
            <w:pPr>
              <w:spacing w:after="0"/>
              <w:rPr>
                <w:sz w:val="15"/>
                <w:szCs w:val="15"/>
                <w:color w:val="auto"/>
              </w:rPr>
            </w:pPr>
          </w:p>
        </w:tc>
      </w:tr>
      <w:tr>
        <w:trPr>
          <w:trHeight w:val="177"/>
        </w:trPr>
        <w:tc>
          <w:tcPr>
            <w:tcW w:w="6460" w:type="dxa"/>
            <w:vAlign w:val="bottom"/>
          </w:tcPr>
          <w:p>
            <w:pPr>
              <w:ind w:left="80"/>
              <w:spacing w:after="0"/>
              <w:rPr>
                <w:sz w:val="20"/>
                <w:szCs w:val="20"/>
                <w:color w:val="auto"/>
              </w:rPr>
            </w:pPr>
            <w:r>
              <w:rPr>
                <w:rFonts w:ascii="Courier New" w:cs="Courier New" w:eastAsia="Courier New" w:hAnsi="Courier New"/>
                <w:sz w:val="15"/>
                <w:szCs w:val="15"/>
                <w:color w:val="auto"/>
              </w:rPr>
              <w:t>information systems (1992 to 1995), and international affairs</w:t>
            </w:r>
          </w:p>
        </w:tc>
        <w:tc>
          <w:tcPr>
            <w:tcW w:w="820" w:type="dxa"/>
            <w:vAlign w:val="bottom"/>
          </w:tcPr>
          <w:p>
            <w:pPr>
              <w:spacing w:after="0"/>
              <w:rPr>
                <w:sz w:val="15"/>
                <w:szCs w:val="15"/>
                <w:color w:val="auto"/>
              </w:rPr>
            </w:pPr>
          </w:p>
        </w:tc>
      </w:tr>
      <w:tr>
        <w:trPr>
          <w:trHeight w:val="177"/>
        </w:trPr>
        <w:tc>
          <w:tcPr>
            <w:tcW w:w="6460" w:type="dxa"/>
            <w:vAlign w:val="bottom"/>
          </w:tcPr>
          <w:p>
            <w:pPr>
              <w:ind w:left="80"/>
              <w:spacing w:after="0"/>
              <w:rPr>
                <w:sz w:val="20"/>
                <w:szCs w:val="20"/>
                <w:color w:val="auto"/>
              </w:rPr>
            </w:pPr>
            <w:r>
              <w:rPr>
                <w:rFonts w:ascii="Courier New" w:cs="Courier New" w:eastAsia="Courier New" w:hAnsi="Courier New"/>
                <w:sz w:val="15"/>
                <w:szCs w:val="15"/>
                <w:color w:val="auto"/>
              </w:rPr>
              <w:t>(1996); from July 1990 to June 1992, Senior Vice President of</w:t>
            </w:r>
          </w:p>
        </w:tc>
        <w:tc>
          <w:tcPr>
            <w:tcW w:w="820" w:type="dxa"/>
            <w:vAlign w:val="bottom"/>
          </w:tcPr>
          <w:p>
            <w:pPr>
              <w:spacing w:after="0"/>
              <w:rPr>
                <w:sz w:val="15"/>
                <w:szCs w:val="15"/>
                <w:color w:val="auto"/>
              </w:rPr>
            </w:pPr>
          </w:p>
        </w:tc>
      </w:tr>
      <w:tr>
        <w:trPr>
          <w:trHeight w:val="177"/>
        </w:trPr>
        <w:tc>
          <w:tcPr>
            <w:tcW w:w="6460" w:type="dxa"/>
            <w:vAlign w:val="bottom"/>
          </w:tcPr>
          <w:p>
            <w:pPr>
              <w:ind w:left="80"/>
              <w:spacing w:after="0"/>
              <w:rPr>
                <w:sz w:val="20"/>
                <w:szCs w:val="20"/>
                <w:color w:val="auto"/>
              </w:rPr>
            </w:pPr>
            <w:r>
              <w:rPr>
                <w:rFonts w:ascii="Courier New" w:cs="Courier New" w:eastAsia="Courier New" w:hAnsi="Courier New"/>
                <w:sz w:val="15"/>
                <w:szCs w:val="15"/>
                <w:color w:val="auto"/>
              </w:rPr>
              <w:t>Toshiba with responsibility for international staff (1990 and 1991)</w:t>
            </w:r>
          </w:p>
        </w:tc>
        <w:tc>
          <w:tcPr>
            <w:tcW w:w="820" w:type="dxa"/>
            <w:vAlign w:val="bottom"/>
          </w:tcPr>
          <w:p>
            <w:pPr>
              <w:spacing w:after="0"/>
              <w:rPr>
                <w:sz w:val="15"/>
                <w:szCs w:val="15"/>
                <w:color w:val="auto"/>
              </w:rPr>
            </w:pPr>
          </w:p>
        </w:tc>
      </w:tr>
      <w:tr>
        <w:trPr>
          <w:trHeight w:val="177"/>
        </w:trPr>
        <w:tc>
          <w:tcPr>
            <w:tcW w:w="6460" w:type="dxa"/>
            <w:vAlign w:val="bottom"/>
          </w:tcPr>
          <w:p>
            <w:pPr>
              <w:ind w:left="80"/>
              <w:spacing w:after="0"/>
              <w:rPr>
                <w:sz w:val="20"/>
                <w:szCs w:val="20"/>
                <w:color w:val="auto"/>
              </w:rPr>
            </w:pPr>
            <w:r>
              <w:rPr>
                <w:rFonts w:ascii="Courier New" w:cs="Courier New" w:eastAsia="Courier New" w:hAnsi="Courier New"/>
                <w:sz w:val="15"/>
                <w:szCs w:val="15"/>
                <w:color w:val="auto"/>
              </w:rPr>
              <w:t>and corporate planning (1992), all in Tokyo.........................</w:t>
            </w:r>
          </w:p>
        </w:tc>
        <w:tc>
          <w:tcPr>
            <w:tcW w:w="820" w:type="dxa"/>
            <w:vAlign w:val="bottom"/>
          </w:tcPr>
          <w:p>
            <w:pPr>
              <w:jc w:val="center"/>
              <w:ind w:left="3"/>
              <w:spacing w:after="0"/>
              <w:rPr>
                <w:sz w:val="20"/>
                <w:szCs w:val="20"/>
                <w:color w:val="auto"/>
              </w:rPr>
            </w:pPr>
            <w:r>
              <w:rPr>
                <w:rFonts w:ascii="Courier New" w:cs="Courier New" w:eastAsia="Courier New" w:hAnsi="Courier New"/>
                <w:sz w:val="15"/>
                <w:szCs w:val="15"/>
                <w:color w:val="auto"/>
                <w:w w:val="99"/>
              </w:rPr>
              <w:t>--</w:t>
            </w:r>
          </w:p>
        </w:tc>
      </w:tr>
    </w:tbl>
    <w:p>
      <w:pPr>
        <w:spacing w:after="0" w:line="183"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465" w:right="3219" w:hanging="465"/>
        <w:spacing w:after="0" w:line="250" w:lineRule="auto"/>
        <w:tabs>
          <w:tab w:leader="none" w:pos="46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Ackerman is also a director of Genicom Corporation, which is in the business of computer peripherals, electronic components and computer related services.</w:t>
      </w:r>
    </w:p>
    <w:p>
      <w:pPr>
        <w:spacing w:after="0" w:line="1" w:lineRule="exact"/>
        <w:rPr>
          <w:rFonts w:ascii="Courier New" w:cs="Courier New" w:eastAsia="Courier New" w:hAnsi="Courier New"/>
          <w:sz w:val="15"/>
          <w:szCs w:val="15"/>
          <w:color w:val="auto"/>
        </w:rPr>
      </w:pPr>
    </w:p>
    <w:p>
      <w:pPr>
        <w:ind w:left="465" w:right="3019" w:hanging="465"/>
        <w:spacing w:after="0" w:line="250" w:lineRule="auto"/>
        <w:tabs>
          <w:tab w:leader="none" w:pos="46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Baird is also a director of Compagnie Financiere de Paribas, Paris, France and of The BOC Group plc, a United Kingdom company in the chemical and health care industries. He is a trustee of Haven Capital Management Trust.</w:t>
      </w:r>
    </w:p>
    <w:p>
      <w:pPr>
        <w:spacing w:after="0" w:line="1" w:lineRule="exact"/>
        <w:rPr>
          <w:rFonts w:ascii="Courier New" w:cs="Courier New" w:eastAsia="Courier New" w:hAnsi="Courier New"/>
          <w:sz w:val="15"/>
          <w:szCs w:val="15"/>
          <w:color w:val="auto"/>
        </w:rPr>
      </w:pPr>
    </w:p>
    <w:p>
      <w:pPr>
        <w:ind w:left="465" w:right="3119" w:hanging="465"/>
        <w:spacing w:after="0" w:line="250" w:lineRule="auto"/>
        <w:tabs>
          <w:tab w:leader="none" w:pos="46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Deutch is also a director of Citicorp, a bank holding company which is the parent of Citibank, CMS Energy Corp., a diversified energy company, and Palomar Medical Technologies, a manufacturer of laser-based systems for cosmetic and medical procedures and of circuitry for commercial, industrial and business use.</w:t>
      </w:r>
    </w:p>
    <w:p>
      <w:pPr>
        <w:spacing w:after="0" w:line="2" w:lineRule="exact"/>
        <w:rPr>
          <w:rFonts w:ascii="Courier New" w:cs="Courier New" w:eastAsia="Courier New" w:hAnsi="Courier New"/>
          <w:sz w:val="15"/>
          <w:szCs w:val="15"/>
          <w:color w:val="auto"/>
        </w:rPr>
      </w:pPr>
    </w:p>
    <w:p>
      <w:pPr>
        <w:ind w:left="465" w:right="3219" w:hanging="465"/>
        <w:spacing w:after="0" w:line="250" w:lineRule="auto"/>
        <w:tabs>
          <w:tab w:leader="none" w:pos="46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Sir Denys is also a non-executive director of Barclays Bank PLC and is Chairman of Dalgety PLC, a United Kingdom agricultural products holding company.</w:t>
      </w:r>
    </w:p>
    <w:p>
      <w:pPr>
        <w:spacing w:after="0" w:line="1" w:lineRule="exact"/>
        <w:rPr>
          <w:rFonts w:ascii="Courier New" w:cs="Courier New" w:eastAsia="Courier New" w:hAnsi="Courier New"/>
          <w:sz w:val="15"/>
          <w:szCs w:val="15"/>
          <w:color w:val="auto"/>
        </w:rPr>
      </w:pPr>
    </w:p>
    <w:p>
      <w:pPr>
        <w:ind w:left="465" w:right="3019" w:hanging="465"/>
        <w:spacing w:after="0" w:line="251" w:lineRule="auto"/>
        <w:tabs>
          <w:tab w:leader="none" w:pos="46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Levy-Lang is also a director of Elf-Aquitaine, a producer of oil, gas and chemicals. On January 4, 1996, Mr. Levy-Lang was notified by a French judge that he was placed under official investigation ("mise en examen") as part of an ongoing inquiry regarding irregularities uncovered</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5"/>
          </w:cols>
          <w:pgMar w:left="235" w:top="1005" w:right="1440" w:bottom="1440" w:gutter="0" w:footer="0" w:header="0"/>
        </w:sectPr>
      </w:pPr>
    </w:p>
    <w:bookmarkStart w:id="6" w:name="page7"/>
    <w:bookmarkEnd w:id="6"/>
    <w:p>
      <w:pPr>
        <w:ind w:left="465" w:right="3119"/>
        <w:spacing w:after="0" w:line="250" w:lineRule="auto"/>
        <w:rPr>
          <w:sz w:val="20"/>
          <w:szCs w:val="20"/>
          <w:color w:val="auto"/>
        </w:rPr>
      </w:pPr>
      <w:r>
        <w:rPr>
          <w:rFonts w:ascii="Courier New" w:cs="Courier New" w:eastAsia="Courier New" w:hAnsi="Courier New"/>
          <w:sz w:val="15"/>
          <w:szCs w:val="15"/>
          <w:color w:val="auto"/>
        </w:rPr>
        <w:t>in the 1991 financial statements of Ciments Francais, S.A., which was at that time a subsidiary of Compagnie Financiere de Paribas.</w:t>
      </w:r>
    </w:p>
    <w:p>
      <w:pPr>
        <w:spacing w:after="0" w:line="1" w:lineRule="exact"/>
        <w:rPr>
          <w:sz w:val="20"/>
          <w:szCs w:val="20"/>
          <w:color w:val="auto"/>
        </w:rPr>
      </w:pPr>
    </w:p>
    <w:p>
      <w:pPr>
        <w:ind w:left="465" w:right="3299" w:hanging="465"/>
        <w:spacing w:after="0" w:line="250" w:lineRule="auto"/>
        <w:tabs>
          <w:tab w:leader="none" w:pos="46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McCormick is also a director of First Chicago NBD Inc., a regional bank holding company, and Rockwell International Inc., a diversified producer of products among which are electronic, industrial automation and avionics products.</w:t>
      </w:r>
    </w:p>
    <w:p>
      <w:pPr>
        <w:spacing w:after="0" w:line="1" w:lineRule="exact"/>
        <w:rPr>
          <w:rFonts w:ascii="Courier New" w:cs="Courier New" w:eastAsia="Courier New" w:hAnsi="Courier New"/>
          <w:sz w:val="15"/>
          <w:szCs w:val="15"/>
          <w:color w:val="auto"/>
        </w:rPr>
      </w:pPr>
    </w:p>
    <w:p>
      <w:pPr>
        <w:ind w:left="465" w:hanging="465"/>
        <w:spacing w:after="0"/>
        <w:tabs>
          <w:tab w:leader="none" w:pos="46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Primat and Mr. Seydoux are cousins.</w:t>
      </w:r>
    </w:p>
    <w:p>
      <w:pPr>
        <w:spacing w:after="0" w:line="7" w:lineRule="exact"/>
        <w:rPr>
          <w:rFonts w:ascii="Courier New" w:cs="Courier New" w:eastAsia="Courier New" w:hAnsi="Courier New"/>
          <w:sz w:val="15"/>
          <w:szCs w:val="15"/>
          <w:color w:val="auto"/>
        </w:rPr>
      </w:pPr>
    </w:p>
    <w:p>
      <w:pPr>
        <w:ind w:left="465" w:right="3219" w:hanging="465"/>
        <w:spacing w:after="0" w:line="253" w:lineRule="auto"/>
        <w:tabs>
          <w:tab w:leader="none" w:pos="46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Ms. Stuntz is also a director of American Electric Power Company, Inc., an electric and power holding company.</w:t>
      </w:r>
    </w:p>
    <w:p>
      <w:pPr>
        <w:spacing w:after="0" w:line="174"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5"/>
          </w:cols>
          <w:pgMar w:left="235" w:top="650" w:right="1440" w:bottom="1440" w:gutter="0" w:footer="0" w:header="0"/>
        </w:sectPr>
      </w:pPr>
    </w:p>
    <w:bookmarkStart w:id="7" w:name="page8"/>
    <w:bookmarkEnd w:id="7"/>
    <w:p>
      <w:pPr>
        <w:ind w:left="5"/>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p>
      <w:pPr>
        <w:spacing w:after="0" w:line="185" w:lineRule="exact"/>
        <w:rPr>
          <w:sz w:val="20"/>
          <w:szCs w:val="20"/>
          <w:color w:val="auto"/>
        </w:rPr>
      </w:pPr>
    </w:p>
    <w:p>
      <w:pPr>
        <w:ind w:left="5" w:right="3119" w:firstLine="185"/>
        <w:spacing w:after="0" w:line="253" w:lineRule="auto"/>
        <w:rPr>
          <w:sz w:val="20"/>
          <w:szCs w:val="20"/>
          <w:color w:val="auto"/>
        </w:rPr>
      </w:pPr>
      <w:r>
        <w:rPr>
          <w:rFonts w:ascii="Courier New" w:cs="Courier New" w:eastAsia="Courier New" w:hAnsi="Courier New"/>
          <w:sz w:val="15"/>
          <w:szCs w:val="15"/>
          <w:color w:val="auto"/>
        </w:rPr>
        <w:t>The following table sets forth information with respect to persons known by the Company to be the beneficial owner of 5% or more of the Common Stock.</w:t>
      </w:r>
    </w:p>
    <w:p>
      <w:pPr>
        <w:sectPr>
          <w:pgSz w:w="11900" w:h="16838" w:orient="portrait"/>
          <w:cols w:equalWidth="0" w:num="1">
            <w:col w:w="10225"/>
          </w:cols>
          <w:pgMar w:left="235" w:top="65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45"/>
        <w:spacing w:after="0"/>
        <w:rPr>
          <w:sz w:val="20"/>
          <w:szCs w:val="20"/>
          <w:color w:val="auto"/>
        </w:rPr>
      </w:pPr>
      <w:r>
        <w:rPr>
          <w:rFonts w:ascii="Courier New" w:cs="Courier New" w:eastAsia="Courier New" w:hAnsi="Courier New"/>
          <w:sz w:val="15"/>
          <w:szCs w:val="15"/>
          <w:color w:val="auto"/>
        </w:rPr>
        <w:t>NAME AND ADDRESS</w:t>
      </w:r>
    </w:p>
    <w:p>
      <w:pPr>
        <w:spacing w:after="0" w:line="8" w:lineRule="exact"/>
        <w:rPr>
          <w:sz w:val="20"/>
          <w:szCs w:val="20"/>
          <w:color w:val="auto"/>
        </w:rPr>
      </w:pPr>
    </w:p>
    <w:p>
      <w:pPr>
        <w:ind w:left="1945"/>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BENEFICIAL OWNERSHIP</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OF COMMON STOCK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5"/>
          <w:szCs w:val="15"/>
          <w:color w:val="auto"/>
        </w:rPr>
        <w:t>NUMBER OF</w:t>
        <w:tab/>
        <w:t>PERCENTAGE</w:t>
      </w:r>
    </w:p>
    <w:p>
      <w:pPr>
        <w:spacing w:after="0" w:line="8" w:lineRule="exact"/>
        <w:rPr>
          <w:sz w:val="20"/>
          <w:szCs w:val="20"/>
          <w:color w:val="auto"/>
        </w:rPr>
      </w:pPr>
    </w:p>
    <w:p>
      <w:pPr>
        <w:ind w:left="180"/>
        <w:spacing w:after="0"/>
        <w:tabs>
          <w:tab w:leader="none" w:pos="108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OF CLASS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sectPr>
          <w:pgSz w:w="11900" w:h="16838" w:orient="portrait"/>
          <w:cols w:equalWidth="0" w:num="2">
            <w:col w:w="4725" w:space="720"/>
            <w:col w:w="4779"/>
          </w:cols>
          <w:pgMar w:left="235" w:top="650" w:right="1440" w:bottom="1440" w:gutter="0" w:footer="0" w:header="0"/>
          <w:type w:val="continuous"/>
        </w:sectPr>
      </w:pPr>
    </w:p>
    <w:p>
      <w:pPr>
        <w:ind w:left="5"/>
        <w:spacing w:after="0"/>
        <w:rPr>
          <w:sz w:val="20"/>
          <w:szCs w:val="20"/>
          <w:color w:val="auto"/>
        </w:rPr>
      </w:pPr>
      <w:r>
        <w:rPr>
          <w:rFonts w:ascii="Courier New" w:cs="Courier New" w:eastAsia="Courier New" w:hAnsi="Courier New"/>
          <w:sz w:val="15"/>
          <w:szCs w:val="15"/>
          <w:color w:val="auto"/>
        </w:rPr>
        <w:t>FMR Corp. (1)............................................. 25,335,833</w:t>
      </w:r>
    </w:p>
    <w:p>
      <w:pPr>
        <w:spacing w:after="0" w:line="8" w:lineRule="exact"/>
        <w:rPr>
          <w:sz w:val="20"/>
          <w:szCs w:val="20"/>
          <w:color w:val="auto"/>
        </w:rPr>
      </w:pPr>
    </w:p>
    <w:p>
      <w:pPr>
        <w:ind w:left="85"/>
        <w:spacing w:after="0"/>
        <w:rPr>
          <w:sz w:val="20"/>
          <w:szCs w:val="20"/>
          <w:color w:val="auto"/>
        </w:rPr>
      </w:pPr>
      <w:r>
        <w:rPr>
          <w:rFonts w:ascii="Courier New" w:cs="Courier New" w:eastAsia="Courier New" w:hAnsi="Courier New"/>
          <w:sz w:val="15"/>
          <w:szCs w:val="15"/>
          <w:color w:val="auto"/>
        </w:rPr>
        <w:t>85 Devonshire Street</w:t>
      </w:r>
    </w:p>
    <w:p>
      <w:pPr>
        <w:spacing w:after="0" w:line="8" w:lineRule="exact"/>
        <w:rPr>
          <w:sz w:val="20"/>
          <w:szCs w:val="20"/>
          <w:color w:val="auto"/>
        </w:rPr>
      </w:pPr>
    </w:p>
    <w:p>
      <w:pPr>
        <w:ind w:left="85"/>
        <w:spacing w:after="0"/>
        <w:rPr>
          <w:sz w:val="20"/>
          <w:szCs w:val="20"/>
          <w:color w:val="auto"/>
        </w:rPr>
      </w:pPr>
      <w:r>
        <w:rPr>
          <w:rFonts w:ascii="Courier New" w:cs="Courier New" w:eastAsia="Courier New" w:hAnsi="Courier New"/>
          <w:sz w:val="15"/>
          <w:szCs w:val="15"/>
          <w:color w:val="auto"/>
        </w:rPr>
        <w:t>Boston, Massachusetts 02109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10.29%</w:t>
      </w:r>
    </w:p>
    <w:p>
      <w:pPr>
        <w:spacing w:after="0" w:line="539" w:lineRule="exact"/>
        <w:rPr>
          <w:sz w:val="20"/>
          <w:szCs w:val="20"/>
          <w:color w:val="auto"/>
        </w:rPr>
      </w:pPr>
    </w:p>
    <w:p>
      <w:pPr>
        <w:sectPr>
          <w:pgSz w:w="11900" w:h="16838" w:orient="portrait"/>
          <w:cols w:equalWidth="0" w:num="2">
            <w:col w:w="6365" w:space="280"/>
            <w:col w:w="3579"/>
          </w:cols>
          <w:pgMar w:left="235" w:top="650" w:right="1440" w:bottom="1440" w:gutter="0" w:footer="0" w:header="0"/>
          <w:type w:val="continuous"/>
        </w:sect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465" w:right="3019" w:hanging="465"/>
        <w:spacing w:after="0" w:line="251" w:lineRule="auto"/>
        <w:tabs>
          <w:tab w:leader="none" w:pos="46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an Amendment to a Statement on Schedule 13G dated February 14, 1997. Such filing indicates that FMR Corp. has sole voting power with respect to 1,943,559 shares and sole dispositive power with respect to 25,335,833 shares. FMR Corp. is the parent of Fidelity Management &amp; Research Company, investment adviser to the Fidelity group of investment companies. The filing indicates that the Common Stock was acquired in the ordinary course of business and not for the purpose of influencing control of the Company.</w:t>
      </w:r>
    </w:p>
    <w:p>
      <w:pPr>
        <w:spacing w:after="0" w:line="175" w:lineRule="exact"/>
        <w:rPr>
          <w:sz w:val="20"/>
          <w:szCs w:val="20"/>
          <w:color w:val="auto"/>
        </w:rPr>
      </w:pPr>
    </w:p>
    <w:p>
      <w:pPr>
        <w:ind w:left="5" w:right="3019" w:firstLine="185"/>
        <w:spacing w:after="0" w:line="251" w:lineRule="auto"/>
        <w:rPr>
          <w:sz w:val="20"/>
          <w:szCs w:val="20"/>
          <w:color w:val="auto"/>
        </w:rPr>
      </w:pPr>
      <w:r>
        <w:rPr>
          <w:rFonts w:ascii="Courier New" w:cs="Courier New" w:eastAsia="Courier New" w:hAnsi="Courier New"/>
          <w:sz w:val="15"/>
          <w:szCs w:val="15"/>
          <w:color w:val="auto"/>
        </w:rPr>
        <w:t>Following are the shares of the Company's Common Stock beneficially owned as of January 31, 1997 by all directors and nominees, by each of the named executive officers, and by the directors and officers as a group. Except as footnoted, each named individual has sole voting and investment power over the shares listed by that individual's name. As of January 31, 1997, no nominee for director owned more than 1.0% of the outstanding shares of the Company's Common Stock, except Mr. Primat who owned 1.13%. All 20 directors and executive officers as a group owned 1.93% of the outstanding shares of the Company, at January 31, 1997.</w:t>
      </w:r>
    </w:p>
    <w:p>
      <w:pPr>
        <w:spacing w:after="0" w:line="200" w:lineRule="exact"/>
        <w:rPr>
          <w:sz w:val="20"/>
          <w:szCs w:val="20"/>
          <w:color w:val="auto"/>
        </w:rPr>
      </w:pPr>
    </w:p>
    <w:p>
      <w:pPr>
        <w:spacing w:after="0" w:line="330" w:lineRule="exact"/>
        <w:rPr>
          <w:sz w:val="20"/>
          <w:szCs w:val="20"/>
          <w:color w:val="auto"/>
        </w:rPr>
      </w:pPr>
    </w:p>
    <w:tbl>
      <w:tblPr>
        <w:tblLayout w:type="fixed"/>
        <w:tblInd w:w="285" w:type="dxa"/>
        <w:tblCellMar>
          <w:top w:w="0" w:type="dxa"/>
          <w:left w:w="0" w:type="dxa"/>
          <w:bottom w:w="0" w:type="dxa"/>
          <w:right w:w="0" w:type="dxa"/>
        </w:tblCellMar>
      </w:tblPr>
      <w:tr>
        <w:trPr>
          <w:trHeight w:val="172"/>
        </w:trPr>
        <w:tc>
          <w:tcPr>
            <w:tcW w:w="2300" w:type="dxa"/>
            <w:vAlign w:val="bottom"/>
          </w:tcPr>
          <w:p>
            <w:pPr>
              <w:jc w:val="center"/>
              <w:ind w:right="23"/>
              <w:spacing w:after="0"/>
              <w:rPr>
                <w:sz w:val="20"/>
                <w:szCs w:val="20"/>
                <w:color w:val="auto"/>
              </w:rPr>
            </w:pPr>
            <w:r>
              <w:rPr>
                <w:rFonts w:ascii="Courier New" w:cs="Courier New" w:eastAsia="Courier New" w:hAnsi="Courier New"/>
                <w:sz w:val="15"/>
                <w:szCs w:val="15"/>
                <w:color w:val="auto"/>
                <w:w w:val="99"/>
              </w:rPr>
              <w:t>NAME</w:t>
            </w:r>
          </w:p>
        </w:tc>
        <w:tc>
          <w:tcPr>
            <w:tcW w:w="12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SHARES</w:t>
            </w:r>
          </w:p>
        </w:tc>
      </w:tr>
      <w:tr>
        <w:trPr>
          <w:trHeight w:val="177"/>
        </w:trPr>
        <w:tc>
          <w:tcPr>
            <w:tcW w:w="2300" w:type="dxa"/>
            <w:vAlign w:val="bottom"/>
          </w:tcPr>
          <w:p>
            <w:pPr>
              <w:jc w:val="center"/>
              <w:ind w:right="23"/>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355"/>
        </w:trPr>
        <w:tc>
          <w:tcPr>
            <w:tcW w:w="2300" w:type="dxa"/>
            <w:vAlign w:val="bottom"/>
          </w:tcPr>
          <w:p>
            <w:pPr>
              <w:jc w:val="center"/>
              <w:ind w:right="23"/>
              <w:spacing w:after="0"/>
              <w:rPr>
                <w:sz w:val="20"/>
                <w:szCs w:val="20"/>
                <w:color w:val="auto"/>
              </w:rPr>
            </w:pPr>
            <w:r>
              <w:rPr>
                <w:rFonts w:ascii="Courier New" w:cs="Courier New" w:eastAsia="Courier New" w:hAnsi="Courier New"/>
                <w:sz w:val="15"/>
                <w:szCs w:val="15"/>
                <w:color w:val="auto"/>
              </w:rPr>
              <w:t>Don E. Ackerman.........</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1,000</w:t>
            </w:r>
          </w:p>
        </w:tc>
      </w:tr>
      <w:tr>
        <w:trPr>
          <w:trHeight w:val="177"/>
        </w:trPr>
        <w:tc>
          <w:tcPr>
            <w:tcW w:w="2300" w:type="dxa"/>
            <w:vAlign w:val="bottom"/>
          </w:tcPr>
          <w:p>
            <w:pPr>
              <w:jc w:val="center"/>
              <w:ind w:right="23"/>
              <w:spacing w:after="0"/>
              <w:rPr>
                <w:sz w:val="20"/>
                <w:szCs w:val="20"/>
                <w:color w:val="auto"/>
              </w:rPr>
            </w:pPr>
            <w:r>
              <w:rPr>
                <w:rFonts w:ascii="Courier New" w:cs="Courier New" w:eastAsia="Courier New" w:hAnsi="Courier New"/>
                <w:sz w:val="15"/>
                <w:szCs w:val="15"/>
                <w:color w:val="auto"/>
              </w:rPr>
              <w:t>D. Euan Baird...........</w:t>
            </w:r>
          </w:p>
        </w:tc>
        <w:tc>
          <w:tcPr>
            <w:tcW w:w="1280" w:type="dxa"/>
            <w:vAlign w:val="bottom"/>
          </w:tcPr>
          <w:p>
            <w:pPr>
              <w:jc w:val="right"/>
              <w:ind w:right="3"/>
              <w:spacing w:after="0"/>
              <w:rPr>
                <w:sz w:val="20"/>
                <w:szCs w:val="20"/>
                <w:color w:val="auto"/>
              </w:rPr>
            </w:pPr>
            <w:r>
              <w:rPr>
                <w:rFonts w:ascii="Courier New" w:cs="Courier New" w:eastAsia="Courier New" w:hAnsi="Courier New"/>
                <w:sz w:val="15"/>
                <w:szCs w:val="15"/>
                <w:color w:val="auto"/>
              </w:rPr>
              <w:t>765,784(1)</w:t>
            </w:r>
          </w:p>
        </w:tc>
      </w:tr>
      <w:tr>
        <w:trPr>
          <w:trHeight w:val="177"/>
        </w:trPr>
        <w:tc>
          <w:tcPr>
            <w:tcW w:w="2300" w:type="dxa"/>
            <w:vAlign w:val="bottom"/>
          </w:tcPr>
          <w:p>
            <w:pPr>
              <w:jc w:val="center"/>
              <w:ind w:right="23"/>
              <w:spacing w:after="0"/>
              <w:rPr>
                <w:sz w:val="20"/>
                <w:szCs w:val="20"/>
                <w:color w:val="auto"/>
              </w:rPr>
            </w:pPr>
            <w:r>
              <w:rPr>
                <w:rFonts w:ascii="Courier New" w:cs="Courier New" w:eastAsia="Courier New" w:hAnsi="Courier New"/>
                <w:sz w:val="15"/>
                <w:szCs w:val="15"/>
                <w:color w:val="auto"/>
              </w:rPr>
              <w:t>John Deutch.............</w:t>
            </w:r>
          </w:p>
        </w:tc>
        <w:tc>
          <w:tcPr>
            <w:tcW w:w="12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1,300(2)</w:t>
            </w:r>
          </w:p>
        </w:tc>
      </w:tr>
      <w:tr>
        <w:trPr>
          <w:trHeight w:val="177"/>
        </w:trPr>
        <w:tc>
          <w:tcPr>
            <w:tcW w:w="2300" w:type="dxa"/>
            <w:vAlign w:val="bottom"/>
          </w:tcPr>
          <w:p>
            <w:pPr>
              <w:jc w:val="center"/>
              <w:ind w:right="23"/>
              <w:spacing w:after="0"/>
              <w:rPr>
                <w:sz w:val="20"/>
                <w:szCs w:val="20"/>
                <w:color w:val="auto"/>
              </w:rPr>
            </w:pPr>
            <w:r>
              <w:rPr>
                <w:rFonts w:ascii="Courier New" w:cs="Courier New" w:eastAsia="Courier New" w:hAnsi="Courier New"/>
                <w:sz w:val="15"/>
                <w:szCs w:val="15"/>
                <w:color w:val="auto"/>
              </w:rPr>
              <w:t>Victor E. Grijalva......</w:t>
            </w:r>
          </w:p>
        </w:tc>
        <w:tc>
          <w:tcPr>
            <w:tcW w:w="1280" w:type="dxa"/>
            <w:vAlign w:val="bottom"/>
          </w:tcPr>
          <w:p>
            <w:pPr>
              <w:jc w:val="right"/>
              <w:ind w:right="3"/>
              <w:spacing w:after="0"/>
              <w:rPr>
                <w:sz w:val="20"/>
                <w:szCs w:val="20"/>
                <w:color w:val="auto"/>
              </w:rPr>
            </w:pPr>
            <w:r>
              <w:rPr>
                <w:rFonts w:ascii="Courier New" w:cs="Courier New" w:eastAsia="Courier New" w:hAnsi="Courier New"/>
                <w:sz w:val="15"/>
                <w:szCs w:val="15"/>
                <w:color w:val="auto"/>
              </w:rPr>
              <w:t>205,858(3)</w:t>
            </w:r>
          </w:p>
        </w:tc>
      </w:tr>
      <w:tr>
        <w:trPr>
          <w:trHeight w:val="177"/>
        </w:trPr>
        <w:tc>
          <w:tcPr>
            <w:tcW w:w="2300" w:type="dxa"/>
            <w:vAlign w:val="bottom"/>
          </w:tcPr>
          <w:p>
            <w:pPr>
              <w:jc w:val="center"/>
              <w:ind w:right="23"/>
              <w:spacing w:after="0"/>
              <w:rPr>
                <w:sz w:val="20"/>
                <w:szCs w:val="20"/>
                <w:color w:val="auto"/>
              </w:rPr>
            </w:pPr>
            <w:r>
              <w:rPr>
                <w:rFonts w:ascii="Courier New" w:cs="Courier New" w:eastAsia="Courier New" w:hAnsi="Courier New"/>
                <w:sz w:val="15"/>
                <w:szCs w:val="15"/>
                <w:color w:val="auto"/>
              </w:rPr>
              <w:t>Denys Henderson.........</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1,000</w:t>
            </w:r>
          </w:p>
        </w:tc>
      </w:tr>
      <w:tr>
        <w:trPr>
          <w:trHeight w:val="177"/>
        </w:trPr>
        <w:tc>
          <w:tcPr>
            <w:tcW w:w="2300" w:type="dxa"/>
            <w:vAlign w:val="bottom"/>
          </w:tcPr>
          <w:p>
            <w:pPr>
              <w:jc w:val="center"/>
              <w:ind w:right="23"/>
              <w:spacing w:after="0"/>
              <w:rPr>
                <w:sz w:val="20"/>
                <w:szCs w:val="20"/>
                <w:color w:val="auto"/>
              </w:rPr>
            </w:pPr>
            <w:r>
              <w:rPr>
                <w:rFonts w:ascii="Courier New" w:cs="Courier New" w:eastAsia="Courier New" w:hAnsi="Courier New"/>
                <w:sz w:val="15"/>
                <w:szCs w:val="15"/>
                <w:color w:val="auto"/>
              </w:rPr>
              <w:t>Andre Levy-Lang.........</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2,000</w:t>
            </w:r>
          </w:p>
        </w:tc>
      </w:tr>
      <w:tr>
        <w:trPr>
          <w:trHeight w:val="177"/>
        </w:trPr>
        <w:tc>
          <w:tcPr>
            <w:tcW w:w="2300" w:type="dxa"/>
            <w:vAlign w:val="bottom"/>
          </w:tcPr>
          <w:p>
            <w:pPr>
              <w:jc w:val="center"/>
              <w:ind w:right="23"/>
              <w:spacing w:after="0"/>
              <w:rPr>
                <w:sz w:val="20"/>
                <w:szCs w:val="20"/>
                <w:color w:val="auto"/>
              </w:rPr>
            </w:pPr>
            <w:r>
              <w:rPr>
                <w:rFonts w:ascii="Courier New" w:cs="Courier New" w:eastAsia="Courier New" w:hAnsi="Courier New"/>
                <w:sz w:val="15"/>
                <w:szCs w:val="15"/>
                <w:color w:val="auto"/>
              </w:rPr>
              <w:t>Arthur Lindenauer.......</w:t>
            </w:r>
          </w:p>
        </w:tc>
        <w:tc>
          <w:tcPr>
            <w:tcW w:w="1280" w:type="dxa"/>
            <w:vAlign w:val="bottom"/>
          </w:tcPr>
          <w:p>
            <w:pPr>
              <w:jc w:val="right"/>
              <w:ind w:right="3"/>
              <w:spacing w:after="0"/>
              <w:rPr>
                <w:sz w:val="20"/>
                <w:szCs w:val="20"/>
                <w:color w:val="auto"/>
              </w:rPr>
            </w:pPr>
            <w:r>
              <w:rPr>
                <w:rFonts w:ascii="Courier New" w:cs="Courier New" w:eastAsia="Courier New" w:hAnsi="Courier New"/>
                <w:sz w:val="15"/>
                <w:szCs w:val="15"/>
                <w:color w:val="auto"/>
              </w:rPr>
              <w:t>89,558(4)</w:t>
            </w:r>
          </w:p>
        </w:tc>
      </w:tr>
      <w:tr>
        <w:trPr>
          <w:trHeight w:val="177"/>
        </w:trPr>
        <w:tc>
          <w:tcPr>
            <w:tcW w:w="2300" w:type="dxa"/>
            <w:vAlign w:val="bottom"/>
          </w:tcPr>
          <w:p>
            <w:pPr>
              <w:jc w:val="center"/>
              <w:ind w:right="23"/>
              <w:spacing w:after="0"/>
              <w:rPr>
                <w:sz w:val="20"/>
                <w:szCs w:val="20"/>
                <w:color w:val="auto"/>
              </w:rPr>
            </w:pPr>
            <w:r>
              <w:rPr>
                <w:rFonts w:ascii="Courier New" w:cs="Courier New" w:eastAsia="Courier New" w:hAnsi="Courier New"/>
                <w:sz w:val="15"/>
                <w:szCs w:val="15"/>
                <w:color w:val="auto"/>
              </w:rPr>
              <w:t>Clermont Matton.........</w:t>
            </w:r>
          </w:p>
        </w:tc>
        <w:tc>
          <w:tcPr>
            <w:tcW w:w="12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158,998(5)</w:t>
            </w:r>
          </w:p>
        </w:tc>
      </w:tr>
      <w:tr>
        <w:trPr>
          <w:trHeight w:val="177"/>
        </w:trPr>
        <w:tc>
          <w:tcPr>
            <w:tcW w:w="2300" w:type="dxa"/>
            <w:vAlign w:val="bottom"/>
          </w:tcPr>
          <w:p>
            <w:pPr>
              <w:jc w:val="center"/>
              <w:ind w:right="23"/>
              <w:spacing w:after="0"/>
              <w:rPr>
                <w:sz w:val="20"/>
                <w:szCs w:val="20"/>
                <w:color w:val="auto"/>
              </w:rPr>
            </w:pPr>
            <w:r>
              <w:rPr>
                <w:rFonts w:ascii="Courier New" w:cs="Courier New" w:eastAsia="Courier New" w:hAnsi="Courier New"/>
                <w:sz w:val="15"/>
                <w:szCs w:val="15"/>
                <w:color w:val="auto"/>
              </w:rPr>
              <w:t>William T. McCormick....</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3,000</w:t>
            </w:r>
          </w:p>
        </w:tc>
      </w:tr>
      <w:tr>
        <w:trPr>
          <w:trHeight w:val="177"/>
        </w:trPr>
        <w:tc>
          <w:tcPr>
            <w:tcW w:w="2300" w:type="dxa"/>
            <w:vAlign w:val="bottom"/>
          </w:tcPr>
          <w:p>
            <w:pPr>
              <w:jc w:val="center"/>
              <w:ind w:right="23"/>
              <w:spacing w:after="0"/>
              <w:rPr>
                <w:sz w:val="20"/>
                <w:szCs w:val="20"/>
                <w:color w:val="auto"/>
              </w:rPr>
            </w:pPr>
            <w:r>
              <w:rPr>
                <w:rFonts w:ascii="Courier New" w:cs="Courier New" w:eastAsia="Courier New" w:hAnsi="Courier New"/>
                <w:sz w:val="15"/>
                <w:szCs w:val="15"/>
                <w:color w:val="auto"/>
              </w:rPr>
              <w:t>Didier Primat...........</w:t>
            </w:r>
          </w:p>
        </w:tc>
        <w:tc>
          <w:tcPr>
            <w:tcW w:w="1280" w:type="dxa"/>
            <w:vAlign w:val="bottom"/>
          </w:tcPr>
          <w:p>
            <w:pPr>
              <w:jc w:val="right"/>
              <w:ind w:right="3"/>
              <w:spacing w:after="0"/>
              <w:rPr>
                <w:sz w:val="20"/>
                <w:szCs w:val="20"/>
                <w:color w:val="auto"/>
              </w:rPr>
            </w:pPr>
            <w:r>
              <w:rPr>
                <w:rFonts w:ascii="Courier New" w:cs="Courier New" w:eastAsia="Courier New" w:hAnsi="Courier New"/>
                <w:sz w:val="15"/>
                <w:szCs w:val="15"/>
                <w:color w:val="auto"/>
              </w:rPr>
              <w:t>2,780,050(6)</w:t>
            </w:r>
          </w:p>
        </w:tc>
      </w:tr>
      <w:tr>
        <w:trPr>
          <w:trHeight w:val="177"/>
        </w:trPr>
        <w:tc>
          <w:tcPr>
            <w:tcW w:w="2300" w:type="dxa"/>
            <w:vAlign w:val="bottom"/>
          </w:tcPr>
          <w:p>
            <w:pPr>
              <w:jc w:val="center"/>
              <w:ind w:right="23"/>
              <w:spacing w:after="0"/>
              <w:rPr>
                <w:sz w:val="20"/>
                <w:szCs w:val="20"/>
                <w:color w:val="auto"/>
              </w:rPr>
            </w:pPr>
            <w:r>
              <w:rPr>
                <w:rFonts w:ascii="Courier New" w:cs="Courier New" w:eastAsia="Courier New" w:hAnsi="Courier New"/>
                <w:sz w:val="15"/>
                <w:szCs w:val="15"/>
                <w:color w:val="auto"/>
              </w:rPr>
              <w:t>Nicolas Seydoux.........</w:t>
            </w:r>
          </w:p>
        </w:tc>
        <w:tc>
          <w:tcPr>
            <w:tcW w:w="1280" w:type="dxa"/>
            <w:vAlign w:val="bottom"/>
          </w:tcPr>
          <w:p>
            <w:pPr>
              <w:jc w:val="right"/>
              <w:ind w:right="3"/>
              <w:spacing w:after="0"/>
              <w:rPr>
                <w:sz w:val="20"/>
                <w:szCs w:val="20"/>
                <w:color w:val="auto"/>
              </w:rPr>
            </w:pPr>
            <w:r>
              <w:rPr>
                <w:rFonts w:ascii="Courier New" w:cs="Courier New" w:eastAsia="Courier New" w:hAnsi="Courier New"/>
                <w:sz w:val="15"/>
                <w:szCs w:val="15"/>
                <w:color w:val="auto"/>
              </w:rPr>
              <w:t>428,887(7)</w:t>
            </w:r>
          </w:p>
        </w:tc>
      </w:tr>
      <w:tr>
        <w:trPr>
          <w:trHeight w:val="177"/>
        </w:trPr>
        <w:tc>
          <w:tcPr>
            <w:tcW w:w="2300" w:type="dxa"/>
            <w:vAlign w:val="bottom"/>
          </w:tcPr>
          <w:p>
            <w:pPr>
              <w:jc w:val="center"/>
              <w:ind w:right="23"/>
              <w:spacing w:after="0"/>
              <w:rPr>
                <w:sz w:val="20"/>
                <w:szCs w:val="20"/>
                <w:color w:val="auto"/>
              </w:rPr>
            </w:pPr>
            <w:r>
              <w:rPr>
                <w:rFonts w:ascii="Courier New" w:cs="Courier New" w:eastAsia="Courier New" w:hAnsi="Courier New"/>
                <w:sz w:val="15"/>
                <w:szCs w:val="15"/>
                <w:color w:val="auto"/>
              </w:rPr>
              <w:t>Ian Strecker............</w:t>
            </w:r>
          </w:p>
        </w:tc>
        <w:tc>
          <w:tcPr>
            <w:tcW w:w="1280" w:type="dxa"/>
            <w:vAlign w:val="bottom"/>
          </w:tcPr>
          <w:p>
            <w:pPr>
              <w:jc w:val="right"/>
              <w:ind w:right="3"/>
              <w:spacing w:after="0"/>
              <w:rPr>
                <w:sz w:val="20"/>
                <w:szCs w:val="20"/>
                <w:color w:val="auto"/>
              </w:rPr>
            </w:pPr>
            <w:r>
              <w:rPr>
                <w:rFonts w:ascii="Courier New" w:cs="Courier New" w:eastAsia="Courier New" w:hAnsi="Courier New"/>
                <w:sz w:val="15"/>
                <w:szCs w:val="15"/>
                <w:color w:val="auto"/>
              </w:rPr>
              <w:t>92,748(8)</w:t>
            </w:r>
          </w:p>
        </w:tc>
      </w:tr>
      <w:tr>
        <w:trPr>
          <w:trHeight w:val="177"/>
        </w:trPr>
        <w:tc>
          <w:tcPr>
            <w:tcW w:w="2300" w:type="dxa"/>
            <w:vAlign w:val="bottom"/>
          </w:tcPr>
          <w:p>
            <w:pPr>
              <w:jc w:val="center"/>
              <w:ind w:right="23"/>
              <w:spacing w:after="0"/>
              <w:rPr>
                <w:sz w:val="20"/>
                <w:szCs w:val="20"/>
                <w:color w:val="auto"/>
              </w:rPr>
            </w:pPr>
            <w:r>
              <w:rPr>
                <w:rFonts w:ascii="Courier New" w:cs="Courier New" w:eastAsia="Courier New" w:hAnsi="Courier New"/>
                <w:sz w:val="15"/>
                <w:szCs w:val="15"/>
                <w:color w:val="auto"/>
              </w:rPr>
              <w:t>Linda Gillespie Stuntz..</w:t>
            </w:r>
          </w:p>
        </w:tc>
        <w:tc>
          <w:tcPr>
            <w:tcW w:w="12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1,700(9)</w:t>
            </w:r>
          </w:p>
        </w:tc>
      </w:tr>
      <w:tr>
        <w:trPr>
          <w:trHeight w:val="177"/>
        </w:trPr>
        <w:tc>
          <w:tcPr>
            <w:tcW w:w="2300" w:type="dxa"/>
            <w:vAlign w:val="bottom"/>
          </w:tcPr>
          <w:p>
            <w:pPr>
              <w:jc w:val="center"/>
              <w:ind w:right="23"/>
              <w:spacing w:after="0"/>
              <w:rPr>
                <w:sz w:val="20"/>
                <w:szCs w:val="20"/>
                <w:color w:val="auto"/>
              </w:rPr>
            </w:pPr>
            <w:r>
              <w:rPr>
                <w:rFonts w:ascii="Courier New" w:cs="Courier New" w:eastAsia="Courier New" w:hAnsi="Courier New"/>
                <w:sz w:val="15"/>
                <w:szCs w:val="15"/>
                <w:color w:val="auto"/>
              </w:rPr>
              <w:t>Sven Ullring............</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1,586</w:t>
            </w:r>
          </w:p>
        </w:tc>
      </w:tr>
      <w:tr>
        <w:trPr>
          <w:trHeight w:val="177"/>
        </w:trPr>
        <w:tc>
          <w:tcPr>
            <w:tcW w:w="2300" w:type="dxa"/>
            <w:vAlign w:val="bottom"/>
          </w:tcPr>
          <w:p>
            <w:pPr>
              <w:jc w:val="center"/>
              <w:ind w:right="23"/>
              <w:spacing w:after="0"/>
              <w:rPr>
                <w:sz w:val="20"/>
                <w:szCs w:val="20"/>
                <w:color w:val="auto"/>
              </w:rPr>
            </w:pPr>
            <w:r>
              <w:rPr>
                <w:rFonts w:ascii="Courier New" w:cs="Courier New" w:eastAsia="Courier New" w:hAnsi="Courier New"/>
                <w:sz w:val="15"/>
                <w:szCs w:val="15"/>
                <w:color w:val="auto"/>
              </w:rPr>
              <w:t>Eiji Umene..............</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1,000</w:t>
            </w:r>
          </w:p>
        </w:tc>
      </w:tr>
      <w:tr>
        <w:trPr>
          <w:trHeight w:val="177"/>
        </w:trPr>
        <w:tc>
          <w:tcPr>
            <w:tcW w:w="2300" w:type="dxa"/>
            <w:vAlign w:val="bottom"/>
          </w:tcPr>
          <w:p>
            <w:pPr>
              <w:jc w:val="center"/>
              <w:ind w:right="23"/>
              <w:spacing w:after="0"/>
              <w:rPr>
                <w:sz w:val="20"/>
                <w:szCs w:val="20"/>
                <w:color w:val="auto"/>
              </w:rPr>
            </w:pPr>
            <w:r>
              <w:rPr>
                <w:rFonts w:ascii="Courier New" w:cs="Courier New" w:eastAsia="Courier New" w:hAnsi="Courier New"/>
                <w:sz w:val="15"/>
                <w:szCs w:val="15"/>
                <w:color w:val="auto"/>
              </w:rPr>
              <w:t>Yoshihiko Wakumoto......</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0</w:t>
            </w:r>
          </w:p>
        </w:tc>
      </w:tr>
      <w:tr>
        <w:trPr>
          <w:trHeight w:val="177"/>
        </w:trPr>
        <w:tc>
          <w:tcPr>
            <w:tcW w:w="2300" w:type="dxa"/>
            <w:vAlign w:val="bottom"/>
          </w:tcPr>
          <w:p>
            <w:pPr>
              <w:jc w:val="center"/>
              <w:ind w:right="23"/>
              <w:spacing w:after="0"/>
              <w:rPr>
                <w:sz w:val="20"/>
                <w:szCs w:val="20"/>
                <w:color w:val="auto"/>
              </w:rPr>
            </w:pPr>
            <w:r>
              <w:rPr>
                <w:rFonts w:ascii="Courier New" w:cs="Courier New" w:eastAsia="Courier New" w:hAnsi="Courier New"/>
                <w:sz w:val="15"/>
                <w:szCs w:val="15"/>
                <w:color w:val="auto"/>
              </w:rPr>
              <w:t>All directors and execu-</w:t>
            </w:r>
          </w:p>
        </w:tc>
        <w:tc>
          <w:tcPr>
            <w:tcW w:w="128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tive officers as a</w:t>
            </w:r>
          </w:p>
        </w:tc>
        <w:tc>
          <w:tcPr>
            <w:tcW w:w="128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group (20 persons).....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4,753,346(10)</w:t>
            </w:r>
          </w:p>
        </w:tc>
      </w:tr>
      <w:tr>
        <w:trPr>
          <w:trHeight w:val="532"/>
        </w:trPr>
        <w:tc>
          <w:tcPr>
            <w:tcW w:w="2300" w:type="dxa"/>
            <w:vAlign w:val="bottom"/>
          </w:tcPr>
          <w:p>
            <w:pPr>
              <w:spacing w:after="0"/>
              <w:rPr>
                <w:sz w:val="24"/>
                <w:szCs w:val="24"/>
                <w:color w:val="auto"/>
              </w:rPr>
            </w:pPr>
          </w:p>
        </w:tc>
        <w:tc>
          <w:tcPr>
            <w:tcW w:w="12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w:t>
            </w:r>
          </w:p>
        </w:tc>
      </w:tr>
    </w:tbl>
    <w:p>
      <w:pPr>
        <w:sectPr>
          <w:pgSz w:w="11900" w:h="16838" w:orient="portrait"/>
          <w:cols w:equalWidth="0" w:num="1">
            <w:col w:w="10225"/>
          </w:cols>
          <w:pgMar w:left="235" w:top="650" w:right="1440" w:bottom="1440" w:gutter="0" w:footer="0" w:header="0"/>
          <w:type w:val="continuous"/>
        </w:sectPr>
      </w:pPr>
    </w:p>
    <w:bookmarkStart w:id="8" w:name="page9"/>
    <w:bookmarkEnd w:id="8"/>
    <w:p>
      <w:pPr>
        <w:ind w:left="185" w:hanging="185"/>
        <w:spacing w:after="0"/>
        <w:tabs>
          <w:tab w:leader="none" w:pos="18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465" w:right="3019" w:hanging="373"/>
        <w:spacing w:after="0" w:line="250" w:lineRule="auto"/>
        <w:tabs>
          <w:tab w:leader="none" w:pos="465"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500 shares owned by Mr. Baird's children, as to which he disclaims beneficial ownership, and 555,000 shares which are deemed to be beneficially owned by him because he has the right to acquire such shares within 60 days through the exercise of stock options.</w:t>
      </w:r>
    </w:p>
    <w:p>
      <w:pPr>
        <w:spacing w:after="0" w:line="1" w:lineRule="exact"/>
        <w:rPr>
          <w:rFonts w:ascii="Courier New" w:cs="Courier New" w:eastAsia="Courier New" w:hAnsi="Courier New"/>
          <w:sz w:val="15"/>
          <w:szCs w:val="15"/>
          <w:color w:val="auto"/>
        </w:rPr>
      </w:pPr>
    </w:p>
    <w:p>
      <w:pPr>
        <w:ind w:left="465" w:right="3119" w:hanging="373"/>
        <w:spacing w:after="0" w:line="250" w:lineRule="auto"/>
        <w:tabs>
          <w:tab w:leader="none" w:pos="465"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300 shares owned by Mr. Deutch's wife, as to which he disclaims beneficial ownership.</w:t>
      </w:r>
    </w:p>
    <w:p>
      <w:pPr>
        <w:ind w:left="465" w:right="3019" w:hanging="373"/>
        <w:spacing w:after="0" w:line="250" w:lineRule="auto"/>
        <w:tabs>
          <w:tab w:leader="none" w:pos="465"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300 shares owned by Mr. Grijalva's daughter, as to which he disclaims beneficial ownership, and 181,000 shares which are deemed to be beneficially owned by him because he has the right to acquire such shares within 60 days through the exercise of stock options.</w:t>
      </w:r>
    </w:p>
    <w:p>
      <w:pPr>
        <w:spacing w:after="0" w:line="1" w:lineRule="exact"/>
        <w:rPr>
          <w:rFonts w:ascii="Courier New" w:cs="Courier New" w:eastAsia="Courier New" w:hAnsi="Courier New"/>
          <w:sz w:val="15"/>
          <w:szCs w:val="15"/>
          <w:color w:val="auto"/>
        </w:rPr>
      </w:pPr>
    </w:p>
    <w:p>
      <w:pPr>
        <w:ind w:left="465" w:right="3019" w:hanging="373"/>
        <w:spacing w:after="0" w:line="250" w:lineRule="auto"/>
        <w:tabs>
          <w:tab w:leader="none" w:pos="465"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82,000 shares which are deemed to be beneficially owned by Mr. Lindenauer because he has the right to acquire such shares within 60 days through the exercise of stock options.</w:t>
      </w:r>
    </w:p>
    <w:p>
      <w:pPr>
        <w:spacing w:after="0" w:line="1" w:lineRule="exact"/>
        <w:rPr>
          <w:rFonts w:ascii="Courier New" w:cs="Courier New" w:eastAsia="Courier New" w:hAnsi="Courier New"/>
          <w:sz w:val="15"/>
          <w:szCs w:val="15"/>
          <w:color w:val="auto"/>
        </w:rPr>
      </w:pPr>
    </w:p>
    <w:p>
      <w:pPr>
        <w:ind w:left="465" w:right="3119" w:hanging="373"/>
        <w:spacing w:after="0" w:line="250" w:lineRule="auto"/>
        <w:tabs>
          <w:tab w:leader="none" w:pos="465"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155,000 shares which are deemed to be beneficially owned by Mr. Matton because he has the right to acquire such shares within 60 days through the exercise of stock options.</w:t>
      </w:r>
    </w:p>
    <w:p>
      <w:pPr>
        <w:spacing w:after="0" w:line="1" w:lineRule="exact"/>
        <w:rPr>
          <w:rFonts w:ascii="Courier New" w:cs="Courier New" w:eastAsia="Courier New" w:hAnsi="Courier New"/>
          <w:sz w:val="15"/>
          <w:szCs w:val="15"/>
          <w:color w:val="auto"/>
        </w:rPr>
      </w:pPr>
    </w:p>
    <w:p>
      <w:pPr>
        <w:ind w:left="465" w:hanging="373"/>
        <w:spacing w:after="0"/>
        <w:tabs>
          <w:tab w:leader="none" w:pos="465"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280,000 shares as to which Mr. Primat shares investment power.</w:t>
      </w:r>
    </w:p>
    <w:p>
      <w:pPr>
        <w:spacing w:after="0" w:line="7" w:lineRule="exact"/>
        <w:rPr>
          <w:rFonts w:ascii="Courier New" w:cs="Courier New" w:eastAsia="Courier New" w:hAnsi="Courier New"/>
          <w:sz w:val="15"/>
          <w:szCs w:val="15"/>
          <w:color w:val="auto"/>
        </w:rPr>
      </w:pPr>
    </w:p>
    <w:p>
      <w:pPr>
        <w:ind w:left="465" w:right="3219" w:hanging="373"/>
        <w:spacing w:after="0" w:line="250" w:lineRule="auto"/>
        <w:tabs>
          <w:tab w:leader="none" w:pos="465"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310,807 shares owned by Mr. Seydoux's wife and his daughter as to which he shares voting and investment power.</w:t>
      </w:r>
    </w:p>
    <w:p>
      <w:pPr>
        <w:jc w:val="both"/>
        <w:ind w:left="465" w:right="3219" w:hanging="373"/>
        <w:spacing w:after="0" w:line="250" w:lineRule="auto"/>
        <w:tabs>
          <w:tab w:leader="none" w:pos="465"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63,495 shares which are deemed to be beneficially owned by Mr. Strecker because he has the right to acquire such shares within 60 days through the exercise of stock options.</w:t>
      </w:r>
    </w:p>
    <w:p>
      <w:pPr>
        <w:spacing w:after="0" w:line="1" w:lineRule="exact"/>
        <w:rPr>
          <w:rFonts w:ascii="Courier New" w:cs="Courier New" w:eastAsia="Courier New" w:hAnsi="Courier New"/>
          <w:sz w:val="15"/>
          <w:szCs w:val="15"/>
          <w:color w:val="auto"/>
        </w:rPr>
      </w:pPr>
    </w:p>
    <w:p>
      <w:pPr>
        <w:ind w:left="465" w:hanging="373"/>
        <w:spacing w:after="0"/>
        <w:tabs>
          <w:tab w:leader="none" w:pos="465"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700 shares as to which Ms. Stuntz shares voting power.</w:t>
      </w:r>
    </w:p>
    <w:p>
      <w:pPr>
        <w:spacing w:after="0" w:line="7" w:lineRule="exact"/>
        <w:rPr>
          <w:rFonts w:ascii="Courier New" w:cs="Courier New" w:eastAsia="Courier New" w:hAnsi="Courier New"/>
          <w:sz w:val="15"/>
          <w:szCs w:val="15"/>
          <w:color w:val="auto"/>
        </w:rPr>
      </w:pPr>
    </w:p>
    <w:p>
      <w:pPr>
        <w:ind w:left="465" w:right="3019" w:hanging="465"/>
        <w:spacing w:after="0" w:line="252" w:lineRule="auto"/>
        <w:tabs>
          <w:tab w:leader="none" w:pos="465"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1,228,645 shares which are deemed to be beneficially owned by executive officers as a group because they have the right to acquire such shares within 60 days through the exercise of stock options.</w:t>
      </w:r>
    </w:p>
    <w:p>
      <w:pPr>
        <w:spacing w:after="0" w:line="17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5"/>
          </w:cols>
          <w:pgMar w:left="235" w:top="650"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BOARD AND COMMITTEES</w:t>
      </w:r>
    </w:p>
    <w:p>
      <w:pPr>
        <w:spacing w:after="0" w:line="185" w:lineRule="exact"/>
        <w:rPr>
          <w:sz w:val="20"/>
          <w:szCs w:val="20"/>
          <w:color w:val="auto"/>
        </w:rPr>
      </w:pPr>
    </w:p>
    <w:p>
      <w:pPr>
        <w:ind w:right="3759" w:firstLine="185"/>
        <w:spacing w:after="0" w:line="253" w:lineRule="auto"/>
        <w:rPr>
          <w:sz w:val="20"/>
          <w:szCs w:val="20"/>
          <w:color w:val="auto"/>
        </w:rPr>
      </w:pPr>
      <w:r>
        <w:rPr>
          <w:rFonts w:ascii="Courier New" w:cs="Courier New" w:eastAsia="Courier New" w:hAnsi="Courier New"/>
          <w:sz w:val="15"/>
          <w:szCs w:val="15"/>
          <w:color w:val="auto"/>
        </w:rPr>
        <w:t>The Company has an Audit, a Compensation, a Finance and a Nominating Committee.</w:t>
      </w:r>
    </w:p>
    <w:p>
      <w:pPr>
        <w:spacing w:after="0" w:line="174"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The Audit Committee assesses and monitors the corporate control environment and recommends for appointment by the Board of Directors, subject to approval by the stockholders, a firm of independent certified public accountants whose duty is to examine the consolidated financial statements of the Company. The Committee confers with the independent accountants and periodically reports to and advises the Board concerning the scope of the independent accountants' examinations and similar matters relating to the Company's accounting practices and internal accounting controls. The Committee also advises the Board concerning the fees of the independent accountants. Mr. Ullring is Chairman of the Audit Committee, and Messrs. Ackerman and Seydoux are the other members.</w:t>
      </w:r>
    </w:p>
    <w:p>
      <w:pPr>
        <w:spacing w:after="0" w:line="352"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The Compensation Committee reviews and approves the compensation of the officers of the Company, advises on compensation and benefits matters and administers the Company's stock option plans. Mr. Ackerman is Chairman of the Compensation Committee. Sir Denys Henderson and Messrs. Primat and Umene are the other members.</w:t>
      </w:r>
    </w:p>
    <w:p>
      <w:pPr>
        <w:spacing w:after="0" w:line="176"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The Finance Committee advises on various matters including dividend and financial policies, the borrowing of money, the purchase and sale of securities and the investment and reinvestment of surplus funds. The Committee periodically reviews the administration of the employee benefit plans of the Company and its subsidiaries. Messrs. Baird, Levy-Lang and McCormick and Ms. Stuntz are the members of this Committee.</w:t>
      </w:r>
    </w:p>
    <w:p>
      <w:pPr>
        <w:spacing w:after="0" w:line="176"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The Nominating Committee recommends to the Board the number and names of persons to be proposed by the Board for election as directors at the annual general meetings of stockholders. Also, the Committee may recommend to the Board persons to be appointed by the Board or to be elected by the stockholders to fill any vacancies on the Board. Mr. McCormick is Chairman of this Committee, and Messrs. Baird, Seydoux and Ullring are the other members. The Nominating Committee will consider nominees recommended by stockholders. Stockholders may submit nominations to Chairman, Nominating Committee, care of the Secretary, Schlumberger Limited, 277 Park Avenue, New York, New York 10172-0266.</w:t>
      </w:r>
    </w:p>
    <w:p>
      <w:pPr>
        <w:spacing w:after="0" w:line="182" w:lineRule="exact"/>
        <w:rPr>
          <w:sz w:val="20"/>
          <w:szCs w:val="20"/>
          <w:color w:val="auto"/>
        </w:rPr>
      </w:pPr>
    </w:p>
    <w:p>
      <w:pPr>
        <w:jc w:val="both"/>
        <w:ind w:right="3119" w:firstLine="185"/>
        <w:spacing w:after="0" w:line="251" w:lineRule="auto"/>
        <w:rPr>
          <w:sz w:val="20"/>
          <w:szCs w:val="20"/>
          <w:color w:val="auto"/>
        </w:rPr>
      </w:pPr>
      <w:r>
        <w:rPr>
          <w:rFonts w:ascii="Courier New" w:cs="Courier New" w:eastAsia="Courier New" w:hAnsi="Courier New"/>
          <w:sz w:val="15"/>
          <w:szCs w:val="15"/>
          <w:color w:val="auto"/>
        </w:rPr>
        <w:t>During 1996 the Board of Directors held four meetings. The Audit Committee met three times; the Compensation Committee held three meetings; the Finance Committee met once, and the Nominating Committee met three times. All present directors attended at least 75% of the aggregate of the meetings of the Board and of the Committees of the Board on which such directors served.</w:t>
      </w:r>
    </w:p>
    <w:p>
      <w:pPr>
        <w:spacing w:after="0" w:line="176" w:lineRule="exact"/>
        <w:rPr>
          <w:sz w:val="20"/>
          <w:szCs w:val="20"/>
          <w:color w:val="auto"/>
        </w:rPr>
      </w:pPr>
    </w:p>
    <w:p>
      <w:pPr>
        <w:ind w:right="3219" w:firstLine="185"/>
        <w:spacing w:after="0" w:line="252" w:lineRule="auto"/>
        <w:rPr>
          <w:sz w:val="20"/>
          <w:szCs w:val="20"/>
          <w:color w:val="auto"/>
        </w:rPr>
      </w:pPr>
      <w:r>
        <w:rPr>
          <w:rFonts w:ascii="Courier New" w:cs="Courier New" w:eastAsia="Courier New" w:hAnsi="Courier New"/>
          <w:sz w:val="15"/>
          <w:szCs w:val="15"/>
          <w:color w:val="auto"/>
        </w:rPr>
        <w:t>Directors who are employees of the Company do not receive compensation for serving on the Board or Committees of the Board. Board members who are not employees receive annual fees of</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50" w:right="1440" w:bottom="1440" w:gutter="0" w:footer="0" w:header="0"/>
        </w:sectPr>
      </w:pPr>
    </w:p>
    <w:bookmarkStart w:id="10" w:name="page11"/>
    <w:bookmarkEnd w:id="10"/>
    <w:p>
      <w:pPr>
        <w:ind w:right="3219"/>
        <w:spacing w:after="0" w:line="251" w:lineRule="auto"/>
        <w:rPr>
          <w:sz w:val="20"/>
          <w:szCs w:val="20"/>
          <w:color w:val="auto"/>
        </w:rPr>
      </w:pPr>
      <w:r>
        <w:rPr>
          <w:rFonts w:ascii="Courier New" w:cs="Courier New" w:eastAsia="Courier New" w:hAnsi="Courier New"/>
          <w:sz w:val="15"/>
          <w:szCs w:val="15"/>
          <w:color w:val="auto"/>
        </w:rPr>
        <w:t>$40,000 each and additional annual fees of $10,000 as members of each of the Committees on which they serve, except that the Chairmen of the Audit, Compensation and Nominating Committees receive an additional annual fee of $20,000, rather than the $10,000 annual fee for Committee service.</w:t>
      </w:r>
    </w:p>
    <w:p>
      <w:pPr>
        <w:spacing w:after="0" w:line="176"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In the past, the Company and its subsidiaries had banking relationships with Banque Paribas under which funds were deposited with, and borrowed from, Banque Paribas on terms the Company felt were competitive, reasonable, and customary. Such relationships may continue in 1997. Mr. Levy-Lang, nominee for election as director, is Chairman of the Board of Management of Banque Paribas.</w:t>
      </w:r>
    </w:p>
    <w:p>
      <w:pPr>
        <w:spacing w:after="0" w:line="35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50" w:right="1440" w:bottom="1440" w:gutter="0" w:footer="0" w:header="0"/>
        </w:sectPr>
      </w:pPr>
    </w:p>
    <w:bookmarkStart w:id="11" w:name="page12"/>
    <w:bookmarkEnd w:id="11"/>
    <w:p>
      <w:pPr>
        <w:ind w:left="5"/>
        <w:spacing w:after="0"/>
        <w:rPr>
          <w:sz w:val="20"/>
          <w:szCs w:val="20"/>
          <w:color w:val="auto"/>
        </w:rPr>
      </w:pPr>
      <w:r>
        <w:rPr>
          <w:rFonts w:ascii="Courier New" w:cs="Courier New" w:eastAsia="Courier New" w:hAnsi="Courier New"/>
          <w:sz w:val="15"/>
          <w:szCs w:val="15"/>
          <w:color w:val="auto"/>
        </w:rPr>
        <w:t>EXECUTIVE COMPENSATION</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SUMMARY OF CASH AND CERTAIN OTHER COMPENSATION</w:t>
      </w:r>
    </w:p>
    <w:p>
      <w:pPr>
        <w:spacing w:after="0" w:line="185" w:lineRule="exact"/>
        <w:rPr>
          <w:sz w:val="20"/>
          <w:szCs w:val="20"/>
          <w:color w:val="auto"/>
        </w:rPr>
      </w:pPr>
    </w:p>
    <w:p>
      <w:pPr>
        <w:ind w:left="185"/>
        <w:spacing w:after="0"/>
        <w:rPr>
          <w:sz w:val="20"/>
          <w:szCs w:val="20"/>
          <w:color w:val="auto"/>
        </w:rPr>
      </w:pPr>
      <w:r>
        <w:rPr>
          <w:rFonts w:ascii="Courier New" w:cs="Courier New" w:eastAsia="Courier New" w:hAnsi="Courier New"/>
          <w:sz w:val="15"/>
          <w:szCs w:val="15"/>
          <w:color w:val="auto"/>
        </w:rPr>
        <w:t>The following table shows, for the fiscal years ended December 31, 1996,</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860" w:type="dxa"/>
            <w:vAlign w:val="bottom"/>
            <w:gridSpan w:val="3"/>
          </w:tcPr>
          <w:p>
            <w:pPr>
              <w:spacing w:after="0"/>
              <w:rPr>
                <w:sz w:val="20"/>
                <w:szCs w:val="20"/>
                <w:color w:val="auto"/>
              </w:rPr>
            </w:pPr>
            <w:r>
              <w:rPr>
                <w:rFonts w:ascii="Courier New" w:cs="Courier New" w:eastAsia="Courier New" w:hAnsi="Courier New"/>
                <w:sz w:val="15"/>
                <w:szCs w:val="15"/>
                <w:color w:val="auto"/>
              </w:rPr>
              <w:t>1995 and 1994, the cash compensation paid</w:t>
            </w:r>
          </w:p>
        </w:tc>
        <w:tc>
          <w:tcPr>
            <w:tcW w:w="4540" w:type="dxa"/>
            <w:vAlign w:val="bottom"/>
            <w:gridSpan w:val="3"/>
          </w:tcPr>
          <w:p>
            <w:pPr>
              <w:jc w:val="right"/>
              <w:ind w:right="1123"/>
              <w:spacing w:after="0"/>
              <w:rPr>
                <w:sz w:val="20"/>
                <w:szCs w:val="20"/>
                <w:color w:val="auto"/>
              </w:rPr>
            </w:pPr>
            <w:r>
              <w:rPr>
                <w:rFonts w:ascii="Courier New" w:cs="Courier New" w:eastAsia="Courier New" w:hAnsi="Courier New"/>
                <w:sz w:val="15"/>
                <w:szCs w:val="15"/>
                <w:color w:val="auto"/>
              </w:rPr>
              <w:t>by the Company and its subsidiaries,</w:t>
            </w:r>
          </w:p>
        </w:tc>
      </w:tr>
      <w:tr>
        <w:trPr>
          <w:trHeight w:val="177"/>
        </w:trPr>
        <w:tc>
          <w:tcPr>
            <w:tcW w:w="2260" w:type="dxa"/>
            <w:vAlign w:val="bottom"/>
          </w:tcPr>
          <w:p>
            <w:pPr>
              <w:jc w:val="center"/>
              <w:spacing w:after="0"/>
              <w:rPr>
                <w:sz w:val="20"/>
                <w:szCs w:val="20"/>
                <w:color w:val="auto"/>
              </w:rPr>
            </w:pPr>
            <w:r>
              <w:rPr>
                <w:rFonts w:ascii="Courier New" w:cs="Courier New" w:eastAsia="Courier New" w:hAnsi="Courier New"/>
                <w:sz w:val="15"/>
                <w:szCs w:val="15"/>
                <w:color w:val="auto"/>
              </w:rPr>
              <w:t>as well as certain other</w:t>
            </w:r>
          </w:p>
        </w:tc>
        <w:tc>
          <w:tcPr>
            <w:tcW w:w="484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compensation paid or accrued for those years, to the</w:t>
            </w:r>
          </w:p>
        </w:tc>
        <w:tc>
          <w:tcPr>
            <w:tcW w:w="1300" w:type="dxa"/>
            <w:vAlign w:val="bottom"/>
          </w:tcPr>
          <w:p>
            <w:pPr>
              <w:spacing w:after="0"/>
              <w:rPr>
                <w:sz w:val="15"/>
                <w:szCs w:val="15"/>
                <w:color w:val="auto"/>
              </w:rPr>
            </w:pPr>
          </w:p>
        </w:tc>
      </w:tr>
      <w:tr>
        <w:trPr>
          <w:trHeight w:val="177"/>
        </w:trPr>
        <w:tc>
          <w:tcPr>
            <w:tcW w:w="7100" w:type="dxa"/>
            <w:vAlign w:val="bottom"/>
            <w:gridSpan w:val="5"/>
          </w:tcPr>
          <w:p>
            <w:pPr>
              <w:spacing w:after="0"/>
              <w:rPr>
                <w:sz w:val="20"/>
                <w:szCs w:val="20"/>
                <w:color w:val="auto"/>
              </w:rPr>
            </w:pPr>
            <w:r>
              <w:rPr>
                <w:rFonts w:ascii="Courier New" w:cs="Courier New" w:eastAsia="Courier New" w:hAnsi="Courier New"/>
                <w:sz w:val="15"/>
                <w:szCs w:val="15"/>
                <w:color w:val="auto"/>
              </w:rPr>
              <w:t>Chief Executive Officer and the next four most highly compensated executive</w:t>
            </w:r>
          </w:p>
        </w:tc>
        <w:tc>
          <w:tcPr>
            <w:tcW w:w="1300" w:type="dxa"/>
            <w:vAlign w:val="bottom"/>
          </w:tcPr>
          <w:p>
            <w:pPr>
              <w:spacing w:after="0"/>
              <w:rPr>
                <w:sz w:val="15"/>
                <w:szCs w:val="15"/>
                <w:color w:val="auto"/>
              </w:rPr>
            </w:pPr>
          </w:p>
        </w:tc>
      </w:tr>
      <w:tr>
        <w:trPr>
          <w:trHeight w:val="177"/>
        </w:trPr>
        <w:tc>
          <w:tcPr>
            <w:tcW w:w="2260" w:type="dxa"/>
            <w:vAlign w:val="bottom"/>
          </w:tcPr>
          <w:p>
            <w:pPr>
              <w:jc w:val="center"/>
              <w:spacing w:after="0"/>
              <w:rPr>
                <w:sz w:val="20"/>
                <w:szCs w:val="20"/>
                <w:color w:val="auto"/>
              </w:rPr>
            </w:pPr>
            <w:r>
              <w:rPr>
                <w:rFonts w:ascii="Courier New" w:cs="Courier New" w:eastAsia="Courier New" w:hAnsi="Courier New"/>
                <w:sz w:val="15"/>
                <w:szCs w:val="15"/>
                <w:color w:val="auto"/>
              </w:rPr>
              <w:t>officers of the Company:</w:t>
            </w: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355"/>
        </w:trPr>
        <w:tc>
          <w:tcPr>
            <w:tcW w:w="2260" w:type="dxa"/>
            <w:vAlign w:val="bottom"/>
          </w:tcPr>
          <w:p>
            <w:pPr>
              <w:spacing w:after="0"/>
              <w:rPr>
                <w:sz w:val="24"/>
                <w:szCs w:val="24"/>
                <w:color w:val="auto"/>
              </w:rPr>
            </w:pPr>
          </w:p>
        </w:tc>
        <w:tc>
          <w:tcPr>
            <w:tcW w:w="2860" w:type="dxa"/>
            <w:vAlign w:val="bottom"/>
            <w:gridSpan w:val="3"/>
          </w:tcPr>
          <w:p>
            <w:pPr>
              <w:jc w:val="right"/>
              <w:ind w:right="243"/>
              <w:spacing w:after="0"/>
              <w:rPr>
                <w:sz w:val="20"/>
                <w:szCs w:val="20"/>
                <w:color w:val="auto"/>
              </w:rPr>
            </w:pPr>
            <w:r>
              <w:rPr>
                <w:rFonts w:ascii="Courier New" w:cs="Courier New" w:eastAsia="Courier New" w:hAnsi="Courier New"/>
                <w:sz w:val="15"/>
                <w:szCs w:val="15"/>
                <w:color w:val="auto"/>
              </w:rPr>
              <w:t>SUMMARY COMPENSATION TABLE</w:t>
            </w:r>
          </w:p>
        </w:tc>
        <w:tc>
          <w:tcPr>
            <w:tcW w:w="19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710"/>
        </w:trPr>
        <w:tc>
          <w:tcPr>
            <w:tcW w:w="2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8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LONG-TERM</w:t>
            </w:r>
          </w:p>
        </w:tc>
        <w:tc>
          <w:tcPr>
            <w:tcW w:w="1300" w:type="dxa"/>
            <w:vAlign w:val="bottom"/>
          </w:tcPr>
          <w:p>
            <w:pPr>
              <w:spacing w:after="0"/>
              <w:rPr>
                <w:sz w:val="24"/>
                <w:szCs w:val="24"/>
                <w:color w:val="auto"/>
              </w:rPr>
            </w:pPr>
          </w:p>
        </w:tc>
      </w:tr>
      <w:tr>
        <w:trPr>
          <w:trHeight w:val="177"/>
        </w:trPr>
        <w:tc>
          <w:tcPr>
            <w:tcW w:w="2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980" w:type="dxa"/>
            <w:vAlign w:val="bottom"/>
          </w:tcPr>
          <w:p>
            <w:pPr>
              <w:jc w:val="center"/>
              <w:ind w:right="343"/>
              <w:spacing w:after="0"/>
              <w:rPr>
                <w:sz w:val="20"/>
                <w:szCs w:val="20"/>
                <w:color w:val="auto"/>
              </w:rPr>
            </w:pPr>
            <w:r>
              <w:rPr>
                <w:rFonts w:ascii="Courier New" w:cs="Courier New" w:eastAsia="Courier New" w:hAnsi="Courier New"/>
                <w:sz w:val="15"/>
                <w:szCs w:val="15"/>
                <w:color w:val="auto"/>
              </w:rPr>
              <w:t>COMPENSATION</w:t>
            </w:r>
          </w:p>
        </w:tc>
        <w:tc>
          <w:tcPr>
            <w:tcW w:w="1300" w:type="dxa"/>
            <w:vAlign w:val="bottom"/>
          </w:tcPr>
          <w:p>
            <w:pPr>
              <w:spacing w:after="0"/>
              <w:rPr>
                <w:sz w:val="15"/>
                <w:szCs w:val="15"/>
                <w:color w:val="auto"/>
              </w:rPr>
            </w:pPr>
          </w:p>
        </w:tc>
      </w:tr>
      <w:tr>
        <w:trPr>
          <w:trHeight w:val="177"/>
        </w:trPr>
        <w:tc>
          <w:tcPr>
            <w:tcW w:w="2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980" w:type="dxa"/>
            <w:vAlign w:val="bottom"/>
          </w:tcPr>
          <w:p>
            <w:pPr>
              <w:jc w:val="center"/>
              <w:ind w:right="34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5"/>
                <w:szCs w:val="15"/>
                <w:color w:val="auto"/>
              </w:rPr>
            </w:pPr>
          </w:p>
        </w:tc>
      </w:tr>
      <w:tr>
        <w:trPr>
          <w:trHeight w:val="177"/>
        </w:trPr>
        <w:tc>
          <w:tcPr>
            <w:tcW w:w="2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980" w:type="dxa"/>
            <w:vAlign w:val="bottom"/>
          </w:tcPr>
          <w:p>
            <w:pPr>
              <w:jc w:val="center"/>
              <w:ind w:right="343"/>
              <w:spacing w:after="0"/>
              <w:rPr>
                <w:sz w:val="20"/>
                <w:szCs w:val="20"/>
                <w:color w:val="auto"/>
              </w:rPr>
            </w:pPr>
            <w:r>
              <w:rPr>
                <w:rFonts w:ascii="Courier New" w:cs="Courier New" w:eastAsia="Courier New" w:hAnsi="Courier New"/>
                <w:sz w:val="15"/>
                <w:szCs w:val="15"/>
                <w:color w:val="auto"/>
              </w:rPr>
              <w:t>AWARDS</w:t>
            </w:r>
          </w:p>
        </w:tc>
        <w:tc>
          <w:tcPr>
            <w:tcW w:w="1300" w:type="dxa"/>
            <w:vAlign w:val="bottom"/>
          </w:tcPr>
          <w:p>
            <w:pPr>
              <w:spacing w:after="0"/>
              <w:rPr>
                <w:sz w:val="15"/>
                <w:szCs w:val="15"/>
                <w:color w:val="auto"/>
              </w:rPr>
            </w:pPr>
          </w:p>
        </w:tc>
      </w:tr>
      <w:tr>
        <w:trPr>
          <w:trHeight w:val="177"/>
        </w:trPr>
        <w:tc>
          <w:tcPr>
            <w:tcW w:w="2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980" w:type="dxa"/>
            <w:vAlign w:val="bottom"/>
          </w:tcPr>
          <w:p>
            <w:pPr>
              <w:jc w:val="center"/>
              <w:ind w:right="34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5"/>
                <w:szCs w:val="15"/>
                <w:color w:val="auto"/>
              </w:rPr>
            </w:pPr>
          </w:p>
        </w:tc>
      </w:tr>
      <w:tr>
        <w:trPr>
          <w:trHeight w:val="177"/>
        </w:trPr>
        <w:tc>
          <w:tcPr>
            <w:tcW w:w="2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ANNUAL COMPENSATION</w:t>
            </w:r>
          </w:p>
        </w:tc>
        <w:tc>
          <w:tcPr>
            <w:tcW w:w="198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SECURITIES</w:t>
            </w:r>
          </w:p>
        </w:tc>
        <w:tc>
          <w:tcPr>
            <w:tcW w:w="1300" w:type="dxa"/>
            <w:vAlign w:val="bottom"/>
          </w:tcPr>
          <w:p>
            <w:pPr>
              <w:spacing w:after="0"/>
              <w:rPr>
                <w:sz w:val="15"/>
                <w:szCs w:val="15"/>
                <w:color w:val="auto"/>
              </w:rPr>
            </w:pPr>
          </w:p>
        </w:tc>
      </w:tr>
      <w:tr>
        <w:trPr>
          <w:trHeight w:val="177"/>
        </w:trPr>
        <w:tc>
          <w:tcPr>
            <w:tcW w:w="2260" w:type="dxa"/>
            <w:vAlign w:val="bottom"/>
          </w:tcPr>
          <w:p>
            <w:pPr>
              <w:jc w:val="center"/>
              <w:spacing w:after="0"/>
              <w:rPr>
                <w:sz w:val="20"/>
                <w:szCs w:val="20"/>
                <w:color w:val="auto"/>
              </w:rPr>
            </w:pPr>
            <w:r>
              <w:rPr>
                <w:rFonts w:ascii="Courier New" w:cs="Courier New" w:eastAsia="Courier New" w:hAnsi="Courier New"/>
                <w:sz w:val="15"/>
                <w:szCs w:val="15"/>
                <w:color w:val="auto"/>
              </w:rPr>
              <w:t>NAME AND</w:t>
            </w:r>
          </w:p>
        </w:tc>
        <w:tc>
          <w:tcPr>
            <w:tcW w:w="460" w:type="dxa"/>
            <w:vAlign w:val="bottom"/>
          </w:tcPr>
          <w:p>
            <w:pPr>
              <w:spacing w:after="0"/>
              <w:rPr>
                <w:sz w:val="15"/>
                <w:szCs w:val="15"/>
                <w:color w:val="auto"/>
              </w:rPr>
            </w:pPr>
          </w:p>
        </w:tc>
        <w:tc>
          <w:tcPr>
            <w:tcW w:w="2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center"/>
              <w:ind w:right="343"/>
              <w:spacing w:after="0"/>
              <w:rPr>
                <w:sz w:val="20"/>
                <w:szCs w:val="20"/>
                <w:color w:val="auto"/>
              </w:rPr>
            </w:pPr>
            <w:r>
              <w:rPr>
                <w:rFonts w:ascii="Courier New" w:cs="Courier New" w:eastAsia="Courier New" w:hAnsi="Courier New"/>
                <w:sz w:val="15"/>
                <w:szCs w:val="15"/>
                <w:color w:val="auto"/>
              </w:rPr>
              <w:t>UNDERLYING</w:t>
            </w:r>
          </w:p>
        </w:tc>
        <w:tc>
          <w:tcPr>
            <w:tcW w:w="1300" w:type="dxa"/>
            <w:vAlign w:val="bottom"/>
          </w:tcPr>
          <w:p>
            <w:pPr>
              <w:jc w:val="right"/>
              <w:ind w:right="403"/>
              <w:spacing w:after="0"/>
              <w:rPr>
                <w:sz w:val="20"/>
                <w:szCs w:val="20"/>
                <w:color w:val="auto"/>
              </w:rPr>
            </w:pPr>
            <w:r>
              <w:rPr>
                <w:rFonts w:ascii="Courier New" w:cs="Courier New" w:eastAsia="Courier New" w:hAnsi="Courier New"/>
                <w:sz w:val="15"/>
                <w:szCs w:val="15"/>
                <w:color w:val="auto"/>
                <w:w w:val="98"/>
              </w:rPr>
              <w:t>ALL OTHER</w:t>
            </w:r>
          </w:p>
        </w:tc>
      </w:tr>
      <w:tr>
        <w:trPr>
          <w:trHeight w:val="177"/>
        </w:trPr>
        <w:tc>
          <w:tcPr>
            <w:tcW w:w="2260" w:type="dxa"/>
            <w:vAlign w:val="bottom"/>
          </w:tcPr>
          <w:p>
            <w:pPr>
              <w:jc w:val="center"/>
              <w:spacing w:after="0"/>
              <w:rPr>
                <w:sz w:val="20"/>
                <w:szCs w:val="20"/>
                <w:color w:val="auto"/>
              </w:rPr>
            </w:pPr>
            <w:r>
              <w:rPr>
                <w:rFonts w:ascii="Courier New" w:cs="Courier New" w:eastAsia="Courier New" w:hAnsi="Courier New"/>
                <w:sz w:val="15"/>
                <w:szCs w:val="15"/>
                <w:color w:val="auto"/>
              </w:rPr>
              <w:t>PRINCIPAL POSITION</w:t>
            </w:r>
          </w:p>
        </w:tc>
        <w:tc>
          <w:tcPr>
            <w:tcW w:w="614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YEAR SALARY ($)(1) BONUS ($)(1) OPTIONS (#)(2) COMPENSATION ($)(3)</w:t>
            </w:r>
          </w:p>
        </w:tc>
      </w:tr>
      <w:tr>
        <w:trPr>
          <w:trHeight w:val="177"/>
        </w:trPr>
        <w:tc>
          <w:tcPr>
            <w:tcW w:w="22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614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 ------------- ------------ -------------- -------------------</w:t>
            </w:r>
          </w:p>
        </w:tc>
      </w:tr>
      <w:tr>
        <w:trPr>
          <w:trHeight w:val="355"/>
        </w:trPr>
        <w:tc>
          <w:tcPr>
            <w:tcW w:w="2260" w:type="dxa"/>
            <w:vAlign w:val="bottom"/>
          </w:tcPr>
          <w:p>
            <w:pPr>
              <w:jc w:val="center"/>
              <w:spacing w:after="0"/>
              <w:rPr>
                <w:sz w:val="20"/>
                <w:szCs w:val="20"/>
                <w:color w:val="auto"/>
              </w:rPr>
            </w:pPr>
            <w:r>
              <w:rPr>
                <w:rFonts w:ascii="Courier New" w:cs="Courier New" w:eastAsia="Courier New" w:hAnsi="Courier New"/>
                <w:sz w:val="15"/>
                <w:szCs w:val="15"/>
                <w:color w:val="auto"/>
              </w:rPr>
              <w:t>D. E. Baird ............</w:t>
            </w: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1,100,000</w:t>
            </w:r>
          </w:p>
        </w:tc>
        <w:tc>
          <w:tcPr>
            <w:tcW w:w="12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1,100,000</w:t>
            </w:r>
          </w:p>
        </w:tc>
        <w:tc>
          <w:tcPr>
            <w:tcW w:w="198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150,000</w:t>
            </w:r>
          </w:p>
        </w:tc>
        <w:tc>
          <w:tcPr>
            <w:tcW w:w="13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231,000</w:t>
            </w:r>
          </w:p>
        </w:tc>
      </w:tr>
      <w:tr>
        <w:trPr>
          <w:trHeight w:val="177"/>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Chairman and Chief Ex-</w:t>
            </w: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1,100,000</w:t>
            </w:r>
          </w:p>
        </w:tc>
        <w:tc>
          <w:tcPr>
            <w:tcW w:w="12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1,000,000</w:t>
            </w:r>
          </w:p>
        </w:tc>
        <w:tc>
          <w:tcPr>
            <w:tcW w:w="198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50,000</w:t>
            </w:r>
          </w:p>
        </w:tc>
        <w:tc>
          <w:tcPr>
            <w:tcW w:w="13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139,417</w:t>
            </w:r>
          </w:p>
        </w:tc>
      </w:tr>
      <w:tr>
        <w:trPr>
          <w:trHeight w:val="177"/>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ecutive Officer</w:t>
            </w: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1,100,000</w:t>
            </w:r>
          </w:p>
        </w:tc>
        <w:tc>
          <w:tcPr>
            <w:tcW w:w="12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500,000</w:t>
            </w:r>
          </w:p>
        </w:tc>
        <w:tc>
          <w:tcPr>
            <w:tcW w:w="198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175,000</w:t>
            </w:r>
          </w:p>
        </w:tc>
        <w:tc>
          <w:tcPr>
            <w:tcW w:w="13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144,000</w:t>
            </w:r>
          </w:p>
        </w:tc>
      </w:tr>
      <w:tr>
        <w:trPr>
          <w:trHeight w:val="177"/>
        </w:trPr>
        <w:tc>
          <w:tcPr>
            <w:tcW w:w="2260" w:type="dxa"/>
            <w:vAlign w:val="bottom"/>
          </w:tcPr>
          <w:p>
            <w:pPr>
              <w:jc w:val="center"/>
              <w:spacing w:after="0"/>
              <w:rPr>
                <w:sz w:val="20"/>
                <w:szCs w:val="20"/>
                <w:color w:val="auto"/>
              </w:rPr>
            </w:pPr>
            <w:r>
              <w:rPr>
                <w:rFonts w:ascii="Courier New" w:cs="Courier New" w:eastAsia="Courier New" w:hAnsi="Courier New"/>
                <w:sz w:val="15"/>
                <w:szCs w:val="15"/>
                <w:color w:val="auto"/>
              </w:rPr>
              <w:t>V. E. Grijalva .........</w:t>
            </w: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600,000</w:t>
            </w:r>
          </w:p>
        </w:tc>
        <w:tc>
          <w:tcPr>
            <w:tcW w:w="12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425,000</w:t>
            </w:r>
          </w:p>
        </w:tc>
        <w:tc>
          <w:tcPr>
            <w:tcW w:w="198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100,000</w:t>
            </w:r>
          </w:p>
        </w:tc>
        <w:tc>
          <w:tcPr>
            <w:tcW w:w="13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108,350</w:t>
            </w:r>
          </w:p>
        </w:tc>
      </w:tr>
      <w:tr>
        <w:trPr>
          <w:trHeight w:val="177"/>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Executive Vice Presi-</w:t>
            </w: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600,000</w:t>
            </w:r>
          </w:p>
        </w:tc>
        <w:tc>
          <w:tcPr>
            <w:tcW w:w="12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385,000</w:t>
            </w:r>
          </w:p>
        </w:tc>
        <w:tc>
          <w:tcPr>
            <w:tcW w:w="198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25,000</w:t>
            </w:r>
          </w:p>
        </w:tc>
        <w:tc>
          <w:tcPr>
            <w:tcW w:w="13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81,350</w:t>
            </w:r>
          </w:p>
        </w:tc>
      </w:tr>
      <w:tr>
        <w:trPr>
          <w:trHeight w:val="177"/>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dent, Oilfield Services</w:t>
            </w: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600,000</w:t>
            </w:r>
          </w:p>
        </w:tc>
        <w:tc>
          <w:tcPr>
            <w:tcW w:w="12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230,000</w:t>
            </w:r>
          </w:p>
        </w:tc>
        <w:tc>
          <w:tcPr>
            <w:tcW w:w="198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40,000</w:t>
            </w:r>
          </w:p>
        </w:tc>
        <w:tc>
          <w:tcPr>
            <w:tcW w:w="13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70,200</w:t>
            </w:r>
          </w:p>
        </w:tc>
      </w:tr>
      <w:tr>
        <w:trPr>
          <w:trHeight w:val="177"/>
        </w:trPr>
        <w:tc>
          <w:tcPr>
            <w:tcW w:w="2260" w:type="dxa"/>
            <w:vAlign w:val="bottom"/>
          </w:tcPr>
          <w:p>
            <w:pPr>
              <w:jc w:val="center"/>
              <w:spacing w:after="0"/>
              <w:rPr>
                <w:sz w:val="20"/>
                <w:szCs w:val="20"/>
                <w:color w:val="auto"/>
              </w:rPr>
            </w:pPr>
            <w:r>
              <w:rPr>
                <w:rFonts w:ascii="Courier New" w:cs="Courier New" w:eastAsia="Courier New" w:hAnsi="Courier New"/>
                <w:sz w:val="15"/>
                <w:szCs w:val="15"/>
                <w:color w:val="auto"/>
              </w:rPr>
              <w:t>C. Matton ..............</w:t>
            </w: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500,000</w:t>
            </w:r>
          </w:p>
        </w:tc>
        <w:tc>
          <w:tcPr>
            <w:tcW w:w="12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115,000</w:t>
            </w:r>
          </w:p>
        </w:tc>
        <w:tc>
          <w:tcPr>
            <w:tcW w:w="198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100,000</w:t>
            </w:r>
          </w:p>
        </w:tc>
        <w:tc>
          <w:tcPr>
            <w:tcW w:w="13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83,600</w:t>
            </w:r>
          </w:p>
        </w:tc>
      </w:tr>
      <w:tr>
        <w:trPr>
          <w:trHeight w:val="177"/>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Executive Vice Presi-</w:t>
            </w: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500,000</w:t>
            </w:r>
          </w:p>
        </w:tc>
        <w:tc>
          <w:tcPr>
            <w:tcW w:w="12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260,000</w:t>
            </w:r>
          </w:p>
        </w:tc>
        <w:tc>
          <w:tcPr>
            <w:tcW w:w="198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25,000</w:t>
            </w:r>
          </w:p>
        </w:tc>
        <w:tc>
          <w:tcPr>
            <w:tcW w:w="13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56,948</w:t>
            </w:r>
          </w:p>
        </w:tc>
      </w:tr>
      <w:tr>
        <w:trPr>
          <w:trHeight w:val="177"/>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dent,</w:t>
            </w: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500,000</w:t>
            </w:r>
          </w:p>
        </w:tc>
        <w:tc>
          <w:tcPr>
            <w:tcW w:w="12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160,000</w:t>
            </w:r>
          </w:p>
        </w:tc>
        <w:tc>
          <w:tcPr>
            <w:tcW w:w="198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40,000</w:t>
            </w:r>
          </w:p>
        </w:tc>
        <w:tc>
          <w:tcPr>
            <w:tcW w:w="13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56,700</w:t>
            </w:r>
          </w:p>
        </w:tc>
      </w:tr>
      <w:tr>
        <w:trPr>
          <w:trHeight w:val="177"/>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Measurement &amp; Systems</w:t>
            </w: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7"/>
        </w:trPr>
        <w:tc>
          <w:tcPr>
            <w:tcW w:w="2260" w:type="dxa"/>
            <w:vAlign w:val="bottom"/>
          </w:tcPr>
          <w:p>
            <w:pPr>
              <w:jc w:val="center"/>
              <w:spacing w:after="0"/>
              <w:rPr>
                <w:sz w:val="20"/>
                <w:szCs w:val="20"/>
                <w:color w:val="auto"/>
              </w:rPr>
            </w:pPr>
            <w:r>
              <w:rPr>
                <w:rFonts w:ascii="Courier New" w:cs="Courier New" w:eastAsia="Courier New" w:hAnsi="Courier New"/>
                <w:sz w:val="15"/>
                <w:szCs w:val="15"/>
                <w:color w:val="auto"/>
              </w:rPr>
              <w:t>A. Lindenauer...........</w:t>
            </w: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500,000</w:t>
            </w:r>
          </w:p>
        </w:tc>
        <w:tc>
          <w:tcPr>
            <w:tcW w:w="12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260,000</w:t>
            </w:r>
          </w:p>
        </w:tc>
        <w:tc>
          <w:tcPr>
            <w:tcW w:w="198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40,000</w:t>
            </w:r>
          </w:p>
        </w:tc>
        <w:tc>
          <w:tcPr>
            <w:tcW w:w="13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83,600</w:t>
            </w:r>
          </w:p>
        </w:tc>
      </w:tr>
      <w:tr>
        <w:trPr>
          <w:trHeight w:val="177"/>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Executive Vice Presi-</w:t>
            </w: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500,000</w:t>
            </w:r>
          </w:p>
        </w:tc>
        <w:tc>
          <w:tcPr>
            <w:tcW w:w="12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260,000</w:t>
            </w:r>
          </w:p>
        </w:tc>
        <w:tc>
          <w:tcPr>
            <w:tcW w:w="198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0</w:t>
            </w:r>
          </w:p>
        </w:tc>
        <w:tc>
          <w:tcPr>
            <w:tcW w:w="13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65,625</w:t>
            </w:r>
          </w:p>
        </w:tc>
      </w:tr>
      <w:tr>
        <w:trPr>
          <w:trHeight w:val="177"/>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dent--Finance</w:t>
            </w: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500,000</w:t>
            </w:r>
          </w:p>
        </w:tc>
        <w:tc>
          <w:tcPr>
            <w:tcW w:w="12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150,000</w:t>
            </w:r>
          </w:p>
        </w:tc>
        <w:tc>
          <w:tcPr>
            <w:tcW w:w="198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20,000</w:t>
            </w:r>
          </w:p>
        </w:tc>
        <w:tc>
          <w:tcPr>
            <w:tcW w:w="13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54,450</w:t>
            </w:r>
          </w:p>
        </w:tc>
      </w:tr>
      <w:tr>
        <w:trPr>
          <w:trHeight w:val="177"/>
        </w:trPr>
        <w:tc>
          <w:tcPr>
            <w:tcW w:w="2260" w:type="dxa"/>
            <w:vAlign w:val="bottom"/>
          </w:tcPr>
          <w:p>
            <w:pPr>
              <w:jc w:val="center"/>
              <w:spacing w:after="0"/>
              <w:rPr>
                <w:sz w:val="20"/>
                <w:szCs w:val="20"/>
                <w:color w:val="auto"/>
              </w:rPr>
            </w:pPr>
            <w:r>
              <w:rPr>
                <w:rFonts w:ascii="Courier New" w:cs="Courier New" w:eastAsia="Courier New" w:hAnsi="Courier New"/>
                <w:sz w:val="15"/>
                <w:szCs w:val="15"/>
                <w:color w:val="auto"/>
              </w:rPr>
              <w:t>I. Strecker.............</w:t>
            </w: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400,000</w:t>
            </w:r>
          </w:p>
        </w:tc>
        <w:tc>
          <w:tcPr>
            <w:tcW w:w="12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170,000</w:t>
            </w:r>
          </w:p>
        </w:tc>
        <w:tc>
          <w:tcPr>
            <w:tcW w:w="198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50,000</w:t>
            </w:r>
          </w:p>
        </w:tc>
        <w:tc>
          <w:tcPr>
            <w:tcW w:w="13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65,450</w:t>
            </w:r>
          </w:p>
        </w:tc>
      </w:tr>
      <w:tr>
        <w:trPr>
          <w:trHeight w:val="177"/>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Executive Vice Presi-</w:t>
            </w: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400,000</w:t>
            </w:r>
          </w:p>
        </w:tc>
        <w:tc>
          <w:tcPr>
            <w:tcW w:w="12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195,000</w:t>
            </w:r>
          </w:p>
        </w:tc>
        <w:tc>
          <w:tcPr>
            <w:tcW w:w="198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0</w:t>
            </w:r>
          </w:p>
        </w:tc>
        <w:tc>
          <w:tcPr>
            <w:tcW w:w="13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51,000</w:t>
            </w:r>
          </w:p>
        </w:tc>
      </w:tr>
      <w:tr>
        <w:trPr>
          <w:trHeight w:val="177"/>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dent, Technology and</w:t>
            </w: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400,000</w:t>
            </w:r>
          </w:p>
        </w:tc>
        <w:tc>
          <w:tcPr>
            <w:tcW w:w="12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110,000</w:t>
            </w:r>
          </w:p>
        </w:tc>
        <w:tc>
          <w:tcPr>
            <w:tcW w:w="198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10,000</w:t>
            </w:r>
          </w:p>
        </w:tc>
        <w:tc>
          <w:tcPr>
            <w:tcW w:w="13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45,450</w:t>
            </w:r>
          </w:p>
        </w:tc>
      </w:tr>
      <w:tr>
        <w:trPr>
          <w:trHeight w:val="177"/>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Quality, Health, Safety</w:t>
            </w: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7"/>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&amp; Environment</w:t>
            </w: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300" w:type="dxa"/>
            <w:vAlign w:val="bottom"/>
          </w:tcPr>
          <w:p>
            <w:pPr>
              <w:spacing w:after="0"/>
              <w:rPr>
                <w:sz w:val="15"/>
                <w:szCs w:val="15"/>
                <w:color w:val="auto"/>
              </w:rPr>
            </w:pPr>
          </w:p>
        </w:tc>
      </w:tr>
    </w:tbl>
    <w:p>
      <w:pPr>
        <w:spacing w:after="0" w:line="183"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465" w:right="3119" w:hanging="465"/>
        <w:spacing w:after="0" w:line="250" w:lineRule="auto"/>
        <w:tabs>
          <w:tab w:leader="none" w:pos="46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 and bonus amounts include cash compensation earned and received and any amounts deferred under the Schlumberger Restoration Savings Plan ("Restoration Savings Plan").</w:t>
      </w:r>
    </w:p>
    <w:p>
      <w:pPr>
        <w:spacing w:after="0" w:line="1" w:lineRule="exact"/>
        <w:rPr>
          <w:rFonts w:ascii="Courier New" w:cs="Courier New" w:eastAsia="Courier New" w:hAnsi="Courier New"/>
          <w:sz w:val="15"/>
          <w:szCs w:val="15"/>
          <w:color w:val="auto"/>
        </w:rPr>
      </w:pPr>
    </w:p>
    <w:p>
      <w:pPr>
        <w:ind w:left="465" w:hanging="465"/>
        <w:spacing w:after="0"/>
        <w:tabs>
          <w:tab w:leader="none" w:pos="46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granted no stock appreciation rights or restricted stock.</w:t>
      </w:r>
    </w:p>
    <w:p>
      <w:pPr>
        <w:spacing w:after="0" w:line="7" w:lineRule="exact"/>
        <w:rPr>
          <w:rFonts w:ascii="Courier New" w:cs="Courier New" w:eastAsia="Courier New" w:hAnsi="Courier New"/>
          <w:sz w:val="15"/>
          <w:szCs w:val="15"/>
          <w:color w:val="auto"/>
        </w:rPr>
      </w:pPr>
    </w:p>
    <w:p>
      <w:pPr>
        <w:ind w:left="465" w:hanging="465"/>
        <w:spacing w:after="0"/>
        <w:tabs>
          <w:tab w:leader="none" w:pos="46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1996 amounts disclosed in this column include:</w:t>
      </w:r>
    </w:p>
    <w:p>
      <w:pPr>
        <w:spacing w:after="0" w:line="7" w:lineRule="exact"/>
        <w:rPr>
          <w:rFonts w:ascii="Courier New" w:cs="Courier New" w:eastAsia="Courier New" w:hAnsi="Courier New"/>
          <w:sz w:val="15"/>
          <w:szCs w:val="15"/>
          <w:color w:val="auto"/>
        </w:rPr>
      </w:pPr>
    </w:p>
    <w:p>
      <w:pPr>
        <w:ind w:left="545" w:hanging="361"/>
        <w:spacing w:after="0"/>
        <w:tabs>
          <w:tab w:leader="none" w:pos="545"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contributions to the Schlumberger Profit Sharing Plan.</w:t>
      </w:r>
    </w:p>
    <w:p>
      <w:pPr>
        <w:spacing w:after="0" w:line="7" w:lineRule="exact"/>
        <w:rPr>
          <w:rFonts w:ascii="Courier New" w:cs="Courier New" w:eastAsia="Courier New" w:hAnsi="Courier New"/>
          <w:sz w:val="15"/>
          <w:szCs w:val="15"/>
          <w:color w:val="auto"/>
        </w:rPr>
      </w:pPr>
    </w:p>
    <w:p>
      <w:pPr>
        <w:ind w:left="545" w:hanging="361"/>
        <w:spacing w:after="0"/>
        <w:tabs>
          <w:tab w:leader="none" w:pos="545"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unfunded credits to the Schlumberger Supplementary Benefit Plan.</w:t>
      </w:r>
    </w:p>
    <w:p>
      <w:pPr>
        <w:spacing w:after="0" w:line="7" w:lineRule="exact"/>
        <w:rPr>
          <w:rFonts w:ascii="Courier New" w:cs="Courier New" w:eastAsia="Courier New" w:hAnsi="Courier New"/>
          <w:sz w:val="15"/>
          <w:szCs w:val="15"/>
          <w:color w:val="auto"/>
        </w:rPr>
      </w:pPr>
    </w:p>
    <w:p>
      <w:pPr>
        <w:ind w:left="545" w:hanging="361"/>
        <w:spacing w:after="0"/>
        <w:tabs>
          <w:tab w:leader="none" w:pos="545"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unfunded matching credits to the Restoration Savings Plan.</w:t>
      </w:r>
    </w:p>
    <w:p>
      <w:pPr>
        <w:spacing w:after="0" w:line="200" w:lineRule="exact"/>
        <w:rPr>
          <w:sz w:val="20"/>
          <w:szCs w:val="20"/>
          <w:color w:val="auto"/>
        </w:rPr>
      </w:pPr>
    </w:p>
    <w:p>
      <w:pPr>
        <w:spacing w:after="0" w:line="340" w:lineRule="exact"/>
        <w:rPr>
          <w:sz w:val="20"/>
          <w:szCs w:val="20"/>
          <w:color w:val="auto"/>
        </w:rPr>
      </w:pPr>
    </w:p>
    <w:tbl>
      <w:tblPr>
        <w:tblLayout w:type="fixed"/>
        <w:tblInd w:w="285" w:type="dxa"/>
        <w:tblCellMar>
          <w:top w:w="0" w:type="dxa"/>
          <w:left w:w="0" w:type="dxa"/>
          <w:bottom w:w="0" w:type="dxa"/>
          <w:right w:w="0" w:type="dxa"/>
        </w:tblCellMar>
      </w:tblPr>
      <w:tr>
        <w:trPr>
          <w:trHeight w:val="172"/>
        </w:trPr>
        <w:tc>
          <w:tcPr>
            <w:tcW w:w="512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 (b)($)</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(c)($)</w:t>
            </w:r>
          </w:p>
        </w:tc>
      </w:tr>
      <w:tr>
        <w:trPr>
          <w:trHeight w:val="177"/>
        </w:trPr>
        <w:tc>
          <w:tcPr>
            <w:tcW w:w="5120" w:type="dxa"/>
            <w:vAlign w:val="bottom"/>
          </w:tcPr>
          <w:p>
            <w:pPr>
              <w:spacing w:after="0"/>
              <w:rPr>
                <w:sz w:val="15"/>
                <w:szCs w:val="15"/>
                <w:color w:val="auto"/>
              </w:rPr>
            </w:pPr>
          </w:p>
        </w:tc>
        <w:tc>
          <w:tcPr>
            <w:tcW w:w="19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55"/>
        </w:trPr>
        <w:tc>
          <w:tcPr>
            <w:tcW w:w="5120" w:type="dxa"/>
            <w:vAlign w:val="bottom"/>
          </w:tcPr>
          <w:p>
            <w:pPr>
              <w:spacing w:after="0"/>
              <w:rPr>
                <w:sz w:val="20"/>
                <w:szCs w:val="20"/>
                <w:color w:val="auto"/>
              </w:rPr>
            </w:pPr>
            <w:r>
              <w:rPr>
                <w:rFonts w:ascii="Courier New" w:cs="Courier New" w:eastAsia="Courier New" w:hAnsi="Courier New"/>
                <w:sz w:val="15"/>
                <w:szCs w:val="15"/>
                <w:color w:val="auto"/>
              </w:rPr>
              <w:t>Mr. Baird..............................................</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16,500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156,000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58,500</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Mr. Grijalva...........................................</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16,500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66,800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25,050</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Mr. Matton.............................................</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16,500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48,800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18,300</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Mr. Lindenauer.........................................</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16,500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48,800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18,300</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Mr. Strecker...........................................</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16,500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35,600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13,350</w:t>
            </w:r>
          </w:p>
        </w:tc>
      </w:tr>
    </w:tbl>
    <w:p>
      <w:pPr>
        <w:spacing w:after="0" w:line="360" w:lineRule="exact"/>
        <w:rPr>
          <w:sz w:val="20"/>
          <w:szCs w:val="20"/>
          <w:color w:val="auto"/>
        </w:rPr>
      </w:pPr>
    </w:p>
    <w:p>
      <w:pPr>
        <w:ind w:left="185" w:right="3019"/>
        <w:spacing w:after="0" w:line="251" w:lineRule="auto"/>
        <w:rPr>
          <w:sz w:val="20"/>
          <w:szCs w:val="20"/>
          <w:color w:val="auto"/>
        </w:rPr>
      </w:pPr>
      <w:r>
        <w:rPr>
          <w:rFonts w:ascii="Courier New" w:cs="Courier New" w:eastAsia="Courier New" w:hAnsi="Courier New"/>
          <w:sz w:val="15"/>
          <w:szCs w:val="15"/>
          <w:color w:val="auto"/>
        </w:rPr>
        <w:t>The Company's matching credits under the Restoration Savings Plan are vested 33 1/3% at three years of service, 66 2/3% at four years, 100% at five years or at age 60, or upon death or upon change of control. The amounts credited under the Restoration Savings Plan will be paid upon termination or retirement, death, disability, or change in control.</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5"/>
          </w:cols>
          <w:pgMar w:left="235" w:top="650" w:right="1440" w:bottom="1440" w:gutter="0" w:footer="0" w:header="0"/>
        </w:sectPr>
      </w:pPr>
    </w:p>
    <w:bookmarkStart w:id="12" w:name="page13"/>
    <w:bookmarkEnd w:id="12"/>
    <w:p>
      <w:pPr>
        <w:ind w:left="5"/>
        <w:spacing w:after="0"/>
        <w:rPr>
          <w:sz w:val="20"/>
          <w:szCs w:val="20"/>
          <w:color w:val="auto"/>
        </w:rPr>
      </w:pPr>
      <w:r>
        <w:rPr>
          <w:rFonts w:ascii="Courier New" w:cs="Courier New" w:eastAsia="Courier New" w:hAnsi="Courier New"/>
          <w:sz w:val="15"/>
          <w:szCs w:val="15"/>
          <w:color w:val="auto"/>
        </w:rPr>
        <w:t>STOCK OPTION GRANTS TABLE</w:t>
      </w:r>
    </w:p>
    <w:p>
      <w:pPr>
        <w:spacing w:after="0" w:line="185" w:lineRule="exact"/>
        <w:rPr>
          <w:sz w:val="20"/>
          <w:szCs w:val="20"/>
          <w:color w:val="auto"/>
        </w:rPr>
      </w:pPr>
    </w:p>
    <w:p>
      <w:pPr>
        <w:ind w:left="5" w:right="3019" w:firstLine="185"/>
        <w:spacing w:after="0" w:line="250" w:lineRule="auto"/>
        <w:rPr>
          <w:sz w:val="20"/>
          <w:szCs w:val="20"/>
          <w:color w:val="auto"/>
        </w:rPr>
      </w:pPr>
      <w:r>
        <w:rPr>
          <w:rFonts w:ascii="Courier New" w:cs="Courier New" w:eastAsia="Courier New" w:hAnsi="Courier New"/>
          <w:sz w:val="15"/>
          <w:szCs w:val="15"/>
          <w:color w:val="auto"/>
        </w:rPr>
        <w:t>The following table sets forth certain information concerning stock options granted during 1996 by the Company to the Chief Executive Officer and the next four most highly compensated executive officers of the Company. In addition, there are shown hypothetical gains that could be realized for the respective options, based on assumed rates of annual compound stock price appreciation of 5% and 10% from the date the options are granted over the ten-year term of the options. The actual gain, if any, realized upon exercise of the options will depend upon the market price of the Company's Common Stock relative to the exercise price of the option at the time the option is exercised. There is no assurance that the amounts reflected in this table will be realized.</w:t>
      </w:r>
    </w:p>
    <w:p>
      <w:pPr>
        <w:spacing w:after="0" w:line="182" w:lineRule="exact"/>
        <w:rPr>
          <w:sz w:val="20"/>
          <w:szCs w:val="20"/>
          <w:color w:val="auto"/>
        </w:rPr>
      </w:pPr>
    </w:p>
    <w:p>
      <w:pPr>
        <w:ind w:left="2125"/>
        <w:spacing w:after="0"/>
        <w:rPr>
          <w:sz w:val="20"/>
          <w:szCs w:val="20"/>
          <w:color w:val="auto"/>
        </w:rPr>
      </w:pPr>
      <w:r>
        <w:rPr>
          <w:rFonts w:ascii="Courier New" w:cs="Courier New" w:eastAsia="Courier New" w:hAnsi="Courier New"/>
          <w:sz w:val="15"/>
          <w:szCs w:val="15"/>
          <w:color w:val="auto"/>
        </w:rPr>
        <w:t>OPTION GRANTS IN LAST FISCAL YEAR</w:t>
      </w:r>
    </w:p>
    <w:p>
      <w:pPr>
        <w:sectPr>
          <w:pgSz w:w="11900" w:h="16838" w:orient="portrait"/>
          <w:cols w:equalWidth="0" w:num="1">
            <w:col w:w="10225"/>
          </w:cols>
          <w:pgMar w:left="235" w:top="65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625"/>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5160"/>
        <w:spacing w:after="0"/>
        <w:rPr>
          <w:sz w:val="20"/>
          <w:szCs w:val="20"/>
          <w:color w:val="auto"/>
        </w:rPr>
      </w:pPr>
      <w:r>
        <w:rPr>
          <w:rFonts w:ascii="Courier New" w:cs="Courier New" w:eastAsia="Courier New" w:hAnsi="Courier New"/>
          <w:sz w:val="15"/>
          <w:szCs w:val="15"/>
          <w:color w:val="auto"/>
        </w:rPr>
        <w:t>POTENTIAL</w:t>
      </w:r>
    </w:p>
    <w:p>
      <w:pPr>
        <w:spacing w:after="0" w:line="8"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REALIZABLE VALUE</w:t>
      </w:r>
    </w:p>
    <w:p>
      <w:pPr>
        <w:spacing w:after="0" w:line="8" w:lineRule="exact"/>
        <w:rPr>
          <w:sz w:val="20"/>
          <w:szCs w:val="20"/>
          <w:color w:val="auto"/>
        </w:rPr>
      </w:pPr>
    </w:p>
    <w:p>
      <w:pPr>
        <w:ind w:left="4800"/>
        <w:spacing w:after="0"/>
        <w:rPr>
          <w:sz w:val="20"/>
          <w:szCs w:val="20"/>
          <w:color w:val="auto"/>
        </w:rPr>
      </w:pPr>
      <w:r>
        <w:rPr>
          <w:rFonts w:ascii="Courier New" w:cs="Courier New" w:eastAsia="Courier New" w:hAnsi="Courier New"/>
          <w:sz w:val="15"/>
          <w:szCs w:val="15"/>
          <w:color w:val="auto"/>
        </w:rPr>
        <w:t>AT ASSUMED ANNUAL</w:t>
      </w:r>
    </w:p>
    <w:p>
      <w:pPr>
        <w:spacing w:after="0" w:line="8" w:lineRule="exact"/>
        <w:rPr>
          <w:sz w:val="20"/>
          <w:szCs w:val="20"/>
          <w:color w:val="auto"/>
        </w:rPr>
      </w:pPr>
    </w:p>
    <w:p>
      <w:pPr>
        <w:ind w:left="4980"/>
        <w:spacing w:after="0"/>
        <w:rPr>
          <w:sz w:val="20"/>
          <w:szCs w:val="20"/>
          <w:color w:val="auto"/>
        </w:rPr>
      </w:pPr>
      <w:r>
        <w:rPr>
          <w:rFonts w:ascii="Courier New" w:cs="Courier New" w:eastAsia="Courier New" w:hAnsi="Courier New"/>
          <w:sz w:val="15"/>
          <w:szCs w:val="15"/>
          <w:color w:val="auto"/>
        </w:rPr>
        <w:t>RATES OF STOCK</w:t>
      </w:r>
    </w:p>
    <w:p>
      <w:pPr>
        <w:spacing w:after="0" w:line="8" w:lineRule="exact"/>
        <w:rPr>
          <w:sz w:val="20"/>
          <w:szCs w:val="20"/>
          <w:color w:val="auto"/>
        </w:rPr>
      </w:pPr>
    </w:p>
    <w:p>
      <w:pPr>
        <w:ind w:left="4800"/>
        <w:spacing w:after="0"/>
        <w:rPr>
          <w:sz w:val="20"/>
          <w:szCs w:val="20"/>
          <w:color w:val="auto"/>
        </w:rPr>
      </w:pPr>
      <w:r>
        <w:rPr>
          <w:rFonts w:ascii="Courier New" w:cs="Courier New" w:eastAsia="Courier New" w:hAnsi="Courier New"/>
          <w:sz w:val="15"/>
          <w:szCs w:val="15"/>
          <w:color w:val="auto"/>
        </w:rPr>
        <w:t>PRICE APPRECIATION</w:t>
      </w:r>
    </w:p>
    <w:p>
      <w:pPr>
        <w:spacing w:after="0" w:line="8" w:lineRule="exact"/>
        <w:rPr>
          <w:sz w:val="20"/>
          <w:szCs w:val="20"/>
          <w:color w:val="auto"/>
        </w:rPr>
      </w:pPr>
    </w:p>
    <w:p>
      <w:pPr>
        <w:ind w:left="1480"/>
        <w:spacing w:after="0"/>
        <w:tabs>
          <w:tab w:leader="none" w:pos="4880" w:val="left"/>
        </w:tabs>
        <w:rPr>
          <w:sz w:val="20"/>
          <w:szCs w:val="20"/>
          <w:color w:val="auto"/>
        </w:rPr>
      </w:pPr>
      <w:r>
        <w:rPr>
          <w:rFonts w:ascii="Courier New" w:cs="Courier New" w:eastAsia="Courier New" w:hAnsi="Courier New"/>
          <w:sz w:val="15"/>
          <w:szCs w:val="15"/>
          <w:color w:val="auto"/>
        </w:rPr>
        <w:t>INDIVIDUAL GRANTS</w:t>
      </w:r>
      <w:r>
        <w:rPr>
          <w:sz w:val="20"/>
          <w:szCs w:val="20"/>
          <w:color w:val="auto"/>
        </w:rPr>
        <w:tab/>
      </w:r>
      <w:r>
        <w:rPr>
          <w:rFonts w:ascii="Courier New" w:cs="Courier New" w:eastAsia="Courier New" w:hAnsi="Courier New"/>
          <w:sz w:val="15"/>
          <w:szCs w:val="15"/>
          <w:color w:val="auto"/>
        </w:rPr>
        <w:t>FOR OPTION TERM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180"/>
        <w:spacing w:after="0"/>
        <w:tabs>
          <w:tab w:leader="none" w:pos="1460" w:val="left"/>
        </w:tabs>
        <w:rPr>
          <w:sz w:val="20"/>
          <w:szCs w:val="20"/>
          <w:color w:val="auto"/>
        </w:rPr>
      </w:pPr>
      <w:r>
        <w:rPr>
          <w:rFonts w:ascii="Courier New" w:cs="Courier New" w:eastAsia="Courier New" w:hAnsi="Courier New"/>
          <w:sz w:val="15"/>
          <w:szCs w:val="15"/>
          <w:color w:val="auto"/>
        </w:rPr>
        <w:t>NUMBER OF</w:t>
      </w:r>
      <w:r>
        <w:rPr>
          <w:sz w:val="20"/>
          <w:szCs w:val="20"/>
          <w:color w:val="auto"/>
        </w:rPr>
        <w:tab/>
      </w:r>
      <w:r>
        <w:rPr>
          <w:rFonts w:ascii="Courier New" w:cs="Courier New" w:eastAsia="Courier New" w:hAnsi="Courier New"/>
          <w:sz w:val="15"/>
          <w:szCs w:val="15"/>
          <w:color w:val="auto"/>
        </w:rPr>
        <w:t>% OF TOTAL</w:t>
      </w:r>
    </w:p>
    <w:p>
      <w:pPr>
        <w:spacing w:after="0" w:line="8" w:lineRule="exact"/>
        <w:rPr>
          <w:sz w:val="20"/>
          <w:szCs w:val="20"/>
          <w:color w:val="auto"/>
        </w:rPr>
      </w:pPr>
    </w:p>
    <w:p>
      <w:pPr>
        <w:ind w:left="100"/>
        <w:spacing w:after="0"/>
        <w:tabs>
          <w:tab w:leader="none" w:pos="1540" w:val="left"/>
        </w:tabs>
        <w:rPr>
          <w:sz w:val="20"/>
          <w:szCs w:val="20"/>
          <w:color w:val="auto"/>
        </w:rPr>
      </w:pP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5"/>
          <w:szCs w:val="15"/>
          <w:color w:val="auto"/>
        </w:rPr>
        <w:t>OPTIONS</w:t>
      </w:r>
    </w:p>
    <w:p>
      <w:pPr>
        <w:spacing w:after="0" w:line="8" w:lineRule="exact"/>
        <w:rPr>
          <w:sz w:val="20"/>
          <w:szCs w:val="20"/>
          <w:color w:val="auto"/>
        </w:rPr>
      </w:pPr>
    </w:p>
    <w:p>
      <w:pPr>
        <w:ind w:left="100"/>
        <w:spacing w:after="0"/>
        <w:tabs>
          <w:tab w:leader="none" w:pos="1540" w:val="left"/>
          <w:tab w:leader="none" w:pos="2660" w:val="left"/>
        </w:tabs>
        <w:rPr>
          <w:sz w:val="20"/>
          <w:szCs w:val="20"/>
          <w:color w:val="auto"/>
        </w:rPr>
      </w:pPr>
      <w:r>
        <w:rPr>
          <w:rFonts w:ascii="Courier New" w:cs="Courier New" w:eastAsia="Courier New" w:hAnsi="Courier New"/>
          <w:sz w:val="15"/>
          <w:szCs w:val="15"/>
          <w:color w:val="auto"/>
        </w:rPr>
        <w:t>UNDERLYING</w:t>
      </w:r>
      <w:r>
        <w:rPr>
          <w:sz w:val="20"/>
          <w:szCs w:val="20"/>
          <w:color w:val="auto"/>
        </w:rPr>
        <w:tab/>
      </w:r>
      <w:r>
        <w:rPr>
          <w:rFonts w:ascii="Courier New" w:cs="Courier New" w:eastAsia="Courier New" w:hAnsi="Courier New"/>
          <w:sz w:val="15"/>
          <w:szCs w:val="15"/>
          <w:color w:val="auto"/>
        </w:rPr>
        <w:t>GRANTED</w:t>
      </w:r>
      <w:r>
        <w:rPr>
          <w:sz w:val="20"/>
          <w:szCs w:val="20"/>
          <w:color w:val="auto"/>
        </w:rPr>
        <w:tab/>
      </w:r>
      <w:r>
        <w:rPr>
          <w:rFonts w:ascii="Courier New" w:cs="Courier New" w:eastAsia="Courier New" w:hAnsi="Courier New"/>
          <w:sz w:val="15"/>
          <w:szCs w:val="15"/>
          <w:color w:val="auto"/>
        </w:rPr>
        <w:t>EXERCISE</w:t>
      </w:r>
    </w:p>
    <w:p>
      <w:pPr>
        <w:spacing w:after="0" w:line="8" w:lineRule="exact"/>
        <w:rPr>
          <w:sz w:val="20"/>
          <w:szCs w:val="20"/>
          <w:color w:val="auto"/>
        </w:rPr>
      </w:pPr>
    </w:p>
    <w:p>
      <w:pPr>
        <w:ind w:left="280"/>
        <w:spacing w:after="0"/>
        <w:tabs>
          <w:tab w:leader="none" w:pos="1360" w:val="left"/>
          <w:tab w:leader="none" w:pos="2840" w:val="left"/>
          <w:tab w:leader="none" w:pos="3580" w:val="left"/>
        </w:tabs>
        <w:rPr>
          <w:sz w:val="20"/>
          <w:szCs w:val="20"/>
          <w:color w:val="auto"/>
        </w:rPr>
      </w:pP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TO EMPLOYEES</w:t>
      </w:r>
      <w:r>
        <w:rPr>
          <w:sz w:val="20"/>
          <w:szCs w:val="20"/>
          <w:color w:val="auto"/>
        </w:rPr>
        <w:tab/>
      </w: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EXPIRATION</w:t>
      </w:r>
    </w:p>
    <w:p>
      <w:pPr>
        <w:spacing w:after="0" w:line="8" w:lineRule="exact"/>
        <w:rPr>
          <w:sz w:val="20"/>
          <w:szCs w:val="20"/>
          <w:color w:val="auto"/>
        </w:rPr>
      </w:pPr>
    </w:p>
    <w:p>
      <w:pPr>
        <w:spacing w:after="0"/>
        <w:tabs>
          <w:tab w:leader="none" w:pos="3860" w:val="left"/>
          <w:tab w:leader="none" w:pos="4780" w:val="left"/>
          <w:tab w:leader="none" w:pos="5800" w:val="left"/>
        </w:tabs>
        <w:rPr>
          <w:sz w:val="20"/>
          <w:szCs w:val="20"/>
          <w:color w:val="auto"/>
        </w:rPr>
      </w:pPr>
      <w:r>
        <w:rPr>
          <w:rFonts w:ascii="Courier New" w:cs="Courier New" w:eastAsia="Courier New" w:hAnsi="Courier New"/>
          <w:sz w:val="15"/>
          <w:szCs w:val="15"/>
          <w:color w:val="auto"/>
        </w:rPr>
        <w:t>GRANTED(#)(1) IN FISCAL YEAR ($/SH)(2)</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5%($)</w:t>
      </w:r>
      <w:r>
        <w:rPr>
          <w:sz w:val="20"/>
          <w:szCs w:val="20"/>
          <w:color w:val="auto"/>
        </w:rPr>
        <w:tab/>
      </w:r>
      <w:r>
        <w:rPr>
          <w:rFonts w:ascii="Courier New" w:cs="Courier New" w:eastAsia="Courier New" w:hAnsi="Courier New"/>
          <w:sz w:val="15"/>
          <w:szCs w:val="15"/>
          <w:color w:val="auto"/>
        </w:rPr>
        <w:t>10%($)</w:t>
      </w:r>
    </w:p>
    <w:p>
      <w:pPr>
        <w:spacing w:after="0" w:line="8" w:lineRule="exact"/>
        <w:rPr>
          <w:sz w:val="20"/>
          <w:szCs w:val="20"/>
          <w:color w:val="auto"/>
        </w:rPr>
      </w:pPr>
    </w:p>
    <w:p>
      <w:pPr>
        <w:sectPr>
          <w:pgSz w:w="11900" w:h="16838" w:orient="portrait"/>
          <w:cols w:equalWidth="0" w:num="2">
            <w:col w:w="1585" w:space="720"/>
            <w:col w:w="7919"/>
          </w:cols>
          <w:pgMar w:left="235" w:top="650" w:right="1440" w:bottom="1440" w:gutter="0" w:footer="0" w:header="0"/>
          <w:type w:val="continuous"/>
        </w:sectPr>
      </w:pPr>
    </w:p>
    <w:p>
      <w:pPr>
        <w:ind w:left="2305" w:hanging="1383"/>
        <w:spacing w:after="0"/>
        <w:tabs>
          <w:tab w:leader="none" w:pos="230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D. E. Baird.............</w:t>
            </w:r>
          </w:p>
        </w:tc>
        <w:tc>
          <w:tcPr>
            <w:tcW w:w="12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150,000</w:t>
            </w: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3.63</w:t>
            </w: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67.50</w:t>
            </w:r>
          </w:p>
        </w:tc>
        <w:tc>
          <w:tcPr>
            <w:tcW w:w="1020" w:type="dxa"/>
            <w:vAlign w:val="bottom"/>
          </w:tcPr>
          <w:p>
            <w:pPr>
              <w:jc w:val="right"/>
              <w:ind w:right="3"/>
              <w:spacing w:after="0"/>
              <w:rPr>
                <w:sz w:val="20"/>
                <w:szCs w:val="20"/>
                <w:color w:val="auto"/>
              </w:rPr>
            </w:pPr>
            <w:r>
              <w:rPr>
                <w:rFonts w:ascii="Courier New" w:cs="Courier New" w:eastAsia="Courier New" w:hAnsi="Courier New"/>
                <w:sz w:val="15"/>
                <w:szCs w:val="15"/>
                <w:color w:val="auto"/>
              </w:rPr>
              <w:t>01/24/06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$6,367,558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$16,136,642</w:t>
            </w:r>
          </w:p>
        </w:tc>
      </w:tr>
      <w:tr>
        <w:trPr>
          <w:trHeight w:val="177"/>
        </w:trPr>
        <w:tc>
          <w:tcPr>
            <w:tcW w:w="2400" w:type="dxa"/>
            <w:vAlign w:val="bottom"/>
          </w:tcPr>
          <w:p>
            <w:pPr>
              <w:spacing w:after="0"/>
              <w:rPr>
                <w:sz w:val="20"/>
                <w:szCs w:val="20"/>
                <w:color w:val="auto"/>
              </w:rPr>
            </w:pPr>
            <w:r>
              <w:rPr>
                <w:rFonts w:ascii="Courier New" w:cs="Courier New" w:eastAsia="Courier New" w:hAnsi="Courier New"/>
                <w:sz w:val="15"/>
                <w:szCs w:val="15"/>
                <w:color w:val="auto"/>
              </w:rPr>
              <w:t>V. E. Grijalva..........</w:t>
            </w:r>
          </w:p>
        </w:tc>
        <w:tc>
          <w:tcPr>
            <w:tcW w:w="12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100,000</w:t>
            </w: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2.42</w:t>
            </w: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67.50</w:t>
            </w:r>
          </w:p>
        </w:tc>
        <w:tc>
          <w:tcPr>
            <w:tcW w:w="1020" w:type="dxa"/>
            <w:vAlign w:val="bottom"/>
          </w:tcPr>
          <w:p>
            <w:pPr>
              <w:jc w:val="right"/>
              <w:ind w:right="3"/>
              <w:spacing w:after="0"/>
              <w:rPr>
                <w:sz w:val="20"/>
                <w:szCs w:val="20"/>
                <w:color w:val="auto"/>
              </w:rPr>
            </w:pPr>
            <w:r>
              <w:rPr>
                <w:rFonts w:ascii="Courier New" w:cs="Courier New" w:eastAsia="Courier New" w:hAnsi="Courier New"/>
                <w:sz w:val="15"/>
                <w:szCs w:val="15"/>
                <w:color w:val="auto"/>
              </w:rPr>
              <w:t>01/24/06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4,245,038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10,757,761</w:t>
            </w:r>
          </w:p>
        </w:tc>
      </w:tr>
      <w:tr>
        <w:trPr>
          <w:trHeight w:val="177"/>
        </w:trPr>
        <w:tc>
          <w:tcPr>
            <w:tcW w:w="2400" w:type="dxa"/>
            <w:vAlign w:val="bottom"/>
          </w:tcPr>
          <w:p>
            <w:pPr>
              <w:spacing w:after="0"/>
              <w:rPr>
                <w:sz w:val="20"/>
                <w:szCs w:val="20"/>
                <w:color w:val="auto"/>
              </w:rPr>
            </w:pPr>
            <w:r>
              <w:rPr>
                <w:rFonts w:ascii="Courier New" w:cs="Courier New" w:eastAsia="Courier New" w:hAnsi="Courier New"/>
                <w:sz w:val="15"/>
                <w:szCs w:val="15"/>
                <w:color w:val="auto"/>
              </w:rPr>
              <w:t>C. Matton...............</w:t>
            </w:r>
          </w:p>
        </w:tc>
        <w:tc>
          <w:tcPr>
            <w:tcW w:w="12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100,000</w:t>
            </w: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2.42</w:t>
            </w: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67.50</w:t>
            </w:r>
          </w:p>
        </w:tc>
        <w:tc>
          <w:tcPr>
            <w:tcW w:w="1020" w:type="dxa"/>
            <w:vAlign w:val="bottom"/>
          </w:tcPr>
          <w:p>
            <w:pPr>
              <w:jc w:val="right"/>
              <w:ind w:right="3"/>
              <w:spacing w:after="0"/>
              <w:rPr>
                <w:sz w:val="20"/>
                <w:szCs w:val="20"/>
                <w:color w:val="auto"/>
              </w:rPr>
            </w:pPr>
            <w:r>
              <w:rPr>
                <w:rFonts w:ascii="Courier New" w:cs="Courier New" w:eastAsia="Courier New" w:hAnsi="Courier New"/>
                <w:sz w:val="15"/>
                <w:szCs w:val="15"/>
                <w:color w:val="auto"/>
              </w:rPr>
              <w:t>01/24/06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4,245,038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10,757,761</w:t>
            </w:r>
          </w:p>
        </w:tc>
      </w:tr>
      <w:tr>
        <w:trPr>
          <w:trHeight w:val="177"/>
        </w:trPr>
        <w:tc>
          <w:tcPr>
            <w:tcW w:w="2400" w:type="dxa"/>
            <w:vAlign w:val="bottom"/>
          </w:tcPr>
          <w:p>
            <w:pPr>
              <w:spacing w:after="0"/>
              <w:rPr>
                <w:sz w:val="20"/>
                <w:szCs w:val="20"/>
                <w:color w:val="auto"/>
              </w:rPr>
            </w:pPr>
            <w:r>
              <w:rPr>
                <w:rFonts w:ascii="Courier New" w:cs="Courier New" w:eastAsia="Courier New" w:hAnsi="Courier New"/>
                <w:sz w:val="15"/>
                <w:szCs w:val="15"/>
                <w:color w:val="auto"/>
              </w:rPr>
              <w:t>A. Lindenauer...........</w:t>
            </w:r>
          </w:p>
        </w:tc>
        <w:tc>
          <w:tcPr>
            <w:tcW w:w="12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40,000</w:t>
            </w: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0.96</w:t>
            </w: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67.50</w:t>
            </w:r>
          </w:p>
        </w:tc>
        <w:tc>
          <w:tcPr>
            <w:tcW w:w="1020" w:type="dxa"/>
            <w:vAlign w:val="bottom"/>
          </w:tcPr>
          <w:p>
            <w:pPr>
              <w:jc w:val="right"/>
              <w:ind w:right="3"/>
              <w:spacing w:after="0"/>
              <w:rPr>
                <w:sz w:val="20"/>
                <w:szCs w:val="20"/>
                <w:color w:val="auto"/>
              </w:rPr>
            </w:pPr>
            <w:r>
              <w:rPr>
                <w:rFonts w:ascii="Courier New" w:cs="Courier New" w:eastAsia="Courier New" w:hAnsi="Courier New"/>
                <w:sz w:val="15"/>
                <w:szCs w:val="15"/>
                <w:color w:val="auto"/>
              </w:rPr>
              <w:t>01/24/06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1,698,015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4,303,104</w:t>
            </w:r>
          </w:p>
        </w:tc>
      </w:tr>
      <w:tr>
        <w:trPr>
          <w:trHeight w:val="177"/>
        </w:trPr>
        <w:tc>
          <w:tcPr>
            <w:tcW w:w="2400" w:type="dxa"/>
            <w:vAlign w:val="bottom"/>
          </w:tcPr>
          <w:p>
            <w:pPr>
              <w:spacing w:after="0"/>
              <w:rPr>
                <w:sz w:val="20"/>
                <w:szCs w:val="20"/>
                <w:color w:val="auto"/>
              </w:rPr>
            </w:pPr>
            <w:r>
              <w:rPr>
                <w:rFonts w:ascii="Courier New" w:cs="Courier New" w:eastAsia="Courier New" w:hAnsi="Courier New"/>
                <w:sz w:val="15"/>
                <w:szCs w:val="15"/>
                <w:color w:val="auto"/>
              </w:rPr>
              <w:t>I. Strecker.............</w:t>
            </w:r>
          </w:p>
        </w:tc>
        <w:tc>
          <w:tcPr>
            <w:tcW w:w="12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50,000</w:t>
            </w: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1.21</w:t>
            </w: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67.50</w:t>
            </w:r>
          </w:p>
        </w:tc>
        <w:tc>
          <w:tcPr>
            <w:tcW w:w="1020" w:type="dxa"/>
            <w:vAlign w:val="bottom"/>
          </w:tcPr>
          <w:p>
            <w:pPr>
              <w:jc w:val="right"/>
              <w:ind w:right="3"/>
              <w:spacing w:after="0"/>
              <w:rPr>
                <w:sz w:val="20"/>
                <w:szCs w:val="20"/>
                <w:color w:val="auto"/>
              </w:rPr>
            </w:pPr>
            <w:r>
              <w:rPr>
                <w:rFonts w:ascii="Courier New" w:cs="Courier New" w:eastAsia="Courier New" w:hAnsi="Courier New"/>
                <w:sz w:val="15"/>
                <w:szCs w:val="15"/>
                <w:color w:val="auto"/>
              </w:rPr>
              <w:t>01/24/06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2,122,519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5,378,880</w:t>
            </w:r>
          </w:p>
        </w:tc>
      </w:tr>
    </w:tbl>
    <w:p>
      <w:pPr>
        <w:spacing w:after="0" w:line="183"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465" w:right="3019" w:hanging="465"/>
        <w:spacing w:after="0" w:line="250" w:lineRule="auto"/>
        <w:tabs>
          <w:tab w:leader="none" w:pos="46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not granted any stock appreciation rights. These options become exercisable in installments of 20% each year following the date of grant. All outstanding stock options become fully exercisable prior to any reorganization, merger or consolidation of the Company where the Company is not the surviving corporation or prior to liquidation or dissolution of the Company, unless such merger, reorganization or consolidation provides for the assumption of such stock options.</w:t>
      </w:r>
    </w:p>
    <w:p>
      <w:pPr>
        <w:spacing w:after="0" w:line="3" w:lineRule="exact"/>
        <w:rPr>
          <w:rFonts w:ascii="Courier New" w:cs="Courier New" w:eastAsia="Courier New" w:hAnsi="Courier New"/>
          <w:sz w:val="15"/>
          <w:szCs w:val="15"/>
          <w:color w:val="auto"/>
        </w:rPr>
      </w:pPr>
    </w:p>
    <w:p>
      <w:pPr>
        <w:jc w:val="both"/>
        <w:ind w:left="465" w:right="3019" w:hanging="465"/>
        <w:spacing w:after="0" w:line="250" w:lineRule="auto"/>
        <w:tabs>
          <w:tab w:leader="none" w:pos="46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of the options is equal to the average of the high and the low per share prices of the Common Stock on their respective dates of grant and may be paid in cash or by tendering shares of Common Stock.</w:t>
      </w:r>
    </w:p>
    <w:p>
      <w:pPr>
        <w:spacing w:after="0" w:line="1" w:lineRule="exact"/>
        <w:rPr>
          <w:rFonts w:ascii="Courier New" w:cs="Courier New" w:eastAsia="Courier New" w:hAnsi="Courier New"/>
          <w:sz w:val="15"/>
          <w:szCs w:val="15"/>
          <w:color w:val="auto"/>
        </w:rPr>
      </w:pPr>
    </w:p>
    <w:p>
      <w:pPr>
        <w:ind w:left="465" w:right="321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tax obligations may be paid in cash or by the withholding of shares of Common Stock.</w:t>
      </w:r>
    </w:p>
    <w:p>
      <w:pPr>
        <w:spacing w:after="0" w:line="174"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5"/>
          </w:cols>
          <w:pgMar w:left="235" w:top="650" w:right="1440" w:bottom="1440" w:gutter="0" w:footer="0" w:header="0"/>
          <w:type w:val="continuous"/>
        </w:sectPr>
      </w:pPr>
    </w:p>
    <w:bookmarkStart w:id="13" w:name="page14"/>
    <w:bookmarkEnd w:id="13"/>
    <w:p>
      <w:pPr>
        <w:ind w:left="5"/>
        <w:spacing w:after="0"/>
        <w:rPr>
          <w:sz w:val="20"/>
          <w:szCs w:val="20"/>
          <w:color w:val="auto"/>
        </w:rPr>
      </w:pPr>
      <w:r>
        <w:rPr>
          <w:rFonts w:ascii="Courier New" w:cs="Courier New" w:eastAsia="Courier New" w:hAnsi="Courier New"/>
          <w:sz w:val="15"/>
          <w:szCs w:val="15"/>
          <w:color w:val="auto"/>
        </w:rPr>
        <w:t>STOCK OPTION EXERCISES AND DECEMBER 31, 1996 STOCK OPTION VALUE TABLE</w:t>
      </w:r>
    </w:p>
    <w:p>
      <w:pPr>
        <w:spacing w:after="0" w:line="185" w:lineRule="exact"/>
        <w:rPr>
          <w:sz w:val="20"/>
          <w:szCs w:val="20"/>
          <w:color w:val="auto"/>
        </w:rPr>
      </w:pPr>
    </w:p>
    <w:p>
      <w:pPr>
        <w:ind w:left="5" w:right="3019" w:firstLine="185"/>
        <w:spacing w:after="0" w:line="250" w:lineRule="auto"/>
        <w:rPr>
          <w:sz w:val="20"/>
          <w:szCs w:val="20"/>
          <w:color w:val="auto"/>
        </w:rPr>
      </w:pPr>
      <w:r>
        <w:rPr>
          <w:rFonts w:ascii="Courier New" w:cs="Courier New" w:eastAsia="Courier New" w:hAnsi="Courier New"/>
          <w:sz w:val="15"/>
          <w:szCs w:val="15"/>
          <w:color w:val="auto"/>
        </w:rPr>
        <w:t>The following table sets forth certain information concerning stock options exercised during 1996 by the Chief Executive Officer and the next four most highly compensated executive officers of the Company and the number and value of unexercised options at December 31, 1996. The Company has not granted stock appreciation rights. The values of unexercised in-the-money stock options at December 31, 1996 shown below are presented pursuant to Securities and Exchange Commission rules. The actual amount, if any, realized upon exercise of stock options will depend upon the market price of the Company's Common Stock relative to the exercise price per share of Common Stock of the stock option at the time the stock option is exercised. There is no assurance that the values of unexercised in-the-money stock options reflected in this table will be realized.</w:t>
      </w:r>
    </w:p>
    <w:p>
      <w:pPr>
        <w:spacing w:after="0" w:line="183" w:lineRule="exact"/>
        <w:rPr>
          <w:sz w:val="20"/>
          <w:szCs w:val="20"/>
          <w:color w:val="auto"/>
        </w:rPr>
      </w:pPr>
    </w:p>
    <w:p>
      <w:pPr>
        <w:jc w:val="center"/>
        <w:ind w:right="3014"/>
        <w:spacing w:after="0"/>
        <w:rPr>
          <w:sz w:val="20"/>
          <w:szCs w:val="20"/>
          <w:color w:val="auto"/>
        </w:rPr>
      </w:pPr>
      <w:r>
        <w:rPr>
          <w:rFonts w:ascii="Courier New" w:cs="Courier New" w:eastAsia="Courier New" w:hAnsi="Courier New"/>
          <w:sz w:val="15"/>
          <w:szCs w:val="15"/>
          <w:color w:val="auto"/>
        </w:rPr>
        <w:t>AGGREGATED OPTION EXERCISES IN LAST FISCAL YEAR AND FISCAL YEAR-END OPTION</w:t>
      </w:r>
    </w:p>
    <w:p>
      <w:pPr>
        <w:spacing w:after="0" w:line="8" w:lineRule="exact"/>
        <w:rPr>
          <w:sz w:val="20"/>
          <w:szCs w:val="20"/>
          <w:color w:val="auto"/>
        </w:rPr>
      </w:pPr>
    </w:p>
    <w:p>
      <w:pPr>
        <w:jc w:val="center"/>
        <w:ind w:right="3014"/>
        <w:spacing w:after="0"/>
        <w:rPr>
          <w:sz w:val="20"/>
          <w:szCs w:val="20"/>
          <w:color w:val="auto"/>
        </w:rPr>
      </w:pPr>
      <w:r>
        <w:rPr>
          <w:rFonts w:ascii="Courier New" w:cs="Courier New" w:eastAsia="Courier New" w:hAnsi="Courier New"/>
          <w:sz w:val="15"/>
          <w:szCs w:val="15"/>
          <w:color w:val="auto"/>
        </w:rPr>
        <w:t>VALUES</w:t>
      </w:r>
    </w:p>
    <w:p>
      <w:pPr>
        <w:sectPr>
          <w:pgSz w:w="11900" w:h="16838" w:orient="portrait"/>
          <w:cols w:equalWidth="0" w:num="1">
            <w:col w:w="10225"/>
          </w:cols>
          <w:pgMar w:left="235" w:top="65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625"/>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3040"/>
        <w:spacing w:after="0"/>
        <w:tabs>
          <w:tab w:leader="none" w:pos="5420" w:val="left"/>
        </w:tabs>
        <w:rPr>
          <w:sz w:val="20"/>
          <w:szCs w:val="20"/>
          <w:color w:val="auto"/>
        </w:rPr>
      </w:pPr>
      <w:r>
        <w:rPr>
          <w:rFonts w:ascii="Courier New" w:cs="Courier New" w:eastAsia="Courier New" w:hAnsi="Courier New"/>
          <w:sz w:val="15"/>
          <w:szCs w:val="15"/>
          <w:color w:val="auto"/>
        </w:rPr>
        <w:t>NUMBER OF SECURITIES</w:t>
      </w:r>
      <w:r>
        <w:rPr>
          <w:sz w:val="20"/>
          <w:szCs w:val="20"/>
          <w:color w:val="auto"/>
        </w:rPr>
        <w:tab/>
      </w:r>
      <w:r>
        <w:rPr>
          <w:rFonts w:ascii="Courier New" w:cs="Courier New" w:eastAsia="Courier New" w:hAnsi="Courier New"/>
          <w:sz w:val="15"/>
          <w:szCs w:val="15"/>
          <w:color w:val="auto"/>
        </w:rPr>
        <w:t>VALUE OF UNEXERCISED</w:t>
      </w:r>
    </w:p>
    <w:p>
      <w:pPr>
        <w:spacing w:after="0" w:line="8" w:lineRule="exact"/>
        <w:rPr>
          <w:sz w:val="20"/>
          <w:szCs w:val="20"/>
          <w:color w:val="auto"/>
        </w:rPr>
      </w:pPr>
    </w:p>
    <w:p>
      <w:pPr>
        <w:ind w:left="2960"/>
        <w:spacing w:after="0"/>
        <w:tabs>
          <w:tab w:leader="none" w:pos="5340" w:val="left"/>
        </w:tabs>
        <w:rPr>
          <w:sz w:val="20"/>
          <w:szCs w:val="20"/>
          <w:color w:val="auto"/>
        </w:rPr>
      </w:pPr>
      <w:r>
        <w:rPr>
          <w:rFonts w:ascii="Courier New" w:cs="Courier New" w:eastAsia="Courier New" w:hAnsi="Courier New"/>
          <w:sz w:val="15"/>
          <w:szCs w:val="15"/>
          <w:color w:val="auto"/>
        </w:rPr>
        <w:t>UNDERLYING UNEXERCISED</w:t>
      </w:r>
      <w:r>
        <w:rPr>
          <w:sz w:val="20"/>
          <w:szCs w:val="20"/>
          <w:color w:val="auto"/>
        </w:rPr>
        <w:tab/>
      </w:r>
      <w:r>
        <w:rPr>
          <w:rFonts w:ascii="Courier New" w:cs="Courier New" w:eastAsia="Courier New" w:hAnsi="Courier New"/>
          <w:sz w:val="15"/>
          <w:szCs w:val="15"/>
          <w:color w:val="auto"/>
        </w:rPr>
        <w:t>IN-THE-MONEY OPTIONS AT</w:t>
      </w:r>
    </w:p>
    <w:p>
      <w:pPr>
        <w:spacing w:after="0" w:line="8" w:lineRule="exact"/>
        <w:rPr>
          <w:sz w:val="20"/>
          <w:szCs w:val="20"/>
          <w:color w:val="auto"/>
        </w:rPr>
      </w:pPr>
    </w:p>
    <w:p>
      <w:pPr>
        <w:ind w:left="380"/>
        <w:spacing w:after="0"/>
        <w:tabs>
          <w:tab w:leader="none" w:pos="3020" w:val="left"/>
          <w:tab w:leader="none" w:pos="580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OPTIONS AT FY-END (#)</w:t>
      </w:r>
      <w:r>
        <w:rPr>
          <w:sz w:val="20"/>
          <w:szCs w:val="20"/>
          <w:color w:val="auto"/>
        </w:rPr>
        <w:tab/>
      </w:r>
      <w:r>
        <w:rPr>
          <w:rFonts w:ascii="Courier New" w:cs="Courier New" w:eastAsia="Courier New" w:hAnsi="Courier New"/>
          <w:sz w:val="15"/>
          <w:szCs w:val="15"/>
          <w:color w:val="auto"/>
        </w:rPr>
        <w:t>FY-END ($)(2)</w:t>
      </w:r>
    </w:p>
    <w:p>
      <w:pPr>
        <w:spacing w:after="0" w:line="8" w:lineRule="exact"/>
        <w:rPr>
          <w:sz w:val="20"/>
          <w:szCs w:val="20"/>
          <w:color w:val="auto"/>
        </w:rPr>
      </w:pPr>
    </w:p>
    <w:p>
      <w:pPr>
        <w:ind w:left="280"/>
        <w:spacing w:after="0"/>
        <w:tabs>
          <w:tab w:leader="none" w:pos="1820" w:val="left"/>
          <w:tab w:leader="none" w:pos="2840" w:val="left"/>
        </w:tabs>
        <w:rPr>
          <w:sz w:val="20"/>
          <w:szCs w:val="20"/>
          <w:color w:val="auto"/>
        </w:rPr>
      </w:pPr>
      <w:r>
        <w:rPr>
          <w:rFonts w:ascii="Courier New" w:cs="Courier New" w:eastAsia="Courier New" w:hAnsi="Courier New"/>
          <w:sz w:val="15"/>
          <w:szCs w:val="15"/>
          <w:color w:val="auto"/>
        </w:rPr>
        <w:t>ACQUIRED</w:t>
      </w:r>
      <w:r>
        <w:rPr>
          <w:sz w:val="20"/>
          <w:szCs w:val="20"/>
          <w:color w:val="auto"/>
        </w:rPr>
        <w:tab/>
      </w:r>
      <w:r>
        <w:rPr>
          <w:rFonts w:ascii="Courier New" w:cs="Courier New" w:eastAsia="Courier New" w:hAnsi="Courier New"/>
          <w:sz w:val="15"/>
          <w:szCs w:val="15"/>
          <w:color w:val="auto"/>
        </w:rPr>
        <w:t>VALUE</w:t>
      </w:r>
      <w:r>
        <w:rPr>
          <w:sz w:val="20"/>
          <w:szCs w:val="20"/>
          <w:color w:val="auto"/>
        </w:rPr>
        <w:tab/>
      </w: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EXERCISES(#) REALIZED($)(1) EXERCISABLE/UNEXERCISABLE EXERCISABLE/UNEXERCISABLE</w:t>
      </w:r>
    </w:p>
    <w:p>
      <w:pPr>
        <w:spacing w:after="0" w:line="8" w:lineRule="exact"/>
        <w:rPr>
          <w:sz w:val="20"/>
          <w:szCs w:val="20"/>
          <w:color w:val="auto"/>
        </w:rPr>
      </w:pPr>
    </w:p>
    <w:p>
      <w:pPr>
        <w:sectPr>
          <w:pgSz w:w="11900" w:h="16838" w:orient="portrait"/>
          <w:cols w:equalWidth="0" w:num="2">
            <w:col w:w="1585" w:space="720"/>
            <w:col w:w="7919"/>
          </w:cols>
          <w:pgMar w:left="235" w:top="650" w:right="1440" w:bottom="1440" w:gutter="0" w:footer="0" w:header="0"/>
          <w:type w:val="continuous"/>
        </w:sectPr>
      </w:pPr>
    </w:p>
    <w:p>
      <w:pPr>
        <w:ind w:left="2305" w:hanging="1383"/>
        <w:spacing w:after="0"/>
        <w:tabs>
          <w:tab w:leader="none" w:pos="230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440" w:type="dxa"/>
            <w:vAlign w:val="bottom"/>
          </w:tcPr>
          <w:p>
            <w:pPr>
              <w:spacing w:after="0"/>
              <w:rPr>
                <w:sz w:val="20"/>
                <w:szCs w:val="20"/>
                <w:color w:val="auto"/>
              </w:rPr>
            </w:pPr>
            <w:r>
              <w:rPr>
                <w:rFonts w:ascii="Courier New" w:cs="Courier New" w:eastAsia="Courier New" w:hAnsi="Courier New"/>
                <w:sz w:val="15"/>
                <w:szCs w:val="15"/>
                <w:color w:val="auto"/>
              </w:rPr>
              <w:t>D. E. Baird.............</w:t>
            </w: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200,000</w:t>
            </w:r>
          </w:p>
        </w:tc>
        <w:tc>
          <w:tcPr>
            <w:tcW w:w="176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10,225,000</w:t>
            </w:r>
          </w:p>
        </w:tc>
        <w:tc>
          <w:tcPr>
            <w:tcW w:w="2020" w:type="dxa"/>
            <w:vAlign w:val="bottom"/>
          </w:tcPr>
          <w:p>
            <w:pPr>
              <w:ind w:left="500"/>
              <w:spacing w:after="0"/>
              <w:rPr>
                <w:sz w:val="20"/>
                <w:szCs w:val="20"/>
                <w:color w:val="auto"/>
              </w:rPr>
            </w:pPr>
            <w:r>
              <w:rPr>
                <w:rFonts w:ascii="Courier New" w:cs="Courier New" w:eastAsia="Courier New" w:hAnsi="Courier New"/>
                <w:sz w:val="15"/>
                <w:szCs w:val="15"/>
                <w:color w:val="auto"/>
              </w:rPr>
              <w:t>515,000/</w:t>
            </w:r>
          </w:p>
        </w:tc>
        <w:tc>
          <w:tcPr>
            <w:tcW w:w="1800" w:type="dxa"/>
            <w:vAlign w:val="bottom"/>
          </w:tcPr>
          <w:p>
            <w:pPr>
              <w:ind w:left="780"/>
              <w:spacing w:after="0"/>
              <w:rPr>
                <w:sz w:val="20"/>
                <w:szCs w:val="20"/>
                <w:color w:val="auto"/>
              </w:rPr>
            </w:pPr>
            <w:r>
              <w:rPr>
                <w:rFonts w:ascii="Courier New" w:cs="Courier New" w:eastAsia="Courier New" w:hAnsi="Courier New"/>
                <w:sz w:val="15"/>
                <w:szCs w:val="15"/>
                <w:color w:val="auto"/>
              </w:rPr>
              <w:t>22,781,165/</w:t>
            </w:r>
          </w:p>
        </w:tc>
      </w:tr>
      <w:tr>
        <w:trPr>
          <w:trHeight w:val="177"/>
        </w:trPr>
        <w:tc>
          <w:tcPr>
            <w:tcW w:w="2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20" w:type="dxa"/>
            <w:vAlign w:val="bottom"/>
          </w:tcPr>
          <w:p>
            <w:pPr>
              <w:ind w:left="500"/>
              <w:spacing w:after="0"/>
              <w:rPr>
                <w:sz w:val="20"/>
                <w:szCs w:val="20"/>
                <w:color w:val="auto"/>
              </w:rPr>
            </w:pPr>
            <w:r>
              <w:rPr>
                <w:rFonts w:ascii="Courier New" w:cs="Courier New" w:eastAsia="Courier New" w:hAnsi="Courier New"/>
                <w:sz w:val="15"/>
                <w:szCs w:val="15"/>
                <w:color w:val="auto"/>
              </w:rPr>
              <w:t>335,000</w:t>
            </w:r>
          </w:p>
        </w:tc>
        <w:tc>
          <w:tcPr>
            <w:tcW w:w="1800" w:type="dxa"/>
            <w:vAlign w:val="bottom"/>
          </w:tcPr>
          <w:p>
            <w:pPr>
              <w:ind w:left="780"/>
              <w:spacing w:after="0"/>
              <w:rPr>
                <w:sz w:val="20"/>
                <w:szCs w:val="20"/>
                <w:color w:val="auto"/>
              </w:rPr>
            </w:pPr>
            <w:r>
              <w:rPr>
                <w:rFonts w:ascii="Courier New" w:cs="Courier New" w:eastAsia="Courier New" w:hAnsi="Courier New"/>
                <w:sz w:val="15"/>
                <w:szCs w:val="15"/>
                <w:color w:val="auto"/>
              </w:rPr>
              <w:t>12,931,210</w:t>
            </w:r>
          </w:p>
        </w:tc>
      </w:tr>
      <w:tr>
        <w:trPr>
          <w:trHeight w:val="177"/>
        </w:trPr>
        <w:tc>
          <w:tcPr>
            <w:tcW w:w="2440" w:type="dxa"/>
            <w:vAlign w:val="bottom"/>
          </w:tcPr>
          <w:p>
            <w:pPr>
              <w:spacing w:after="0"/>
              <w:rPr>
                <w:sz w:val="20"/>
                <w:szCs w:val="20"/>
                <w:color w:val="auto"/>
              </w:rPr>
            </w:pPr>
            <w:r>
              <w:rPr>
                <w:rFonts w:ascii="Courier New" w:cs="Courier New" w:eastAsia="Courier New" w:hAnsi="Courier New"/>
                <w:sz w:val="15"/>
                <w:szCs w:val="15"/>
                <w:color w:val="auto"/>
              </w:rPr>
              <w:t>V. E. Grijalva..........</w:t>
            </w: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20,000</w:t>
            </w:r>
          </w:p>
        </w:tc>
        <w:tc>
          <w:tcPr>
            <w:tcW w:w="176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1,058,740</w:t>
            </w:r>
          </w:p>
        </w:tc>
        <w:tc>
          <w:tcPr>
            <w:tcW w:w="2020" w:type="dxa"/>
            <w:vAlign w:val="bottom"/>
          </w:tcPr>
          <w:p>
            <w:pPr>
              <w:ind w:left="500"/>
              <w:spacing w:after="0"/>
              <w:rPr>
                <w:sz w:val="20"/>
                <w:szCs w:val="20"/>
                <w:color w:val="auto"/>
              </w:rPr>
            </w:pPr>
            <w:r>
              <w:rPr>
                <w:rFonts w:ascii="Courier New" w:cs="Courier New" w:eastAsia="Courier New" w:hAnsi="Courier New"/>
                <w:sz w:val="15"/>
                <w:szCs w:val="15"/>
                <w:color w:val="auto"/>
              </w:rPr>
              <w:t>156,000/</w:t>
            </w:r>
          </w:p>
        </w:tc>
        <w:tc>
          <w:tcPr>
            <w:tcW w:w="1800" w:type="dxa"/>
            <w:vAlign w:val="bottom"/>
          </w:tcPr>
          <w:p>
            <w:pPr>
              <w:ind w:left="880"/>
              <w:spacing w:after="0"/>
              <w:rPr>
                <w:sz w:val="20"/>
                <w:szCs w:val="20"/>
                <w:color w:val="auto"/>
              </w:rPr>
            </w:pPr>
            <w:r>
              <w:rPr>
                <w:rFonts w:ascii="Courier New" w:cs="Courier New" w:eastAsia="Courier New" w:hAnsi="Courier New"/>
                <w:sz w:val="15"/>
                <w:szCs w:val="15"/>
                <w:color w:val="auto"/>
                <w:w w:val="99"/>
              </w:rPr>
              <w:t>7,164,975/</w:t>
            </w:r>
          </w:p>
        </w:tc>
      </w:tr>
      <w:tr>
        <w:trPr>
          <w:trHeight w:val="177"/>
        </w:trPr>
        <w:tc>
          <w:tcPr>
            <w:tcW w:w="2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20" w:type="dxa"/>
            <w:vAlign w:val="bottom"/>
          </w:tcPr>
          <w:p>
            <w:pPr>
              <w:ind w:left="500"/>
              <w:spacing w:after="0"/>
              <w:rPr>
                <w:sz w:val="20"/>
                <w:szCs w:val="20"/>
                <w:color w:val="auto"/>
              </w:rPr>
            </w:pPr>
            <w:r>
              <w:rPr>
                <w:rFonts w:ascii="Courier New" w:cs="Courier New" w:eastAsia="Courier New" w:hAnsi="Courier New"/>
                <w:sz w:val="15"/>
                <w:szCs w:val="15"/>
                <w:color w:val="auto"/>
              </w:rPr>
              <w:t>174,000</w:t>
            </w:r>
          </w:p>
        </w:tc>
        <w:tc>
          <w:tcPr>
            <w:tcW w:w="1800" w:type="dxa"/>
            <w:vAlign w:val="bottom"/>
          </w:tcPr>
          <w:p>
            <w:pPr>
              <w:ind w:left="880"/>
              <w:spacing w:after="0"/>
              <w:rPr>
                <w:sz w:val="20"/>
                <w:szCs w:val="20"/>
                <w:color w:val="auto"/>
              </w:rPr>
            </w:pPr>
            <w:r>
              <w:rPr>
                <w:rFonts w:ascii="Courier New" w:cs="Courier New" w:eastAsia="Courier New" w:hAnsi="Courier New"/>
                <w:sz w:val="15"/>
                <w:szCs w:val="15"/>
                <w:color w:val="auto"/>
              </w:rPr>
              <w:t>6,316,850</w:t>
            </w:r>
          </w:p>
        </w:tc>
      </w:tr>
      <w:tr>
        <w:trPr>
          <w:trHeight w:val="177"/>
        </w:trPr>
        <w:tc>
          <w:tcPr>
            <w:tcW w:w="2440" w:type="dxa"/>
            <w:vAlign w:val="bottom"/>
          </w:tcPr>
          <w:p>
            <w:pPr>
              <w:spacing w:after="0"/>
              <w:rPr>
                <w:sz w:val="20"/>
                <w:szCs w:val="20"/>
                <w:color w:val="auto"/>
              </w:rPr>
            </w:pPr>
            <w:r>
              <w:rPr>
                <w:rFonts w:ascii="Courier New" w:cs="Courier New" w:eastAsia="Courier New" w:hAnsi="Courier New"/>
                <w:sz w:val="15"/>
                <w:szCs w:val="15"/>
                <w:color w:val="auto"/>
              </w:rPr>
              <w:t>C. Matton...............</w:t>
            </w: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w:t>
            </w:r>
          </w:p>
        </w:tc>
        <w:tc>
          <w:tcPr>
            <w:tcW w:w="17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ind w:left="500"/>
              <w:spacing w:after="0"/>
              <w:rPr>
                <w:sz w:val="20"/>
                <w:szCs w:val="20"/>
                <w:color w:val="auto"/>
              </w:rPr>
            </w:pPr>
            <w:r>
              <w:rPr>
                <w:rFonts w:ascii="Courier New" w:cs="Courier New" w:eastAsia="Courier New" w:hAnsi="Courier New"/>
                <w:sz w:val="15"/>
                <w:szCs w:val="15"/>
                <w:color w:val="auto"/>
              </w:rPr>
              <w:t>130,000/</w:t>
            </w:r>
          </w:p>
        </w:tc>
        <w:tc>
          <w:tcPr>
            <w:tcW w:w="1800" w:type="dxa"/>
            <w:vAlign w:val="bottom"/>
          </w:tcPr>
          <w:p>
            <w:pPr>
              <w:ind w:left="880"/>
              <w:spacing w:after="0"/>
              <w:rPr>
                <w:sz w:val="20"/>
                <w:szCs w:val="20"/>
                <w:color w:val="auto"/>
              </w:rPr>
            </w:pPr>
            <w:r>
              <w:rPr>
                <w:rFonts w:ascii="Courier New" w:cs="Courier New" w:eastAsia="Courier New" w:hAnsi="Courier New"/>
                <w:sz w:val="15"/>
                <w:szCs w:val="15"/>
                <w:color w:val="auto"/>
                <w:w w:val="99"/>
              </w:rPr>
              <w:t>5,420,873/</w:t>
            </w:r>
          </w:p>
        </w:tc>
      </w:tr>
      <w:tr>
        <w:trPr>
          <w:trHeight w:val="177"/>
        </w:trPr>
        <w:tc>
          <w:tcPr>
            <w:tcW w:w="2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20" w:type="dxa"/>
            <w:vAlign w:val="bottom"/>
          </w:tcPr>
          <w:p>
            <w:pPr>
              <w:ind w:left="500"/>
              <w:spacing w:after="0"/>
              <w:rPr>
                <w:sz w:val="20"/>
                <w:szCs w:val="20"/>
                <w:color w:val="auto"/>
              </w:rPr>
            </w:pPr>
            <w:r>
              <w:rPr>
                <w:rFonts w:ascii="Courier New" w:cs="Courier New" w:eastAsia="Courier New" w:hAnsi="Courier New"/>
                <w:sz w:val="15"/>
                <w:szCs w:val="15"/>
                <w:color w:val="auto"/>
              </w:rPr>
              <w:t>170,000</w:t>
            </w:r>
          </w:p>
        </w:tc>
        <w:tc>
          <w:tcPr>
            <w:tcW w:w="1800" w:type="dxa"/>
            <w:vAlign w:val="bottom"/>
          </w:tcPr>
          <w:p>
            <w:pPr>
              <w:ind w:left="880"/>
              <w:spacing w:after="0"/>
              <w:rPr>
                <w:sz w:val="20"/>
                <w:szCs w:val="20"/>
                <w:color w:val="auto"/>
              </w:rPr>
            </w:pPr>
            <w:r>
              <w:rPr>
                <w:rFonts w:ascii="Courier New" w:cs="Courier New" w:eastAsia="Courier New" w:hAnsi="Courier New"/>
                <w:sz w:val="15"/>
                <w:szCs w:val="15"/>
                <w:color w:val="auto"/>
              </w:rPr>
              <w:t>6,182,862</w:t>
            </w:r>
          </w:p>
        </w:tc>
      </w:tr>
      <w:tr>
        <w:trPr>
          <w:trHeight w:val="177"/>
        </w:trPr>
        <w:tc>
          <w:tcPr>
            <w:tcW w:w="2440" w:type="dxa"/>
            <w:vAlign w:val="bottom"/>
          </w:tcPr>
          <w:p>
            <w:pPr>
              <w:spacing w:after="0"/>
              <w:rPr>
                <w:sz w:val="20"/>
                <w:szCs w:val="20"/>
                <w:color w:val="auto"/>
              </w:rPr>
            </w:pPr>
            <w:r>
              <w:rPr>
                <w:rFonts w:ascii="Courier New" w:cs="Courier New" w:eastAsia="Courier New" w:hAnsi="Courier New"/>
                <w:sz w:val="15"/>
                <w:szCs w:val="15"/>
                <w:color w:val="auto"/>
              </w:rPr>
              <w:t>A. Lindenauer...........</w:t>
            </w: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30,000</w:t>
            </w:r>
          </w:p>
        </w:tc>
        <w:tc>
          <w:tcPr>
            <w:tcW w:w="176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1,533,750</w:t>
            </w:r>
          </w:p>
        </w:tc>
        <w:tc>
          <w:tcPr>
            <w:tcW w:w="2020" w:type="dxa"/>
            <w:vAlign w:val="bottom"/>
          </w:tcPr>
          <w:p>
            <w:pPr>
              <w:ind w:left="600"/>
              <w:spacing w:after="0"/>
              <w:rPr>
                <w:sz w:val="20"/>
                <w:szCs w:val="20"/>
                <w:color w:val="auto"/>
              </w:rPr>
            </w:pPr>
            <w:r>
              <w:rPr>
                <w:rFonts w:ascii="Courier New" w:cs="Courier New" w:eastAsia="Courier New" w:hAnsi="Courier New"/>
                <w:sz w:val="15"/>
                <w:szCs w:val="15"/>
                <w:color w:val="auto"/>
              </w:rPr>
              <w:t>74,000/</w:t>
            </w:r>
          </w:p>
        </w:tc>
        <w:tc>
          <w:tcPr>
            <w:tcW w:w="1800" w:type="dxa"/>
            <w:vAlign w:val="bottom"/>
          </w:tcPr>
          <w:p>
            <w:pPr>
              <w:ind w:left="880"/>
              <w:spacing w:after="0"/>
              <w:rPr>
                <w:sz w:val="20"/>
                <w:szCs w:val="20"/>
                <w:color w:val="auto"/>
              </w:rPr>
            </w:pPr>
            <w:r>
              <w:rPr>
                <w:rFonts w:ascii="Courier New" w:cs="Courier New" w:eastAsia="Courier New" w:hAnsi="Courier New"/>
                <w:sz w:val="15"/>
                <w:szCs w:val="15"/>
                <w:color w:val="auto"/>
                <w:w w:val="99"/>
              </w:rPr>
              <w:t>3,777,242/</w:t>
            </w:r>
          </w:p>
        </w:tc>
      </w:tr>
      <w:tr>
        <w:trPr>
          <w:trHeight w:val="177"/>
        </w:trPr>
        <w:tc>
          <w:tcPr>
            <w:tcW w:w="2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20" w:type="dxa"/>
            <w:vAlign w:val="bottom"/>
          </w:tcPr>
          <w:p>
            <w:pPr>
              <w:ind w:left="600"/>
              <w:spacing w:after="0"/>
              <w:rPr>
                <w:sz w:val="20"/>
                <w:szCs w:val="20"/>
                <w:color w:val="auto"/>
              </w:rPr>
            </w:pPr>
            <w:r>
              <w:rPr>
                <w:rFonts w:ascii="Courier New" w:cs="Courier New" w:eastAsia="Courier New" w:hAnsi="Courier New"/>
                <w:sz w:val="15"/>
                <w:szCs w:val="15"/>
                <w:color w:val="auto"/>
              </w:rPr>
              <w:t>56,000</w:t>
            </w:r>
          </w:p>
        </w:tc>
        <w:tc>
          <w:tcPr>
            <w:tcW w:w="1800" w:type="dxa"/>
            <w:vAlign w:val="bottom"/>
          </w:tcPr>
          <w:p>
            <w:pPr>
              <w:ind w:left="880"/>
              <w:spacing w:after="0"/>
              <w:rPr>
                <w:sz w:val="20"/>
                <w:szCs w:val="20"/>
                <w:color w:val="auto"/>
              </w:rPr>
            </w:pPr>
            <w:r>
              <w:rPr>
                <w:rFonts w:ascii="Courier New" w:cs="Courier New" w:eastAsia="Courier New" w:hAnsi="Courier New"/>
                <w:sz w:val="15"/>
                <w:szCs w:val="15"/>
                <w:color w:val="auto"/>
              </w:rPr>
              <w:t>1,982,748</w:t>
            </w:r>
          </w:p>
        </w:tc>
      </w:tr>
      <w:tr>
        <w:trPr>
          <w:trHeight w:val="177"/>
        </w:trPr>
        <w:tc>
          <w:tcPr>
            <w:tcW w:w="2440" w:type="dxa"/>
            <w:vAlign w:val="bottom"/>
          </w:tcPr>
          <w:p>
            <w:pPr>
              <w:spacing w:after="0"/>
              <w:rPr>
                <w:sz w:val="20"/>
                <w:szCs w:val="20"/>
                <w:color w:val="auto"/>
              </w:rPr>
            </w:pPr>
            <w:r>
              <w:rPr>
                <w:rFonts w:ascii="Courier New" w:cs="Courier New" w:eastAsia="Courier New" w:hAnsi="Courier New"/>
                <w:sz w:val="15"/>
                <w:szCs w:val="15"/>
                <w:color w:val="auto"/>
              </w:rPr>
              <w:t>I. Strecker.............</w:t>
            </w: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20,000</w:t>
            </w:r>
          </w:p>
        </w:tc>
        <w:tc>
          <w:tcPr>
            <w:tcW w:w="176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1,123,740</w:t>
            </w:r>
          </w:p>
        </w:tc>
        <w:tc>
          <w:tcPr>
            <w:tcW w:w="2020" w:type="dxa"/>
            <w:vAlign w:val="bottom"/>
          </w:tcPr>
          <w:p>
            <w:pPr>
              <w:ind w:left="600"/>
              <w:spacing w:after="0"/>
              <w:rPr>
                <w:sz w:val="20"/>
                <w:szCs w:val="20"/>
                <w:color w:val="auto"/>
              </w:rPr>
            </w:pPr>
            <w:r>
              <w:rPr>
                <w:rFonts w:ascii="Courier New" w:cs="Courier New" w:eastAsia="Courier New" w:hAnsi="Courier New"/>
                <w:sz w:val="15"/>
                <w:szCs w:val="15"/>
                <w:color w:val="auto"/>
              </w:rPr>
              <w:t>53,495/</w:t>
            </w:r>
          </w:p>
        </w:tc>
        <w:tc>
          <w:tcPr>
            <w:tcW w:w="1800" w:type="dxa"/>
            <w:vAlign w:val="bottom"/>
          </w:tcPr>
          <w:p>
            <w:pPr>
              <w:ind w:left="880"/>
              <w:spacing w:after="0"/>
              <w:rPr>
                <w:sz w:val="20"/>
                <w:szCs w:val="20"/>
                <w:color w:val="auto"/>
              </w:rPr>
            </w:pPr>
            <w:r>
              <w:rPr>
                <w:rFonts w:ascii="Courier New" w:cs="Courier New" w:eastAsia="Courier New" w:hAnsi="Courier New"/>
                <w:sz w:val="15"/>
                <w:szCs w:val="15"/>
                <w:color w:val="auto"/>
                <w:w w:val="99"/>
              </w:rPr>
              <w:t>2,404,334/</w:t>
            </w:r>
          </w:p>
        </w:tc>
      </w:tr>
      <w:tr>
        <w:trPr>
          <w:trHeight w:val="177"/>
        </w:trPr>
        <w:tc>
          <w:tcPr>
            <w:tcW w:w="2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20" w:type="dxa"/>
            <w:vAlign w:val="bottom"/>
          </w:tcPr>
          <w:p>
            <w:pPr>
              <w:ind w:left="600"/>
              <w:spacing w:after="0"/>
              <w:rPr>
                <w:sz w:val="20"/>
                <w:szCs w:val="20"/>
                <w:color w:val="auto"/>
              </w:rPr>
            </w:pPr>
            <w:r>
              <w:rPr>
                <w:rFonts w:ascii="Courier New" w:cs="Courier New" w:eastAsia="Courier New" w:hAnsi="Courier New"/>
                <w:sz w:val="15"/>
                <w:szCs w:val="15"/>
                <w:color w:val="auto"/>
              </w:rPr>
              <w:t>56,000</w:t>
            </w:r>
          </w:p>
        </w:tc>
        <w:tc>
          <w:tcPr>
            <w:tcW w:w="1800" w:type="dxa"/>
            <w:vAlign w:val="bottom"/>
          </w:tcPr>
          <w:p>
            <w:pPr>
              <w:ind w:left="880"/>
              <w:spacing w:after="0"/>
              <w:rPr>
                <w:sz w:val="20"/>
                <w:szCs w:val="20"/>
                <w:color w:val="auto"/>
              </w:rPr>
            </w:pPr>
            <w:r>
              <w:rPr>
                <w:rFonts w:ascii="Courier New" w:cs="Courier New" w:eastAsia="Courier New" w:hAnsi="Courier New"/>
                <w:sz w:val="15"/>
                <w:szCs w:val="15"/>
                <w:color w:val="auto"/>
              </w:rPr>
              <w:t>1,888,750</w:t>
            </w:r>
          </w:p>
        </w:tc>
      </w:tr>
    </w:tbl>
    <w:p>
      <w:pPr>
        <w:spacing w:after="0" w:line="183"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465" w:hanging="465"/>
        <w:spacing w:after="0"/>
        <w:tabs>
          <w:tab w:leader="none" w:pos="46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value of stock on date of exercise less exercise price.</w:t>
      </w:r>
    </w:p>
    <w:p>
      <w:pPr>
        <w:spacing w:after="0" w:line="7" w:lineRule="exact"/>
        <w:rPr>
          <w:rFonts w:ascii="Courier New" w:cs="Courier New" w:eastAsia="Courier New" w:hAnsi="Courier New"/>
          <w:sz w:val="15"/>
          <w:szCs w:val="15"/>
          <w:color w:val="auto"/>
        </w:rPr>
      </w:pPr>
    </w:p>
    <w:p>
      <w:pPr>
        <w:ind w:left="465" w:hanging="465"/>
        <w:spacing w:after="0"/>
        <w:tabs>
          <w:tab w:leader="none" w:pos="46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Closing price of stock on December 31, 1996 less exercise price.</w:t>
      </w:r>
    </w:p>
    <w:p>
      <w:pPr>
        <w:spacing w:after="0" w:line="185"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5"/>
          </w:cols>
          <w:pgMar w:left="235" w:top="650" w:right="1440" w:bottom="1440" w:gutter="0" w:footer="0" w:header="0"/>
          <w:type w:val="continuous"/>
        </w:sectPr>
      </w:pPr>
    </w:p>
    <w:bookmarkStart w:id="14" w:name="page15"/>
    <w:bookmarkEnd w:id="14"/>
    <w:p>
      <w:pPr>
        <w:ind w:left="5"/>
        <w:spacing w:after="0"/>
        <w:rPr>
          <w:sz w:val="20"/>
          <w:szCs w:val="20"/>
          <w:color w:val="auto"/>
        </w:rPr>
      </w:pPr>
      <w:r>
        <w:rPr>
          <w:rFonts w:ascii="Courier New" w:cs="Courier New" w:eastAsia="Courier New" w:hAnsi="Courier New"/>
          <w:sz w:val="15"/>
          <w:szCs w:val="15"/>
          <w:color w:val="auto"/>
        </w:rPr>
        <w:t>PENSION PLANS</w:t>
      </w:r>
    </w:p>
    <w:p>
      <w:pPr>
        <w:spacing w:after="0" w:line="185" w:lineRule="exact"/>
        <w:rPr>
          <w:sz w:val="20"/>
          <w:szCs w:val="20"/>
          <w:color w:val="auto"/>
        </w:rPr>
      </w:pPr>
    </w:p>
    <w:p>
      <w:pPr>
        <w:ind w:left="5" w:right="3119" w:firstLine="185"/>
        <w:spacing w:after="0" w:line="251" w:lineRule="auto"/>
        <w:rPr>
          <w:sz w:val="20"/>
          <w:szCs w:val="20"/>
          <w:color w:val="auto"/>
        </w:rPr>
      </w:pPr>
      <w:r>
        <w:rPr>
          <w:rFonts w:ascii="Courier New" w:cs="Courier New" w:eastAsia="Courier New" w:hAnsi="Courier New"/>
          <w:sz w:val="15"/>
          <w:szCs w:val="15"/>
          <w:color w:val="auto"/>
        </w:rPr>
        <w:t>The Company and certain of its subsidiaries maintain pension plans for employees, including executive officers, providing for lifetime pensions upon retirement after a specified number of years of service. Employees may participate in one or more pension plans in the course of their careers with the Company or its subsidiaries, in which case they become entitled to a pension from each of such plans based upon the benefits accrued during the years of service related to each plan. Such plans are funded on an actuarial basis through cash contributions made by the Company or its subsidiaries; certain of these plans also permit or require contributions by employees.</w:t>
      </w:r>
    </w:p>
    <w:p>
      <w:pPr>
        <w:spacing w:after="0" w:line="175" w:lineRule="exact"/>
        <w:rPr>
          <w:sz w:val="20"/>
          <w:szCs w:val="20"/>
          <w:color w:val="auto"/>
        </w:rPr>
      </w:pPr>
    </w:p>
    <w:p>
      <w:pPr>
        <w:ind w:left="5" w:right="3019" w:firstLine="185"/>
        <w:spacing w:after="0" w:line="250" w:lineRule="auto"/>
        <w:rPr>
          <w:sz w:val="20"/>
          <w:szCs w:val="20"/>
          <w:color w:val="auto"/>
        </w:rPr>
      </w:pPr>
      <w:r>
        <w:rPr>
          <w:rFonts w:ascii="Courier New" w:cs="Courier New" w:eastAsia="Courier New" w:hAnsi="Courier New"/>
          <w:sz w:val="15"/>
          <w:szCs w:val="15"/>
          <w:color w:val="auto"/>
        </w:rPr>
        <w:t>Benefits under the International Staff Pension Plans of the Company and certain of its subsidiaries (the "International Plans") are based on a participant's pensionable salary (generally, base salary plus incentive) for each year in which the participant participates in the International Plans and the participant's length of service with the Company or any subsidiary. From January 1, 1993, the benefit earned is 3.2% of pensionable salary for each year of service. Benefits are payable upon normal retirement age at or after age 55 or upon early retirement. Estimated annual benefits from the International Plans payable upon retirement: $33,714 for Mr. Baird; $57,139 for Mr. Grijalva; $38,223 for Mr. Matton; and $83,379 for Mr. Strecker.</w:t>
      </w:r>
    </w:p>
    <w:p>
      <w:pPr>
        <w:spacing w:after="0" w:line="182" w:lineRule="exact"/>
        <w:rPr>
          <w:sz w:val="20"/>
          <w:szCs w:val="20"/>
          <w:color w:val="auto"/>
        </w:rPr>
      </w:pPr>
    </w:p>
    <w:p>
      <w:pPr>
        <w:ind w:left="5" w:right="3019" w:firstLine="185"/>
        <w:spacing w:after="0" w:line="250" w:lineRule="auto"/>
        <w:rPr>
          <w:sz w:val="20"/>
          <w:szCs w:val="20"/>
          <w:color w:val="auto"/>
        </w:rPr>
      </w:pPr>
      <w:r>
        <w:rPr>
          <w:rFonts w:ascii="Courier New" w:cs="Courier New" w:eastAsia="Courier New" w:hAnsi="Courier New"/>
          <w:sz w:val="15"/>
          <w:szCs w:val="15"/>
          <w:color w:val="auto"/>
        </w:rPr>
        <w:t>Benefits under the U.S. tax qualified pension plans of the Company and certain of its subsidiaries (the "U.S. plans") are based on a participant's admissible compensation (generally, base salary plus incentive) for each year in which the participant participates in the U.S. plans and the participant's length of service with the Company or any subsidiary. From January 1, 1989, the benefit earned is 1.5% of admissible compensation for service prior to the participant's completion of 15 years of active service and 2% of admissible compensation for service after completion of 15 years of active service. The Company has adopted a supplementary benefit plan for eligible employees, including executive officers. Amounts under the supplementary plan will be accrued under an unfunded arrangement to pay each individual the additional amount which would have been payable under the U.S. plans if the amount had not been subject to limitations imposed by law on maximum annual benefit payments and on annual compensation recognized to compute plan benefits. Assuming admissible compensation continues at the December 31, 1996 levels, estimated annual benefits payable upon retirement at normal retirement age</w:t>
      </w:r>
    </w:p>
    <w:p>
      <w:pPr>
        <w:spacing w:after="0" w:line="7" w:lineRule="exact"/>
        <w:rPr>
          <w:sz w:val="20"/>
          <w:szCs w:val="20"/>
          <w:color w:val="auto"/>
        </w:rPr>
      </w:pPr>
    </w:p>
    <w:p>
      <w:pPr>
        <w:ind w:left="5" w:right="3299" w:hanging="5"/>
        <w:spacing w:after="0" w:line="252" w:lineRule="auto"/>
        <w:tabs>
          <w:tab w:leader="none" w:pos="46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the U.S. plans and the supplementary benefit plan: $603,236 for Mr. Baird; $279,287 for Mr. Grijalva; $244,714 for Mr. Matton; $229,945 for Mr. Lindenauer; and $195,000 for Mr. Strecker.</w:t>
      </w:r>
    </w:p>
    <w:p>
      <w:pPr>
        <w:spacing w:after="0" w:line="175"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5"/>
          </w:cols>
          <w:pgMar w:left="235" w:top="650"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CORPORATE PERFORMANCE GRAPH</w:t>
      </w:r>
    </w:p>
    <w:p>
      <w:pPr>
        <w:spacing w:after="0" w:line="18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The following graph compares the yearly percentage change in the Company's cumulative total stockholder return on its Common Stock (assuming reinvestment of dividends at date of payment into Common Stock of the Company) with the cumulative total return on the published Standard &amp; Poor's 500 Stock Index and the cumulative total return on Value Line's Oilfield Services/Equipment Industry Group over the preceding five-year period. The following graph is presented pursuant to Securities and Exchange Commission rules. The Company believes that while total stockholder return is an important corporate performance indicator, it is subject to the vagaries of the market. In addition to the creation of stockholder value, the Company's executive compensation program is based on financial and strategic results, and the other factors set forth and discussed in the Compensation Committee Report on Page 14.</w:t>
      </w:r>
    </w:p>
    <w:p>
      <w:pPr>
        <w:spacing w:after="0" w:line="360"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COMPARISON OF FIVE-YEAR CUMULATIVE TOTAL RETURN*</w:t>
      </w: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AMONG SCHLUMBERGER LIMITED, S&amp;P 500 INDEX AND VALUE LINE'S OILFIELD</w:t>
      </w:r>
    </w:p>
    <w:p>
      <w:pPr>
        <w:spacing w:after="0" w:line="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SERVICES/EQUIPMENT INDUSTRY GROUP**</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[GRAPH APPEARS</w:t>
            </w:r>
          </w:p>
        </w:tc>
        <w:tc>
          <w:tcPr>
            <w:tcW w:w="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HERE]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710"/>
        </w:trPr>
        <w:tc>
          <w:tcPr>
            <w:tcW w:w="2160" w:type="dxa"/>
            <w:vAlign w:val="bottom"/>
          </w:tcPr>
          <w:p>
            <w:pPr>
              <w:spacing w:after="0"/>
              <w:rPr>
                <w:sz w:val="20"/>
                <w:szCs w:val="20"/>
                <w:color w:val="auto"/>
              </w:rPr>
            </w:pPr>
            <w:r>
              <w:rPr>
                <w:rFonts w:ascii="Courier New" w:cs="Courier New" w:eastAsia="Courier New" w:hAnsi="Courier New"/>
                <w:sz w:val="15"/>
                <w:szCs w:val="15"/>
                <w:color w:val="auto"/>
              </w:rPr>
              <w:t>Measurement period</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7"/>
        </w:trPr>
        <w:tc>
          <w:tcPr>
            <w:tcW w:w="2160" w:type="dxa"/>
            <w:vAlign w:val="bottom"/>
          </w:tcPr>
          <w:p>
            <w:pPr>
              <w:spacing w:after="0"/>
              <w:rPr>
                <w:sz w:val="20"/>
                <w:szCs w:val="20"/>
                <w:color w:val="auto"/>
              </w:rPr>
            </w:pPr>
            <w:r>
              <w:rPr>
                <w:rFonts w:ascii="Courier New" w:cs="Courier New" w:eastAsia="Courier New" w:hAnsi="Courier New"/>
                <w:sz w:val="15"/>
                <w:szCs w:val="15"/>
                <w:color w:val="auto"/>
              </w:rPr>
              <w:t>(Fiscal year Covered)</w:t>
            </w:r>
          </w:p>
        </w:tc>
        <w:tc>
          <w:tcPr>
            <w:tcW w:w="14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Schlumberger</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S&amp;P</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Index</w:t>
            </w:r>
          </w:p>
        </w:tc>
        <w:tc>
          <w:tcPr>
            <w:tcW w:w="1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Industry Group</w:t>
            </w:r>
          </w:p>
        </w:tc>
      </w:tr>
      <w:tr>
        <w:trPr>
          <w:trHeight w:val="177"/>
        </w:trPr>
        <w:tc>
          <w:tcPr>
            <w:tcW w:w="21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2160" w:type="dxa"/>
            <w:vAlign w:val="bottom"/>
          </w:tcPr>
          <w:p>
            <w:pPr>
              <w:spacing w:after="0"/>
              <w:rPr>
                <w:sz w:val="20"/>
                <w:szCs w:val="20"/>
                <w:color w:val="auto"/>
              </w:rPr>
            </w:pPr>
            <w:r>
              <w:rPr>
                <w:rFonts w:ascii="Courier New" w:cs="Courier New" w:eastAsia="Courier New" w:hAnsi="Courier New"/>
                <w:sz w:val="15"/>
                <w:szCs w:val="15"/>
                <w:color w:val="auto"/>
              </w:rPr>
              <w:t>Measurement PT -</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7"/>
        </w:trPr>
        <w:tc>
          <w:tcPr>
            <w:tcW w:w="2160" w:type="dxa"/>
            <w:vAlign w:val="bottom"/>
          </w:tcPr>
          <w:p>
            <w:pPr>
              <w:spacing w:after="0"/>
              <w:rPr>
                <w:sz w:val="20"/>
                <w:szCs w:val="20"/>
                <w:color w:val="auto"/>
              </w:rPr>
            </w:pPr>
            <w:r>
              <w:rPr>
                <w:rFonts w:ascii="Courier New" w:cs="Courier New" w:eastAsia="Courier New" w:hAnsi="Courier New"/>
                <w:sz w:val="15"/>
                <w:szCs w:val="15"/>
                <w:color w:val="auto"/>
              </w:rPr>
              <w:t>12/31/91</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100</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740" w:type="dxa"/>
            <w:vAlign w:val="bottom"/>
          </w:tcPr>
          <w:p>
            <w:pPr>
              <w:spacing w:after="0"/>
              <w:rPr>
                <w:sz w:val="15"/>
                <w:szCs w:val="15"/>
                <w:color w:val="auto"/>
              </w:rPr>
            </w:pP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100</w:t>
            </w:r>
          </w:p>
        </w:tc>
      </w:tr>
      <w:tr>
        <w:trPr>
          <w:trHeight w:val="355"/>
        </w:trPr>
        <w:tc>
          <w:tcPr>
            <w:tcW w:w="2160" w:type="dxa"/>
            <w:vAlign w:val="bottom"/>
          </w:tcPr>
          <w:p>
            <w:pPr>
              <w:spacing w:after="0"/>
              <w:rPr>
                <w:sz w:val="20"/>
                <w:szCs w:val="20"/>
                <w:color w:val="auto"/>
              </w:rPr>
            </w:pPr>
            <w:r>
              <w:rPr>
                <w:rFonts w:ascii="Courier New" w:cs="Courier New" w:eastAsia="Courier New" w:hAnsi="Courier New"/>
                <w:sz w:val="15"/>
                <w:szCs w:val="15"/>
                <w:color w:val="auto"/>
              </w:rPr>
              <w:t>FYE 12/31/92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94</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c>
          <w:tcPr>
            <w:tcW w:w="74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106</w:t>
            </w:r>
          </w:p>
        </w:tc>
      </w:tr>
      <w:tr>
        <w:trPr>
          <w:trHeight w:val="177"/>
        </w:trPr>
        <w:tc>
          <w:tcPr>
            <w:tcW w:w="2160" w:type="dxa"/>
            <w:vAlign w:val="bottom"/>
          </w:tcPr>
          <w:p>
            <w:pPr>
              <w:spacing w:after="0"/>
              <w:rPr>
                <w:sz w:val="20"/>
                <w:szCs w:val="20"/>
                <w:color w:val="auto"/>
              </w:rPr>
            </w:pPr>
            <w:r>
              <w:rPr>
                <w:rFonts w:ascii="Courier New" w:cs="Courier New" w:eastAsia="Courier New" w:hAnsi="Courier New"/>
                <w:sz w:val="15"/>
                <w:szCs w:val="15"/>
                <w:color w:val="auto"/>
              </w:rPr>
              <w:t>FYE 12/31/93</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98</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118</w:t>
            </w:r>
          </w:p>
        </w:tc>
        <w:tc>
          <w:tcPr>
            <w:tcW w:w="740" w:type="dxa"/>
            <w:vAlign w:val="bottom"/>
          </w:tcPr>
          <w:p>
            <w:pPr>
              <w:spacing w:after="0"/>
              <w:rPr>
                <w:sz w:val="15"/>
                <w:szCs w:val="15"/>
                <w:color w:val="auto"/>
              </w:rPr>
            </w:pP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124</w:t>
            </w:r>
          </w:p>
        </w:tc>
      </w:tr>
      <w:tr>
        <w:trPr>
          <w:trHeight w:val="177"/>
        </w:trPr>
        <w:tc>
          <w:tcPr>
            <w:tcW w:w="2160" w:type="dxa"/>
            <w:vAlign w:val="bottom"/>
          </w:tcPr>
          <w:p>
            <w:pPr>
              <w:spacing w:after="0"/>
              <w:rPr>
                <w:sz w:val="20"/>
                <w:szCs w:val="20"/>
                <w:color w:val="auto"/>
              </w:rPr>
            </w:pPr>
            <w:r>
              <w:rPr>
                <w:rFonts w:ascii="Courier New" w:cs="Courier New" w:eastAsia="Courier New" w:hAnsi="Courier New"/>
                <w:sz w:val="15"/>
                <w:szCs w:val="15"/>
                <w:color w:val="auto"/>
              </w:rPr>
              <w:t>FYE 12/31/94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86</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c>
          <w:tcPr>
            <w:tcW w:w="740" w:type="dxa"/>
            <w:vAlign w:val="bottom"/>
          </w:tcPr>
          <w:p>
            <w:pPr>
              <w:spacing w:after="0"/>
              <w:rPr>
                <w:sz w:val="15"/>
                <w:szCs w:val="15"/>
                <w:color w:val="auto"/>
              </w:rPr>
            </w:pP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120</w:t>
            </w:r>
          </w:p>
        </w:tc>
      </w:tr>
      <w:tr>
        <w:trPr>
          <w:trHeight w:val="177"/>
        </w:trPr>
        <w:tc>
          <w:tcPr>
            <w:tcW w:w="2160" w:type="dxa"/>
            <w:vAlign w:val="bottom"/>
          </w:tcPr>
          <w:p>
            <w:pPr>
              <w:spacing w:after="0"/>
              <w:rPr>
                <w:sz w:val="20"/>
                <w:szCs w:val="20"/>
                <w:color w:val="auto"/>
              </w:rPr>
            </w:pPr>
            <w:r>
              <w:rPr>
                <w:rFonts w:ascii="Courier New" w:cs="Courier New" w:eastAsia="Courier New" w:hAnsi="Courier New"/>
                <w:sz w:val="15"/>
                <w:szCs w:val="15"/>
                <w:color w:val="auto"/>
              </w:rPr>
              <w:t>FYE 12/31/95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121</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165</w:t>
            </w:r>
          </w:p>
        </w:tc>
        <w:tc>
          <w:tcPr>
            <w:tcW w:w="740" w:type="dxa"/>
            <w:vAlign w:val="bottom"/>
          </w:tcPr>
          <w:p>
            <w:pPr>
              <w:spacing w:after="0"/>
              <w:rPr>
                <w:sz w:val="15"/>
                <w:szCs w:val="15"/>
                <w:color w:val="auto"/>
              </w:rPr>
            </w:pP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184</w:t>
            </w:r>
          </w:p>
        </w:tc>
      </w:tr>
      <w:tr>
        <w:trPr>
          <w:trHeight w:val="177"/>
        </w:trPr>
        <w:tc>
          <w:tcPr>
            <w:tcW w:w="2160" w:type="dxa"/>
            <w:vAlign w:val="bottom"/>
          </w:tcPr>
          <w:p>
            <w:pPr>
              <w:spacing w:after="0"/>
              <w:rPr>
                <w:sz w:val="20"/>
                <w:szCs w:val="20"/>
                <w:color w:val="auto"/>
              </w:rPr>
            </w:pPr>
            <w:r>
              <w:rPr>
                <w:rFonts w:ascii="Courier New" w:cs="Courier New" w:eastAsia="Courier New" w:hAnsi="Courier New"/>
                <w:sz w:val="15"/>
                <w:szCs w:val="15"/>
                <w:color w:val="auto"/>
              </w:rPr>
              <w:t>FYE 12/31/96</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177</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203</w:t>
            </w:r>
          </w:p>
        </w:tc>
        <w:tc>
          <w:tcPr>
            <w:tcW w:w="740" w:type="dxa"/>
            <w:vAlign w:val="bottom"/>
          </w:tcPr>
          <w:p>
            <w:pPr>
              <w:spacing w:after="0"/>
              <w:rPr>
                <w:sz w:val="15"/>
                <w:szCs w:val="15"/>
                <w:color w:val="auto"/>
              </w:rPr>
            </w:pP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278</w:t>
            </w:r>
          </w:p>
        </w:tc>
      </w:tr>
    </w:tbl>
    <w:p>
      <w:pPr>
        <w:spacing w:after="0" w:line="360" w:lineRule="exact"/>
        <w:rPr>
          <w:sz w:val="20"/>
          <w:szCs w:val="20"/>
          <w:color w:val="auto"/>
        </w:rPr>
      </w:pPr>
    </w:p>
    <w:p>
      <w:pPr>
        <w:ind w:right="3219"/>
        <w:spacing w:after="0" w:line="250" w:lineRule="auto"/>
        <w:rPr>
          <w:sz w:val="20"/>
          <w:szCs w:val="20"/>
          <w:color w:val="auto"/>
        </w:rPr>
      </w:pPr>
      <w:r>
        <w:rPr>
          <w:rFonts w:ascii="Courier New" w:cs="Courier New" w:eastAsia="Courier New" w:hAnsi="Courier New"/>
          <w:sz w:val="15"/>
          <w:szCs w:val="15"/>
          <w:color w:val="auto"/>
        </w:rPr>
        <w:t>Assumes $100 invested on December 31, 1991 in Schlumberger Common Stock, S&amp;P 500 Index and Value Line's Oilfield Services/Equipment Industry Group.</w:t>
      </w:r>
    </w:p>
    <w:p>
      <w:pPr>
        <w:spacing w:after="0" w:line="1" w:lineRule="exact"/>
        <w:rPr>
          <w:sz w:val="20"/>
          <w:szCs w:val="20"/>
          <w:color w:val="auto"/>
        </w:rPr>
      </w:pPr>
    </w:p>
    <w:p>
      <w:pPr>
        <w:ind w:right="5619" w:firstLine="87"/>
        <w:spacing w:after="0" w:line="253" w:lineRule="auto"/>
        <w:tabs>
          <w:tab w:leader="none" w:pos="27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return assumes reinvestment of dividends. ** Fiscal year ending December 31.</w:t>
      </w:r>
    </w:p>
    <w:p>
      <w:pPr>
        <w:spacing w:after="0" w:line="17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50"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COMPENSATION COMMITTEE REPORT ON EXECUTIVE COMPENSATION</w:t>
      </w:r>
    </w:p>
    <w:p>
      <w:pPr>
        <w:spacing w:after="0" w:line="185"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The Compensation Committee of the Schlumberger Limited Board of Directors has only non-employee directors. The Committee acts on behalf of the Board to review and approve those compensation programs applicable to executive officers, as well as all specific awards under these programs.</w:t>
      </w:r>
    </w:p>
    <w:p>
      <w:pPr>
        <w:spacing w:after="0" w:line="176" w:lineRule="exact"/>
        <w:rPr>
          <w:sz w:val="20"/>
          <w:szCs w:val="20"/>
          <w:color w:val="auto"/>
        </w:rPr>
      </w:pPr>
    </w:p>
    <w:p>
      <w:pPr>
        <w:ind w:right="3859" w:firstLine="185"/>
        <w:spacing w:after="0" w:line="253" w:lineRule="auto"/>
        <w:rPr>
          <w:sz w:val="20"/>
          <w:szCs w:val="20"/>
          <w:color w:val="auto"/>
        </w:rPr>
      </w:pPr>
      <w:r>
        <w:rPr>
          <w:rFonts w:ascii="Courier New" w:cs="Courier New" w:eastAsia="Courier New" w:hAnsi="Courier New"/>
          <w:sz w:val="15"/>
          <w:szCs w:val="15"/>
          <w:color w:val="auto"/>
        </w:rPr>
        <w:t>Three programs are central to the competitive compensation provided executive officers: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--Base Salaries</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--Annual Cash Incentive Awards</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 Option Grants</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The Company has long adhered to a compensation structure which is simple, credible and easily applicable to its thousands of managerial and professional employees throughout the world. Since the Company recruits college and university graduates in more than 70 countries worldwide and then places great emphasis on promotion from within, the clarity and equity of its compensation programs are of obvious importance.</w:t>
      </w:r>
    </w:p>
    <w:p>
      <w:pPr>
        <w:spacing w:after="0" w:line="176"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As managerial and professional employees are transferred throughout the Schlumberger universe, they participate in the three programs noted above for executive officers. Certain changes, however, will typically occur during an extended career:</w:t>
      </w:r>
    </w:p>
    <w:p>
      <w:pPr>
        <w:spacing w:after="0" w:line="176" w:lineRule="exact"/>
        <w:rPr>
          <w:sz w:val="20"/>
          <w:szCs w:val="20"/>
          <w:color w:val="auto"/>
        </w:rPr>
      </w:pPr>
    </w:p>
    <w:p>
      <w:pPr>
        <w:ind w:left="280" w:right="3119" w:hanging="91"/>
        <w:spacing w:after="0" w:line="251" w:lineRule="auto"/>
        <w:rPr>
          <w:sz w:val="20"/>
          <w:szCs w:val="20"/>
          <w:color w:val="auto"/>
        </w:rPr>
      </w:pPr>
      <w:r>
        <w:rPr>
          <w:rFonts w:ascii="Courier New" w:cs="Courier New" w:eastAsia="Courier New" w:hAnsi="Courier New"/>
          <w:sz w:val="15"/>
          <w:szCs w:val="15"/>
          <w:color w:val="auto"/>
        </w:rPr>
        <w:t>--the mix of cash compensation between base salary and annual incentive will shift so that an increasing portion of total cash will be represented by a variable annual incentive as an individual advances. As incentive participation increases, base salary movement slows.</w:t>
      </w:r>
    </w:p>
    <w:p>
      <w:pPr>
        <w:spacing w:after="0" w:line="176" w:lineRule="exact"/>
        <w:rPr>
          <w:sz w:val="20"/>
          <w:szCs w:val="20"/>
          <w:color w:val="auto"/>
        </w:rPr>
      </w:pPr>
    </w:p>
    <w:p>
      <w:pPr>
        <w:ind w:left="280" w:right="3119" w:hanging="91"/>
        <w:spacing w:after="0" w:line="252" w:lineRule="auto"/>
        <w:rPr>
          <w:sz w:val="20"/>
          <w:szCs w:val="20"/>
          <w:color w:val="auto"/>
        </w:rPr>
      </w:pPr>
      <w:r>
        <w:rPr>
          <w:rFonts w:ascii="Courier New" w:cs="Courier New" w:eastAsia="Courier New" w:hAnsi="Courier New"/>
          <w:sz w:val="15"/>
          <w:szCs w:val="15"/>
          <w:color w:val="auto"/>
        </w:rPr>
        <w:t>--within the first few years after being hired, employees with strong performance and demonstrated potential may be awarded stock option grants, which are discretionary in nature.</w:t>
      </w:r>
    </w:p>
    <w:p>
      <w:pPr>
        <w:spacing w:after="0" w:line="175" w:lineRule="exact"/>
        <w:rPr>
          <w:sz w:val="20"/>
          <w:szCs w:val="20"/>
          <w:color w:val="auto"/>
        </w:rPr>
      </w:pPr>
    </w:p>
    <w:p>
      <w:pPr>
        <w:jc w:val="both"/>
        <w:ind w:left="280" w:right="3219" w:hanging="91"/>
        <w:spacing w:after="0" w:line="252" w:lineRule="auto"/>
        <w:rPr>
          <w:sz w:val="20"/>
          <w:szCs w:val="20"/>
          <w:color w:val="auto"/>
        </w:rPr>
      </w:pPr>
      <w:r>
        <w:rPr>
          <w:rFonts w:ascii="Courier New" w:cs="Courier New" w:eastAsia="Courier New" w:hAnsi="Courier New"/>
          <w:sz w:val="15"/>
          <w:szCs w:val="15"/>
          <w:color w:val="auto"/>
        </w:rPr>
        <w:t>--with these two changes, an employee progressing within Schlumberger will have an increasing portion of total compensation leveraged against yearly results and Company long-term performance.</w:t>
      </w:r>
    </w:p>
    <w:p>
      <w:pPr>
        <w:spacing w:after="0" w:line="175"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In addition to the base salary, incentive award and stock option grant programs, many of the Company's subsidiaries have profit sharing plans which provide annual deferred awards that reflect the results of the subsidiary sponsoring each plan. These awards increase the portion of total compensation which is leveraged against business results.</w:t>
      </w:r>
    </w:p>
    <w:p>
      <w:pPr>
        <w:spacing w:after="0" w:line="176"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Base salaries are established following an annual review of comparator company data provided by outside compensation consultants. The companies in the data base are in oil-related, high technology and high volume manufacturing activities. In their entirety, they create a data base which reflects the industry segments in which the company is active. Slight changes in the roster of participating companies take place from year to year as companies enter or leave the data base and as companies merge or are acquired. The companies used to establish base salary ranges for the executive officers are the same companies used for creation of the base salary ranges for professional and managerial employees of the Company around the world.</w:t>
      </w:r>
    </w:p>
    <w:p>
      <w:pPr>
        <w:spacing w:after="0" w:line="18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50" w:right="1440" w:bottom="1440" w:gutter="0" w:footer="0" w:header="0"/>
        </w:sectPr>
      </w:pPr>
    </w:p>
    <w:bookmarkStart w:id="17" w:name="page18"/>
    <w:bookmarkEnd w:id="17"/>
    <w:p>
      <w:pPr>
        <w:ind w:right="3119" w:firstLine="185"/>
        <w:spacing w:after="0" w:line="251" w:lineRule="auto"/>
        <w:rPr>
          <w:sz w:val="20"/>
          <w:szCs w:val="20"/>
          <w:color w:val="auto"/>
        </w:rPr>
      </w:pPr>
      <w:r>
        <w:rPr>
          <w:rFonts w:ascii="Courier New" w:cs="Courier New" w:eastAsia="Courier New" w:hAnsi="Courier New"/>
          <w:sz w:val="15"/>
          <w:szCs w:val="15"/>
          <w:color w:val="auto"/>
        </w:rPr>
        <w:t>The comparator companies used for compensation purposes are different from those in the Corporate Performance Graph (the Value Line Oilfield Services/Equipment Industry Group). The Value Line companies are not a source of recruits nor do they mirror all the industry segments in which the Company operates.</w:t>
      </w:r>
    </w:p>
    <w:p>
      <w:pPr>
        <w:spacing w:after="0" w:line="176"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At executive officer level, the Company does not adjust base salaries on an annual basis. Rather, the pattern has been established to consider base salary changes only every three to five years, save for a significant change in the executive officer's level of responsibility. In the environment of low inflation we have been experiencing, this has allowed the Company to easily exercise its preference to place more emphasis on variable rather than fixed compensation.</w:t>
      </w:r>
    </w:p>
    <w:p>
      <w:pPr>
        <w:spacing w:after="0" w:line="176" w:lineRule="exact"/>
        <w:rPr>
          <w:sz w:val="20"/>
          <w:szCs w:val="20"/>
          <w:color w:val="auto"/>
        </w:rPr>
      </w:pPr>
    </w:p>
    <w:p>
      <w:pPr>
        <w:ind w:right="3399" w:firstLine="185"/>
        <w:spacing w:after="0" w:line="253" w:lineRule="auto"/>
        <w:rPr>
          <w:sz w:val="20"/>
          <w:szCs w:val="20"/>
          <w:color w:val="auto"/>
        </w:rPr>
      </w:pPr>
      <w:r>
        <w:rPr>
          <w:rFonts w:ascii="Courier New" w:cs="Courier New" w:eastAsia="Courier New" w:hAnsi="Courier New"/>
          <w:sz w:val="15"/>
          <w:szCs w:val="15"/>
          <w:color w:val="auto"/>
        </w:rPr>
        <w:t>Consistent with this policy, none of the salaries of the named executive officers was adjusted in 1996.</w:t>
      </w:r>
    </w:p>
    <w:p>
      <w:pPr>
        <w:spacing w:after="0" w:line="174" w:lineRule="exact"/>
        <w:rPr>
          <w:sz w:val="20"/>
          <w:szCs w:val="20"/>
          <w:color w:val="auto"/>
        </w:rPr>
      </w:pPr>
    </w:p>
    <w:p>
      <w:pPr>
        <w:jc w:val="both"/>
        <w:ind w:right="3019" w:firstLine="185"/>
        <w:spacing w:after="0" w:line="252" w:lineRule="auto"/>
        <w:rPr>
          <w:sz w:val="20"/>
          <w:szCs w:val="20"/>
          <w:color w:val="auto"/>
        </w:rPr>
      </w:pPr>
      <w:r>
        <w:rPr>
          <w:rFonts w:ascii="Courier New" w:cs="Courier New" w:eastAsia="Courier New" w:hAnsi="Courier New"/>
          <w:sz w:val="15"/>
          <w:szCs w:val="15"/>
          <w:color w:val="auto"/>
        </w:rPr>
        <w:t>Annual cash incentive awards for executive officers are based on performance against established targets or objectives for the completed fiscal year, with payment being made early in the new year.</w:t>
      </w:r>
    </w:p>
    <w:p>
      <w:pPr>
        <w:spacing w:after="0" w:line="175" w:lineRule="exact"/>
        <w:rPr>
          <w:sz w:val="20"/>
          <w:szCs w:val="20"/>
          <w:color w:val="auto"/>
        </w:rPr>
      </w:pPr>
    </w:p>
    <w:p>
      <w:pPr>
        <w:ind w:right="3479" w:firstLine="185"/>
        <w:spacing w:after="0" w:line="252" w:lineRule="auto"/>
        <w:rPr>
          <w:sz w:val="20"/>
          <w:szCs w:val="20"/>
          <w:color w:val="auto"/>
        </w:rPr>
      </w:pPr>
      <w:r>
        <w:rPr>
          <w:rFonts w:ascii="Courier New" w:cs="Courier New" w:eastAsia="Courier New" w:hAnsi="Courier New"/>
          <w:sz w:val="15"/>
          <w:szCs w:val="15"/>
          <w:color w:val="auto"/>
        </w:rPr>
        <w:t>Maximum incentive awards reflect the potential impact of the executive officer's position on the results of the Company. For 1996, the incentive award ranges of the named executive officers were:</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--0 to 100% of 1996 base salary for Mr. Baird,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--0 to 75% of 1996 base salary for Messrs. Grijalva and Matton,</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--0 to 60% of 1996 base salary for Messrs. Lindenauer and Strecker.</w:t>
      </w:r>
    </w:p>
    <w:p>
      <w:pPr>
        <w:spacing w:after="0" w:line="185"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For each executive officer, one-half of the incentive potential is a function of performance against specific numerical targets established early in the fiscal year. For executive officers with corporate responsibility (Messrs. Baird, Lindenauer and Strecker) this is an earnings-per-share target for the fiscal year. For Messrs. Grijalva and Matton the target is a measure of performance against net income objectives for their respective business sectors.</w:t>
      </w:r>
    </w:p>
    <w:p>
      <w:pPr>
        <w:spacing w:after="0" w:line="176"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The second half of the incentive potential is a measure of performance against various objectives of each executive officer. These objectives may be strategic or personal and may relate to the fiscal year only or be interim measures against a longer-range objective. Such objectives are established early each year. Achievement is generally determined on a subjective basis and is not typically influenced by corporate performance.</w:t>
      </w:r>
    </w:p>
    <w:p>
      <w:pPr>
        <w:spacing w:after="0" w:line="176"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When both Company and individual performance are strong, the target delivery for executive officers is the range between 60th and 75th percentiles of total cash compensation in the comparator company data base discussed earlier. The performance of the Company overall and of the Oilfield Services sector in particular were exceptionally strong in 1996, resulting in the cash compensation of Messrs. Grijalva, Lindenauer and Strecker exceeding the targeted objective.</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50" w:right="1440" w:bottom="1440" w:gutter="0" w:footer="0" w:header="0"/>
        </w:sectPr>
      </w:pPr>
    </w:p>
    <w:bookmarkStart w:id="18" w:name="page19"/>
    <w:bookmarkEnd w:id="18"/>
    <w:p>
      <w:pPr>
        <w:ind w:right="3019" w:firstLine="185"/>
        <w:spacing w:after="0" w:line="251" w:lineRule="auto"/>
        <w:rPr>
          <w:sz w:val="20"/>
          <w:szCs w:val="20"/>
          <w:color w:val="auto"/>
        </w:rPr>
      </w:pPr>
      <w:r>
        <w:rPr>
          <w:rFonts w:ascii="Courier New" w:cs="Courier New" w:eastAsia="Courier New" w:hAnsi="Courier New"/>
          <w:sz w:val="15"/>
          <w:szCs w:val="15"/>
          <w:color w:val="auto"/>
        </w:rPr>
        <w:t>Stock option grants were awarded in 1996 on a general basis throughout the Company in the group of professional, managerial and technical employees deemed eligible for consideration. The Company periodically conducts such comprehensive reviews of its worldwide optionable population. Additionally, it may provide grants between these reviews in instances of promotions, substantial changes in responsibility and significant individual or team achievements.</w:t>
      </w:r>
    </w:p>
    <w:p>
      <w:pPr>
        <w:spacing w:after="0" w:line="176"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Stock option grants continue to be awarded on an entirely discretionary basis to individuals demonstrating exceptional performance in their current positions as well as the likelihood of continuing high quality performance in the future.</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Each of the named executive officers received a stock option grant in 1996.</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The Company's stock option program, like its cash compensation program, is designed to be simple and consistent in its terms for executive officers and all other option grant recipients. Thus, the features of grants provided the named executive officers--10-year term, vesting in 20% steps at the first through fifth anniversary of grant date, and option price equal to fair market value on date of grant--are precisely the same as those in grants provided all other optionees.</w:t>
      </w:r>
    </w:p>
    <w:p>
      <w:pPr>
        <w:spacing w:after="0" w:line="176" w:lineRule="exact"/>
        <w:rPr>
          <w:sz w:val="20"/>
          <w:szCs w:val="20"/>
          <w:color w:val="auto"/>
        </w:rPr>
      </w:pPr>
    </w:p>
    <w:p>
      <w:pPr>
        <w:ind w:right="3119" w:firstLine="185"/>
        <w:spacing w:after="0" w:line="253" w:lineRule="auto"/>
        <w:rPr>
          <w:sz w:val="20"/>
          <w:szCs w:val="20"/>
          <w:color w:val="auto"/>
        </w:rPr>
      </w:pPr>
      <w:r>
        <w:rPr>
          <w:rFonts w:ascii="Courier New" w:cs="Courier New" w:eastAsia="Courier New" w:hAnsi="Courier New"/>
          <w:sz w:val="15"/>
          <w:szCs w:val="15"/>
          <w:color w:val="auto"/>
        </w:rPr>
        <w:t>The Company does not utilize below market options, stock appreciation rights, phantom stock, restricted stock, performance units or reload options.</w:t>
      </w:r>
    </w:p>
    <w:p>
      <w:pPr>
        <w:spacing w:after="0" w:line="174"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Section 162(m) of the Internal Revenue Code limits the deductibility of certain compensation expenses in excess of $1,000,000 per individual. The Committee does not believe that the cash compensation payable in excess of this amount for fiscal year 1996 will result in any material loss of tax deduction for the Company. Therefore, the Committee has elected not to follow the provisions of Section 162(m) with regard to cash compensation. The Company's stock option plans are believed to be in compliance with the provisions of Section 162(m).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Bases for the Compensation of the Chief Executive Officer</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The salary range of the Chief Executive Officer is derived from the same comparator company data used to establish salary ranges for other executive officers as well as a large segment of the Company's international work force. Comparator companies are active in the oil-related, high technology and high volume manufacturing activities which reflect the Company's own industry segments.</w:t>
      </w:r>
    </w:p>
    <w:p>
      <w:pPr>
        <w:spacing w:after="0" w:line="176" w:lineRule="exact"/>
        <w:rPr>
          <w:sz w:val="20"/>
          <w:szCs w:val="20"/>
          <w:color w:val="auto"/>
        </w:rPr>
      </w:pPr>
    </w:p>
    <w:p>
      <w:pPr>
        <w:ind w:right="3019" w:firstLine="185"/>
        <w:spacing w:after="0" w:line="252" w:lineRule="auto"/>
        <w:rPr>
          <w:sz w:val="20"/>
          <w:szCs w:val="20"/>
          <w:color w:val="auto"/>
        </w:rPr>
      </w:pPr>
      <w:r>
        <w:rPr>
          <w:rFonts w:ascii="Courier New" w:cs="Courier New" w:eastAsia="Courier New" w:hAnsi="Courier New"/>
          <w:sz w:val="15"/>
          <w:szCs w:val="15"/>
          <w:color w:val="auto"/>
        </w:rPr>
        <w:t>The Chief Executive Officer's 1996 base salary of $1,100,000 was established in 1992 and remained unchanged through 1996, in keeping with the Committee's preference to consider officer salary adjustments infrequently.</w:t>
      </w:r>
    </w:p>
    <w:p>
      <w:pPr>
        <w:spacing w:after="0" w:line="175" w:lineRule="exact"/>
        <w:rPr>
          <w:sz w:val="20"/>
          <w:szCs w:val="20"/>
          <w:color w:val="auto"/>
        </w:rPr>
      </w:pPr>
    </w:p>
    <w:p>
      <w:pPr>
        <w:ind w:right="3219" w:firstLine="185"/>
        <w:spacing w:after="0" w:line="251" w:lineRule="auto"/>
        <w:rPr>
          <w:sz w:val="20"/>
          <w:szCs w:val="20"/>
          <w:color w:val="auto"/>
        </w:rPr>
      </w:pPr>
      <w:r>
        <w:rPr>
          <w:rFonts w:ascii="Courier New" w:cs="Courier New" w:eastAsia="Courier New" w:hAnsi="Courier New"/>
          <w:sz w:val="15"/>
          <w:szCs w:val="15"/>
          <w:color w:val="auto"/>
        </w:rPr>
        <w:t>The cash incentive award potential for the Chief Executive Officer in 1996 was 100% of base salary. One-half of this award was a measure of performance against targeted earnings per share for the Company. The targeted objective for 1996 was exceeded.</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50" w:right="1440" w:bottom="1440" w:gutter="0" w:footer="0" w:header="0"/>
        </w:sectPr>
      </w:pPr>
    </w:p>
    <w:bookmarkStart w:id="19" w:name="page20"/>
    <w:bookmarkEnd w:id="19"/>
    <w:p>
      <w:pPr>
        <w:ind w:right="3019" w:firstLine="185"/>
        <w:spacing w:after="0" w:line="251" w:lineRule="auto"/>
        <w:rPr>
          <w:sz w:val="20"/>
          <w:szCs w:val="20"/>
          <w:color w:val="auto"/>
        </w:rPr>
      </w:pPr>
      <w:r>
        <w:rPr>
          <w:rFonts w:ascii="Courier New" w:cs="Courier New" w:eastAsia="Courier New" w:hAnsi="Courier New"/>
          <w:sz w:val="15"/>
          <w:szCs w:val="15"/>
          <w:color w:val="auto"/>
        </w:rPr>
        <w:t>The second half of the incentive award is based on the Committee's evaluation of Mr. Baird's performance against strategic objectives established for 1996. In a year of exceptional overall financial growth for the Company, several pivotal objectives were met or exceeded. These included penetration of CIS and India, as well as continued expansion in China, a dramatic increase in smart card activity and the return of the seismic business to profitability for the year. Disclosure of the specific measures applied to evaluate achievement of these objectives as well as the content of certain other objectives could adversely affect the Company's competitive position.</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total cash incentive awarded Mr. Baird for 1996 performance was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$1,100,000. Base salary plus incentive placed him above the targeted 60th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75th percentile of total cash compensation in the comparator company survey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data.</w:t>
      </w:r>
    </w:p>
    <w:p>
      <w:pPr>
        <w:spacing w:after="0" w:line="185" w:lineRule="exact"/>
        <w:rPr>
          <w:sz w:val="20"/>
          <w:szCs w:val="20"/>
          <w:color w:val="auto"/>
        </w:rPr>
      </w:pPr>
    </w:p>
    <w:p>
      <w:pPr>
        <w:jc w:val="both"/>
        <w:ind w:right="3019" w:firstLine="185"/>
        <w:spacing w:after="0" w:line="251" w:lineRule="auto"/>
        <w:rPr>
          <w:sz w:val="20"/>
          <w:szCs w:val="20"/>
          <w:color w:val="auto"/>
        </w:rPr>
      </w:pPr>
      <w:r>
        <w:rPr>
          <w:rFonts w:ascii="Courier New" w:cs="Courier New" w:eastAsia="Courier New" w:hAnsi="Courier New"/>
          <w:sz w:val="15"/>
          <w:szCs w:val="15"/>
          <w:color w:val="auto"/>
        </w:rPr>
        <w:t>During 1996 Mr. Baird received a stock option grant of 150,000 shares. Like the grants of all other optionees, his grant was of 10-year duration, vesting in 20% steps on each of the first through fifth anniversary of grant date, and priced at fair market value on grant date.</w:t>
      </w:r>
    </w:p>
    <w:p>
      <w:pPr>
        <w:spacing w:after="0" w:line="176" w:lineRule="exact"/>
        <w:rPr>
          <w:sz w:val="20"/>
          <w:szCs w:val="20"/>
          <w:color w:val="auto"/>
        </w:rPr>
      </w:pPr>
    </w:p>
    <w:p>
      <w:pPr>
        <w:ind w:right="3219" w:firstLine="185"/>
        <w:spacing w:after="0" w:line="253" w:lineRule="auto"/>
        <w:rPr>
          <w:sz w:val="20"/>
          <w:szCs w:val="20"/>
          <w:color w:val="auto"/>
        </w:rPr>
      </w:pPr>
      <w:r>
        <w:rPr>
          <w:rFonts w:ascii="Courier New" w:cs="Courier New" w:eastAsia="Courier New" w:hAnsi="Courier New"/>
          <w:sz w:val="15"/>
          <w:szCs w:val="15"/>
          <w:color w:val="auto"/>
        </w:rPr>
        <w:t>As is the case with all other executive officers of the Company, Mr. Baird has no employment agreement.</w:t>
      </w:r>
    </w:p>
    <w:p>
      <w:pPr>
        <w:spacing w:after="0" w:line="174" w:lineRule="exact"/>
        <w:rPr>
          <w:sz w:val="20"/>
          <w:szCs w:val="20"/>
          <w:color w:val="auto"/>
        </w:rPr>
      </w:pPr>
    </w:p>
    <w:p>
      <w:pPr>
        <w:ind w:right="5059"/>
        <w:spacing w:after="0" w:line="253" w:lineRule="auto"/>
        <w:rPr>
          <w:sz w:val="20"/>
          <w:szCs w:val="20"/>
          <w:color w:val="auto"/>
        </w:rPr>
      </w:pPr>
      <w:r>
        <w:rPr>
          <w:rFonts w:ascii="Courier New" w:cs="Courier New" w:eastAsia="Courier New" w:hAnsi="Courier New"/>
          <w:sz w:val="15"/>
          <w:szCs w:val="15"/>
          <w:color w:val="auto"/>
        </w:rPr>
        <w:t>SUBMITTED BY THE COMPENSATION COMMITTEE OF THE COMPANY'S BOARD OF DIRECTORS</w:t>
      </w:r>
    </w:p>
    <w:p>
      <w:pPr>
        <w:sectPr>
          <w:pgSz w:w="11900" w:h="16838" w:orient="portrait"/>
          <w:cols w:equalWidth="0" w:num="1">
            <w:col w:w="10219"/>
          </w:cols>
          <w:pgMar w:left="240" w:top="650"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Don E. Ackerman, Chairman</w:t>
      </w:r>
    </w:p>
    <w:p>
      <w:pPr>
        <w:spacing w:after="0" w:line="8"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Denys Henderson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Didier Primat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Eiji Umene</w:t>
      </w:r>
    </w:p>
    <w:p>
      <w:pPr>
        <w:spacing w:after="0" w:line="200" w:lineRule="exact"/>
        <w:rPr>
          <w:sz w:val="20"/>
          <w:szCs w:val="20"/>
          <w:color w:val="auto"/>
        </w:rPr>
      </w:pPr>
    </w:p>
    <w:p>
      <w:pPr>
        <w:sectPr>
          <w:pgSz w:w="11900" w:h="16838" w:orient="portrait"/>
          <w:cols w:equalWidth="0" w:num="2">
            <w:col w:w="5280" w:space="720"/>
            <w:col w:w="4219"/>
          </w:cols>
          <w:pgMar w:left="240" w:top="650" w:right="1440" w:bottom="1440" w:gutter="0" w:footer="0" w:header="0"/>
          <w:type w:val="continuous"/>
        </w:sectPr>
      </w:pPr>
    </w:p>
    <w:p>
      <w:pPr>
        <w:spacing w:after="0" w:line="16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2. FINANCIAL STATEMENTS</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The Company's Consolidated Balance Sheet as at December 31, 1996, its Consolidated Statement of Income for the year ended December 31, 1996, and the amount of dividends declared by the Board of Directors during 1996 are submitted to the stockholders pursuant to the Deed of Incorporation of the Company.</w:t>
      </w:r>
    </w:p>
    <w:p>
      <w:pPr>
        <w:spacing w:after="0" w:line="176" w:lineRule="exact"/>
        <w:rPr>
          <w:sz w:val="20"/>
          <w:szCs w:val="20"/>
          <w:color w:val="auto"/>
        </w:rPr>
      </w:pPr>
    </w:p>
    <w:p>
      <w:pPr>
        <w:ind w:right="3219" w:firstLine="185"/>
        <w:spacing w:after="0" w:line="251" w:lineRule="auto"/>
        <w:rPr>
          <w:sz w:val="20"/>
          <w:szCs w:val="20"/>
          <w:color w:val="auto"/>
        </w:rPr>
      </w:pPr>
      <w:r>
        <w:rPr>
          <w:rFonts w:ascii="Courier New" w:cs="Courier New" w:eastAsia="Courier New" w:hAnsi="Courier New"/>
          <w:sz w:val="15"/>
          <w:szCs w:val="15"/>
          <w:color w:val="auto"/>
        </w:rPr>
        <w:t>A majority of the votes cast is required for the approval of the financial results as set forth in such financial statements and of the declaration of dividends by the Board of Directors reflected in the Company's 1996 Annual Report.</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BOARD OF DIRECTORS RECOMMENDS A VOTE FOR ITEM 2.</w:t>
      </w:r>
    </w:p>
    <w:p>
      <w:pPr>
        <w:spacing w:after="0" w:line="18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3. AMENDMENT OF DEED OF INCORPORATION</w:t>
      </w:r>
    </w:p>
    <w:p>
      <w:pPr>
        <w:spacing w:after="0" w:line="185" w:lineRule="exact"/>
        <w:rPr>
          <w:sz w:val="20"/>
          <w:szCs w:val="20"/>
          <w:color w:val="auto"/>
        </w:rPr>
      </w:pPr>
    </w:p>
    <w:p>
      <w:pPr>
        <w:ind w:right="3219" w:firstLine="185"/>
        <w:spacing w:after="0" w:line="251" w:lineRule="auto"/>
        <w:rPr>
          <w:sz w:val="20"/>
          <w:szCs w:val="20"/>
          <w:color w:val="auto"/>
        </w:rPr>
      </w:pPr>
      <w:r>
        <w:rPr>
          <w:rFonts w:ascii="Courier New" w:cs="Courier New" w:eastAsia="Courier New" w:hAnsi="Courier New"/>
          <w:sz w:val="15"/>
          <w:szCs w:val="15"/>
          <w:color w:val="auto"/>
        </w:rPr>
        <w:t>The Board of Directors has approved and recommended for submission to the stockholders an amendment to the Company's Deed of Incorporation which would increase the authorized Common Stock of the Company from its present 500,000,000 shares to 1,000,000,000 shares of U.S.$0.01 each. The authorized Common Stock of the Company has not been increased since 1981 when the stockholders voted to increase the authorized shares of Common Stock to 500,000,000 from 300,000,000.</w:t>
      </w:r>
    </w:p>
    <w:p>
      <w:pPr>
        <w:spacing w:after="0" w:line="35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50" w:right="1440" w:bottom="1440" w:gutter="0" w:footer="0" w:header="0"/>
          <w:type w:val="continuous"/>
        </w:sectPr>
      </w:pPr>
    </w:p>
    <w:bookmarkStart w:id="20" w:name="page21"/>
    <w:bookmarkEnd w:id="20"/>
    <w:p>
      <w:pPr>
        <w:ind w:right="3019" w:firstLine="185"/>
        <w:spacing w:after="0" w:line="251" w:lineRule="auto"/>
        <w:rPr>
          <w:sz w:val="20"/>
          <w:szCs w:val="20"/>
          <w:color w:val="auto"/>
        </w:rPr>
      </w:pPr>
      <w:r>
        <w:rPr>
          <w:rFonts w:ascii="Courier New" w:cs="Courier New" w:eastAsia="Courier New" w:hAnsi="Courier New"/>
          <w:sz w:val="15"/>
          <w:szCs w:val="15"/>
          <w:color w:val="auto"/>
        </w:rPr>
        <w:t>As the Company enters into a new era of growth, the Board of Directors believes that there should be a sufficient number of authorized but unissued shares of Common Stock available for issue from time to time to enable the Board of Directors to authorize the issuance of additional shares without necessarily requiring an amendment to the Deed of Incorporation at the time of such action.</w:t>
      </w:r>
    </w:p>
    <w:p>
      <w:pPr>
        <w:spacing w:after="0" w:line="176" w:lineRule="exact"/>
        <w:rPr>
          <w:sz w:val="20"/>
          <w:szCs w:val="20"/>
          <w:color w:val="auto"/>
        </w:rPr>
      </w:pPr>
    </w:p>
    <w:p>
      <w:pPr>
        <w:ind w:right="3299" w:firstLine="185"/>
        <w:spacing w:after="0" w:line="251" w:lineRule="auto"/>
        <w:rPr>
          <w:sz w:val="20"/>
          <w:szCs w:val="20"/>
          <w:color w:val="auto"/>
        </w:rPr>
      </w:pPr>
      <w:r>
        <w:rPr>
          <w:rFonts w:ascii="Courier New" w:cs="Courier New" w:eastAsia="Courier New" w:hAnsi="Courier New"/>
          <w:sz w:val="15"/>
          <w:szCs w:val="15"/>
          <w:color w:val="auto"/>
        </w:rPr>
        <w:t>The following resolution, which will be presented to the Annual General Meeting of Stockholders, sets forth the proposed amendment to the Deed of Incorporation of the Company and proposes to increase the authorized Common Stock:</w:t>
      </w:r>
    </w:p>
    <w:p>
      <w:pPr>
        <w:spacing w:after="0" w:line="176" w:lineRule="exact"/>
        <w:rPr>
          <w:sz w:val="20"/>
          <w:szCs w:val="20"/>
          <w:color w:val="auto"/>
        </w:rPr>
      </w:pPr>
    </w:p>
    <w:p>
      <w:pPr>
        <w:ind w:left="180" w:right="3219"/>
        <w:spacing w:after="0" w:line="252" w:lineRule="auto"/>
        <w:rPr>
          <w:sz w:val="20"/>
          <w:szCs w:val="20"/>
          <w:color w:val="auto"/>
        </w:rPr>
      </w:pPr>
      <w:r>
        <w:rPr>
          <w:rFonts w:ascii="Courier New" w:cs="Courier New" w:eastAsia="Courier New" w:hAnsi="Courier New"/>
          <w:sz w:val="15"/>
          <w:szCs w:val="15"/>
          <w:color w:val="auto"/>
        </w:rPr>
        <w:t>RESOLVED, that Section 1. of Article IV, "Capital and Shares", of the Deed of Incorporation of the Company be, and it hereby is, amended to read in its entirety as follows:</w:t>
      </w:r>
    </w:p>
    <w:p>
      <w:pPr>
        <w:spacing w:after="0" w:line="175" w:lineRule="exact"/>
        <w:rPr>
          <w:sz w:val="20"/>
          <w:szCs w:val="20"/>
          <w:color w:val="auto"/>
        </w:rPr>
      </w:pPr>
    </w:p>
    <w:p>
      <w:pPr>
        <w:ind w:left="180" w:right="3119"/>
        <w:spacing w:after="0" w:line="251" w:lineRule="auto"/>
        <w:rPr>
          <w:sz w:val="20"/>
          <w:szCs w:val="20"/>
          <w:color w:val="auto"/>
        </w:rPr>
      </w:pPr>
      <w:r>
        <w:rPr>
          <w:rFonts w:ascii="Courier New" w:cs="Courier New" w:eastAsia="Courier New" w:hAnsi="Courier New"/>
          <w:sz w:val="15"/>
          <w:szCs w:val="15"/>
          <w:color w:val="auto"/>
        </w:rPr>
        <w:t>"1. The authorized capital of the Company shall be TWELVE MILLION UNITED STATES DOLLARS (U.S.$12,000,000), divided into (a) one billion (1,000,000,000) shares of Common Stock of the par value of One United States Cent (U.S.$0.01) per share and (b) two hundred million (200,000,000) shares of cumulative Preferred Stock of the par value of One United States Cent (U.S.$0.01) per share, which may be issued in separate series."</w:t>
      </w:r>
    </w:p>
    <w:p>
      <w:pPr>
        <w:spacing w:after="0" w:line="176" w:lineRule="exact"/>
        <w:rPr>
          <w:sz w:val="20"/>
          <w:szCs w:val="20"/>
          <w:color w:val="auto"/>
        </w:rPr>
      </w:pPr>
    </w:p>
    <w:p>
      <w:pPr>
        <w:ind w:right="3219" w:firstLine="185"/>
        <w:spacing w:after="0" w:line="253" w:lineRule="auto"/>
        <w:rPr>
          <w:sz w:val="20"/>
          <w:szCs w:val="20"/>
          <w:color w:val="auto"/>
        </w:rPr>
      </w:pPr>
      <w:r>
        <w:rPr>
          <w:rFonts w:ascii="Courier New" w:cs="Courier New" w:eastAsia="Courier New" w:hAnsi="Courier New"/>
          <w:sz w:val="15"/>
          <w:szCs w:val="15"/>
          <w:color w:val="auto"/>
        </w:rPr>
        <w:t>The affirmative vote of a majority of the Company's shares outstanding and entitled to vote is required for the adoption of the foregoing resolution.</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BOARD OF DIRECTORS RECOMMENDS A VOTE FOR ITEM 3.</w:t>
      </w:r>
    </w:p>
    <w:p>
      <w:pPr>
        <w:spacing w:after="0" w:line="18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4. APPOINTMENT OF AUDITORS</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Price Waterhouse LLP, who have served as auditors for the Company since its organization, have been selected by the Board of Directors as independent public accountants to audit the accounts of the Company for the year 1997. The Company's By-Laws provide that the selection of auditors is subject to approval by the stockholders, and a majority of the votes cast is required for such approval.</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50" w:right="1440" w:bottom="1440" w:gutter="0" w:footer="0" w:header="0"/>
        </w:sectPr>
      </w:pPr>
    </w:p>
    <w:bookmarkStart w:id="21" w:name="page22"/>
    <w:bookmarkEnd w:id="21"/>
    <w:p>
      <w:pPr>
        <w:ind w:right="3019"/>
        <w:spacing w:after="0" w:line="253" w:lineRule="auto"/>
        <w:rPr>
          <w:sz w:val="20"/>
          <w:szCs w:val="20"/>
          <w:color w:val="auto"/>
        </w:rPr>
      </w:pPr>
      <w:r>
        <w:rPr>
          <w:rFonts w:ascii="Courier New" w:cs="Courier New" w:eastAsia="Courier New" w:hAnsi="Courier New"/>
          <w:sz w:val="15"/>
          <w:szCs w:val="15"/>
          <w:color w:val="auto"/>
        </w:rPr>
        <w:t>A representative of Price Waterhouse LLP will attend the Meeting and will have the opportunity to make a statement and respond to questions.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BOARD OF DIRECTORS RECOMMENDS A VOTE FOR ITEM 4.</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PROPOSALS FOR 1998 ANNUAL GENERAL MEETING</w:t>
      </w:r>
    </w:p>
    <w:p>
      <w:pPr>
        <w:spacing w:after="0" w:line="185" w:lineRule="exact"/>
        <w:rPr>
          <w:sz w:val="20"/>
          <w:szCs w:val="20"/>
          <w:color w:val="auto"/>
        </w:rPr>
      </w:pPr>
    </w:p>
    <w:p>
      <w:pPr>
        <w:ind w:right="3219" w:firstLine="185"/>
        <w:spacing w:after="0" w:line="251" w:lineRule="auto"/>
        <w:rPr>
          <w:sz w:val="20"/>
          <w:szCs w:val="20"/>
          <w:color w:val="auto"/>
        </w:rPr>
      </w:pPr>
      <w:r>
        <w:rPr>
          <w:rFonts w:ascii="Courier New" w:cs="Courier New" w:eastAsia="Courier New" w:hAnsi="Courier New"/>
          <w:sz w:val="15"/>
          <w:szCs w:val="15"/>
          <w:color w:val="auto"/>
        </w:rPr>
        <w:t>In order for a stockholder proposal to be considered for inclusion in the Proxy Statement for the 1998 Annual General Meeting of Stockholders, written proposals must be received by the Secretary of the Company, 277 Park Avenue, New York, New York 10172-0266, no later than November 10, 1997.</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MATTERS</w:t>
      </w:r>
    </w:p>
    <w:p>
      <w:pPr>
        <w:spacing w:after="0" w:line="185" w:lineRule="exact"/>
        <w:rPr>
          <w:sz w:val="20"/>
          <w:szCs w:val="20"/>
          <w:color w:val="auto"/>
        </w:rPr>
      </w:pPr>
    </w:p>
    <w:p>
      <w:pPr>
        <w:ind w:right="3119" w:firstLine="185"/>
        <w:spacing w:after="0" w:line="252" w:lineRule="auto"/>
        <w:rPr>
          <w:sz w:val="20"/>
          <w:szCs w:val="20"/>
          <w:color w:val="auto"/>
        </w:rPr>
      </w:pPr>
      <w:r>
        <w:rPr>
          <w:rFonts w:ascii="Courier New" w:cs="Courier New" w:eastAsia="Courier New" w:hAnsi="Courier New"/>
          <w:sz w:val="15"/>
          <w:szCs w:val="15"/>
          <w:color w:val="auto"/>
        </w:rPr>
        <w:t>Stockholders may obtain a copy of Form 10-K filed with the United States Securities and Exchange Commission without charge by writing to the Secretary of the Company, 277 Park Avenue, New York, New York 10172-0266.</w:t>
      </w:r>
    </w:p>
    <w:p>
      <w:pPr>
        <w:spacing w:after="0" w:line="17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The Board of Directors knows of no other matter to be presented at the Meeting. If any additional matter should be presented properly, it is intended that the enclosed proxy will be voted in accordance with the discretion of the persons named in the proxy.</w:t>
      </w:r>
    </w:p>
    <w:p>
      <w:pPr>
        <w:spacing w:after="0" w:line="176" w:lineRule="exact"/>
        <w:rPr>
          <w:sz w:val="20"/>
          <w:szCs w:val="20"/>
          <w:color w:val="auto"/>
        </w:rPr>
      </w:pPr>
    </w:p>
    <w:p>
      <w:pPr>
        <w:ind w:right="3019" w:firstLine="185"/>
        <w:spacing w:after="0" w:line="253" w:lineRule="auto"/>
        <w:rPr>
          <w:sz w:val="20"/>
          <w:szCs w:val="20"/>
          <w:color w:val="auto"/>
        </w:rPr>
      </w:pPr>
      <w:r>
        <w:rPr>
          <w:rFonts w:ascii="Courier New" w:cs="Courier New" w:eastAsia="Courier New" w:hAnsi="Courier New"/>
          <w:sz w:val="15"/>
          <w:szCs w:val="15"/>
          <w:color w:val="auto"/>
        </w:rPr>
        <w:t>Please sign, date and return the accompanying proxy in the enclosed envelope at your earliest convenience.</w:t>
      </w:r>
    </w:p>
    <w:p>
      <w:pPr>
        <w:spacing w:after="0" w:line="174"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85" w:lineRule="exact"/>
        <w:rPr>
          <w:sz w:val="20"/>
          <w:szCs w:val="20"/>
          <w:color w:val="auto"/>
        </w:rPr>
      </w:pPr>
    </w:p>
    <w:p>
      <w:pPr>
        <w:jc w:val="center"/>
        <w:ind w:right="-940"/>
        <w:spacing w:after="0"/>
        <w:rPr>
          <w:sz w:val="20"/>
          <w:szCs w:val="20"/>
          <w:color w:val="auto"/>
        </w:rPr>
      </w:pPr>
      <w:r>
        <w:rPr>
          <w:rFonts w:ascii="Courier New" w:cs="Courier New" w:eastAsia="Courier New" w:hAnsi="Courier New"/>
          <w:sz w:val="15"/>
          <w:szCs w:val="15"/>
          <w:color w:val="auto"/>
        </w:rPr>
        <w:t>David S. Browning</w:t>
      </w:r>
    </w:p>
    <w:p>
      <w:pPr>
        <w:spacing w:after="0" w:line="8" w:lineRule="exact"/>
        <w:rPr>
          <w:sz w:val="20"/>
          <w:szCs w:val="20"/>
          <w:color w:val="auto"/>
        </w:rPr>
      </w:pPr>
    </w:p>
    <w:p>
      <w:pPr>
        <w:jc w:val="center"/>
        <w:ind w:right="-940"/>
        <w:spacing w:after="0"/>
        <w:rPr>
          <w:sz w:val="20"/>
          <w:szCs w:val="20"/>
          <w:color w:val="auto"/>
        </w:rPr>
      </w:pPr>
      <w:r>
        <w:rPr>
          <w:rFonts w:ascii="Courier New" w:cs="Courier New" w:eastAsia="Courier New" w:hAnsi="Courier New"/>
          <w:sz w:val="15"/>
          <w:szCs w:val="15"/>
          <w:color w:val="auto"/>
        </w:rPr>
        <w:t>Secretary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7, 1997</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50"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[LOGO] SCHLUMBERGER</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GENERAL MEETING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STOCKHOLDERS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PROXY STATEMENT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9, 1997</w:t>
      </w:r>
    </w:p>
    <w:p>
      <w:pPr>
        <w:spacing w:after="0" w:line="200" w:lineRule="exact"/>
        <w:rPr>
          <w:sz w:val="20"/>
          <w:szCs w:val="20"/>
          <w:color w:val="auto"/>
        </w:rPr>
      </w:pPr>
    </w:p>
    <w:p>
      <w:pPr>
        <w:spacing w:after="0" w:line="34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Please sign your proxy card and</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return it in the enclosed</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envelope so that you may be</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represented at the Meeting.</w:t>
      </w:r>
    </w:p>
    <w:p>
      <w:pPr>
        <w:spacing w:after="0" w:line="18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50" w:right="1440" w:bottom="1440" w:gutter="0" w:footer="0" w:header="0"/>
        </w:sectPr>
      </w:pPr>
    </w:p>
    <w:bookmarkStart w:id="23" w:name="page24"/>
    <w:bookmarkEnd w:id="23"/>
    <w:p>
      <w:pPr>
        <w:jc w:val="center"/>
        <w:ind w:right="3019"/>
        <w:spacing w:after="0"/>
        <w:rPr>
          <w:sz w:val="20"/>
          <w:szCs w:val="20"/>
          <w:color w:val="auto"/>
        </w:rPr>
      </w:pPr>
      <w:r>
        <w:rPr>
          <w:rFonts w:ascii="Courier New" w:cs="Courier New" w:eastAsia="Courier New" w:hAnsi="Courier New"/>
          <w:sz w:val="15"/>
          <w:szCs w:val="15"/>
          <w:color w:val="auto"/>
        </w:rPr>
        <w:t>PRELIMINARY COPY</w:t>
      </w:r>
    </w:p>
    <w:p>
      <w:pPr>
        <w:spacing w:after="0" w:line="18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SCHLUMBERGER LIMITED (SCHLUMBERGER N.V.)</w:t>
      </w:r>
    </w:p>
    <w:p>
      <w:pPr>
        <w:spacing w:after="0" w:line="18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PROXY SOLICITATION ON BEHALF OF THE BOARD OF DIRECTORS</w:t>
      </w:r>
    </w:p>
    <w:p>
      <w:pPr>
        <w:spacing w:after="0" w:line="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ANNUAL GENERAL MEETING OF STOCKHOLDERS</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PROXY</w:t>
      </w:r>
    </w:p>
    <w:p>
      <w:pPr>
        <w:spacing w:after="0" w:line="185" w:lineRule="exact"/>
        <w:rPr>
          <w:sz w:val="20"/>
          <w:szCs w:val="20"/>
          <w:color w:val="auto"/>
        </w:rPr>
      </w:pPr>
    </w:p>
    <w:p>
      <w:pPr>
        <w:ind w:right="2839" w:firstLine="738"/>
        <w:spacing w:after="0" w:line="250" w:lineRule="auto"/>
        <w:rPr>
          <w:sz w:val="20"/>
          <w:szCs w:val="20"/>
          <w:color w:val="auto"/>
        </w:rPr>
      </w:pPr>
      <w:r>
        <w:rPr>
          <w:rFonts w:ascii="Courier New" w:cs="Courier New" w:eastAsia="Courier New" w:hAnsi="Courier New"/>
          <w:sz w:val="15"/>
          <w:szCs w:val="15"/>
          <w:color w:val="auto"/>
        </w:rPr>
        <w:t>The undersigned, having received the Notice and Proxy Statement for the Annual General Meeting of Stockholders and the 1996 Annual Report to Stockholders, hereby appoints A. L. A. Bosnie, M. P. Dommisse, I. R. Gouverneur, and M. M. H. van Dooren and each of them, proxies, with power of substitution, to vote in the manner indicated on the reverse side hereof, and with discretionary authority as to any other matters that may properly come before the meeting, all my (our) shares of record of Schlumberger Limited (Schlumberger N.V.) at the Annual General Meeting of Stockholders to be held at the Avila Beach Hotel, Penstraat 130, Willemstad, Curacao, Netherlands Antilles on April 9, 1997, and at any adjournment or adjournments thereof.</w:t>
      </w:r>
    </w:p>
    <w:p>
      <w:pPr>
        <w:spacing w:after="0" w:line="182" w:lineRule="exact"/>
        <w:rPr>
          <w:sz w:val="20"/>
          <w:szCs w:val="20"/>
          <w:color w:val="auto"/>
        </w:rPr>
      </w:pPr>
    </w:p>
    <w:p>
      <w:pPr>
        <w:ind w:right="3119"/>
        <w:spacing w:after="0" w:line="253" w:lineRule="auto"/>
        <w:rPr>
          <w:sz w:val="20"/>
          <w:szCs w:val="20"/>
          <w:color w:val="auto"/>
        </w:rPr>
      </w:pPr>
      <w:r>
        <w:rPr>
          <w:rFonts w:ascii="Courier New" w:cs="Courier New" w:eastAsia="Courier New" w:hAnsi="Courier New"/>
          <w:sz w:val="15"/>
          <w:szCs w:val="15"/>
          <w:color w:val="auto"/>
        </w:rPr>
        <w:t>If no other indication is made, the proxies will vote FOR the election of the director nominees and FOR Proposals 2, 3 and 4.</w:t>
      </w:r>
    </w:p>
    <w:p>
      <w:pPr>
        <w:sectPr>
          <w:pgSz w:w="11900" w:h="16838" w:orient="portrait"/>
          <w:cols w:equalWidth="0" w:num="1">
            <w:col w:w="10219"/>
          </w:cols>
          <w:pgMar w:left="240" w:top="650" w:right="1440" w:bottom="1440" w:gutter="0" w:footer="0" w:header="0"/>
        </w:sectPr>
      </w:pPr>
    </w:p>
    <w:p>
      <w:pPr>
        <w:spacing w:after="0" w:line="352"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Continued and to be signed on reverse side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REVERSE</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SIDE</w:t>
      </w:r>
    </w:p>
    <w:p>
      <w:pPr>
        <w:sectPr>
          <w:pgSz w:w="11900" w:h="16838" w:orient="portrait"/>
          <w:cols w:equalWidth="0" w:num="2">
            <w:col w:w="5540" w:space="360"/>
            <w:col w:w="4319"/>
          </w:cols>
          <w:pgMar w:left="240" w:top="650" w:right="1440" w:bottom="1440" w:gutter="0" w:footer="0" w:header="0"/>
          <w:type w:val="continuous"/>
        </w:sectPr>
      </w:pPr>
    </w:p>
    <w:bookmarkStart w:id="24" w:name="page25"/>
    <w:bookmarkEnd w:id="24"/>
    <w:p>
      <w:pPr>
        <w:ind w:left="5"/>
        <w:spacing w:after="0"/>
        <w:rPr>
          <w:sz w:val="20"/>
          <w:szCs w:val="20"/>
          <w:color w:val="auto"/>
        </w:rPr>
      </w:pPr>
      <w:r>
        <w:rPr>
          <w:rFonts w:ascii="Courier New" w:cs="Courier New" w:eastAsia="Courier New" w:hAnsi="Courier New"/>
          <w:sz w:val="15"/>
          <w:szCs w:val="15"/>
          <w:color w:val="auto"/>
        </w:rPr>
        <w:t>[X]Please mark</w:t>
      </w:r>
    </w:p>
    <w:p>
      <w:pPr>
        <w:spacing w:after="0" w:line="8" w:lineRule="exact"/>
        <w:rPr>
          <w:sz w:val="20"/>
          <w:szCs w:val="20"/>
          <w:color w:val="auto"/>
        </w:rPr>
      </w:pPr>
    </w:p>
    <w:p>
      <w:pPr>
        <w:ind w:left="285"/>
        <w:spacing w:after="0"/>
        <w:rPr>
          <w:sz w:val="20"/>
          <w:szCs w:val="20"/>
          <w:color w:val="auto"/>
        </w:rPr>
      </w:pPr>
      <w:r>
        <w:rPr>
          <w:rFonts w:ascii="Courier New" w:cs="Courier New" w:eastAsia="Courier New" w:hAnsi="Courier New"/>
          <w:sz w:val="15"/>
          <w:szCs w:val="15"/>
          <w:color w:val="auto"/>
        </w:rPr>
        <w:t>votes as in</w:t>
      </w:r>
    </w:p>
    <w:p>
      <w:pPr>
        <w:spacing w:after="0" w:line="8" w:lineRule="exact"/>
        <w:rPr>
          <w:sz w:val="20"/>
          <w:szCs w:val="20"/>
          <w:color w:val="auto"/>
        </w:rPr>
      </w:pPr>
    </w:p>
    <w:p>
      <w:pPr>
        <w:ind w:left="285"/>
        <w:spacing w:after="0"/>
        <w:rPr>
          <w:sz w:val="20"/>
          <w:szCs w:val="20"/>
          <w:color w:val="auto"/>
        </w:rPr>
      </w:pPr>
      <w:r>
        <w:rPr>
          <w:rFonts w:ascii="Courier New" w:cs="Courier New" w:eastAsia="Courier New" w:hAnsi="Courier New"/>
          <w:sz w:val="15"/>
          <w:szCs w:val="15"/>
          <w:color w:val="auto"/>
        </w:rPr>
        <w:t>this example.</w:t>
      </w:r>
    </w:p>
    <w:p>
      <w:pPr>
        <w:spacing w:after="0" w:line="185" w:lineRule="exact"/>
        <w:rPr>
          <w:sz w:val="20"/>
          <w:szCs w:val="20"/>
          <w:color w:val="auto"/>
        </w:rPr>
      </w:pPr>
    </w:p>
    <w:p>
      <w:pPr>
        <w:ind w:left="5" w:right="3019"/>
        <w:spacing w:after="0" w:line="253" w:lineRule="auto"/>
        <w:rPr>
          <w:sz w:val="20"/>
          <w:szCs w:val="20"/>
          <w:color w:val="auto"/>
        </w:rPr>
      </w:pPr>
      <w:r>
        <w:rPr>
          <w:rFonts w:ascii="Courier New" w:cs="Courier New" w:eastAsia="Courier New" w:hAnsi="Courier New"/>
          <w:sz w:val="15"/>
          <w:szCs w:val="15"/>
          <w:color w:val="auto"/>
        </w:rPr>
        <w:t>Unless you indicate otherwise, this proxy will be voted in accordance with the Board of Directors' recommendations.</w:t>
      </w:r>
    </w:p>
    <w:p>
      <w:pPr>
        <w:spacing w:after="0" w:line="174"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Directors recommend a vote FOR items 1, 2, 3, and 4.</w:t>
      </w:r>
    </w:p>
    <w:p>
      <w:pPr>
        <w:spacing w:after="0" w:line="185" w:lineRule="exact"/>
        <w:rPr>
          <w:sz w:val="20"/>
          <w:szCs w:val="20"/>
          <w:color w:val="auto"/>
        </w:rPr>
      </w:pPr>
    </w:p>
    <w:p>
      <w:pPr>
        <w:ind w:left="285" w:hanging="285"/>
        <w:spacing w:after="0"/>
        <w:tabs>
          <w:tab w:leader="none" w:pos="28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11 Directors</w:t>
      </w:r>
    </w:p>
    <w:p>
      <w:pPr>
        <w:spacing w:after="0" w:line="7" w:lineRule="exact"/>
        <w:rPr>
          <w:rFonts w:ascii="Courier New" w:cs="Courier New" w:eastAsia="Courier New" w:hAnsi="Courier New"/>
          <w:sz w:val="15"/>
          <w:szCs w:val="15"/>
          <w:color w:val="auto"/>
        </w:rPr>
      </w:pPr>
    </w:p>
    <w:p>
      <w:pPr>
        <w:ind w:left="285" w:right="431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NOMINEES: D.E. Ackerman, D.E. Baird, J. Deutch, D. Henderson, A. Levy-Lang, W.T. McCormick, Jr., D. Primat, N. Seydoux, L.G. Stuntz, S. Ullring, Y. Wakumoto</w:t>
      </w:r>
    </w:p>
    <w:p>
      <w:pPr>
        <w:sectPr>
          <w:pgSz w:w="11900" w:h="16838" w:orient="portrait"/>
          <w:cols w:equalWidth="0" w:num="1">
            <w:col w:w="10225"/>
          </w:cols>
          <w:pgMar w:left="235" w:top="473" w:right="1440" w:bottom="1440" w:gutter="0" w:footer="0" w:header="0"/>
        </w:sectPr>
      </w:pPr>
    </w:p>
    <w:p>
      <w:pPr>
        <w:spacing w:after="0" w:line="352" w:lineRule="exact"/>
        <w:rPr>
          <w:sz w:val="20"/>
          <w:szCs w:val="20"/>
          <w:color w:val="auto"/>
        </w:rPr>
      </w:pPr>
    </w:p>
    <w:p>
      <w:pPr>
        <w:ind w:left="2405"/>
        <w:spacing w:after="0"/>
        <w:rPr>
          <w:sz w:val="20"/>
          <w:szCs w:val="20"/>
          <w:color w:val="auto"/>
        </w:rPr>
      </w:pPr>
      <w:r>
        <w:rPr>
          <w:rFonts w:ascii="Courier New" w:cs="Courier New" w:eastAsia="Courier New" w:hAnsi="Courier New"/>
          <w:sz w:val="15"/>
          <w:szCs w:val="15"/>
          <w:color w:val="auto"/>
        </w:rPr>
        <w:t>FOR</w:t>
      </w:r>
    </w:p>
    <w:p>
      <w:pPr>
        <w:spacing w:after="0" w:line="8" w:lineRule="exact"/>
        <w:rPr>
          <w:sz w:val="20"/>
          <w:szCs w:val="20"/>
          <w:color w:val="auto"/>
        </w:rPr>
      </w:pPr>
    </w:p>
    <w:p>
      <w:pPr>
        <w:ind w:left="2405"/>
        <w:spacing w:after="0"/>
        <w:rPr>
          <w:sz w:val="20"/>
          <w:szCs w:val="20"/>
          <w:color w:val="auto"/>
        </w:rPr>
      </w:pPr>
      <w:r>
        <w:rPr>
          <w:rFonts w:ascii="Courier New" w:cs="Courier New" w:eastAsia="Courier New" w:hAnsi="Courier New"/>
          <w:sz w:val="15"/>
          <w:szCs w:val="15"/>
          <w:color w:val="auto"/>
        </w:rPr>
        <w:t>ALL</w:t>
      </w:r>
    </w:p>
    <w:p>
      <w:pPr>
        <w:spacing w:after="0" w:line="8" w:lineRule="exact"/>
        <w:rPr>
          <w:sz w:val="20"/>
          <w:szCs w:val="20"/>
          <w:color w:val="auto"/>
        </w:rPr>
      </w:pPr>
    </w:p>
    <w:p>
      <w:pPr>
        <w:ind w:left="2205"/>
        <w:spacing w:after="0"/>
        <w:rPr>
          <w:sz w:val="20"/>
          <w:szCs w:val="20"/>
          <w:color w:val="auto"/>
        </w:rPr>
      </w:pPr>
      <w:r>
        <w:rPr>
          <w:rFonts w:ascii="Courier New" w:cs="Courier New" w:eastAsia="Courier New" w:hAnsi="Courier New"/>
          <w:sz w:val="15"/>
          <w:szCs w:val="15"/>
          <w:color w:val="auto"/>
        </w:rPr>
        <w:t>NOMINEES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WITHHELD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NOMINEES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w:t>
      </w:r>
    </w:p>
    <w:p>
      <w:pPr>
        <w:spacing w:after="0" w:line="362" w:lineRule="exact"/>
        <w:rPr>
          <w:sz w:val="20"/>
          <w:szCs w:val="20"/>
          <w:color w:val="auto"/>
        </w:rPr>
      </w:pPr>
    </w:p>
    <w:p>
      <w:pPr>
        <w:sectPr>
          <w:pgSz w:w="11900" w:h="16838" w:orient="portrait"/>
          <w:cols w:equalWidth="0" w:num="4">
            <w:col w:w="2945" w:space="200"/>
            <w:col w:w="260" w:space="660"/>
            <w:col w:w="740" w:space="180"/>
            <w:col w:w="5239"/>
          </w:cols>
          <w:pgMar w:left="235" w:top="473" w:right="1440" w:bottom="1440" w:gutter="0" w:footer="0" w:header="0"/>
          <w:type w:val="continuous"/>
        </w:sectPr>
      </w:pPr>
    </w:p>
    <w:p>
      <w:pPr>
        <w:ind w:left="365"/>
        <w:spacing w:after="0"/>
        <w:rPr>
          <w:sz w:val="20"/>
          <w:szCs w:val="20"/>
          <w:color w:val="auto"/>
        </w:rPr>
      </w:pPr>
      <w:r>
        <w:rPr>
          <w:rFonts w:ascii="Courier New" w:cs="Courier New" w:eastAsia="Courier New" w:hAnsi="Courier New"/>
          <w:sz w:val="15"/>
          <w:szCs w:val="15"/>
          <w:color w:val="auto"/>
        </w:rPr>
        <w:t>For, except vote withheld from the following nominee(s):</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___________________________________________</w:t>
      </w:r>
    </w:p>
    <w:p>
      <w:pPr>
        <w:spacing w:after="0" w:line="185" w:lineRule="exact"/>
        <w:rPr>
          <w:sz w:val="20"/>
          <w:szCs w:val="20"/>
          <w:color w:val="auto"/>
        </w:rPr>
      </w:pPr>
    </w:p>
    <w:p>
      <w:pPr>
        <w:ind w:left="5265"/>
        <w:spacing w:after="0"/>
        <w:tabs>
          <w:tab w:leader="none" w:pos="5705" w:val="left"/>
        </w:tabs>
        <w:rPr>
          <w:sz w:val="20"/>
          <w:szCs w:val="20"/>
          <w:color w:val="auto"/>
        </w:rPr>
      </w:pPr>
      <w:r>
        <w:rPr>
          <w:rFonts w:ascii="Courier New" w:cs="Courier New" w:eastAsia="Courier New" w:hAnsi="Courier New"/>
          <w:sz w:val="15"/>
          <w:szCs w:val="15"/>
          <w:color w:val="auto"/>
        </w:rPr>
        <w:t>FOR</w:t>
        <w:tab/>
        <w:t>AGAINST ABSTAIN</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2.</w:t>
            </w:r>
          </w:p>
        </w:tc>
        <w:tc>
          <w:tcPr>
            <w:tcW w:w="4720" w:type="dxa"/>
            <w:vAlign w:val="bottom"/>
          </w:tcPr>
          <w:p>
            <w:pPr>
              <w:ind w:left="60"/>
              <w:spacing w:after="0"/>
              <w:rPr>
                <w:sz w:val="20"/>
                <w:szCs w:val="20"/>
                <w:color w:val="auto"/>
              </w:rPr>
            </w:pPr>
            <w:r>
              <w:rPr>
                <w:rFonts w:ascii="Courier New" w:cs="Courier New" w:eastAsia="Courier New" w:hAnsi="Courier New"/>
                <w:sz w:val="15"/>
                <w:szCs w:val="15"/>
                <w:color w:val="auto"/>
              </w:rPr>
              <w:t>Approval of Financials and Dividends</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[_]</w:t>
            </w:r>
          </w:p>
        </w:tc>
        <w:tc>
          <w:tcPr>
            <w:tcW w:w="6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[_]</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[_]</w:t>
            </w:r>
          </w:p>
        </w:tc>
      </w:tr>
      <w:tr>
        <w:trPr>
          <w:trHeight w:val="355"/>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3.</w:t>
            </w:r>
          </w:p>
        </w:tc>
        <w:tc>
          <w:tcPr>
            <w:tcW w:w="4720" w:type="dxa"/>
            <w:vAlign w:val="bottom"/>
          </w:tcPr>
          <w:p>
            <w:pPr>
              <w:ind w:left="60"/>
              <w:spacing w:after="0"/>
              <w:rPr>
                <w:sz w:val="20"/>
                <w:szCs w:val="20"/>
                <w:color w:val="auto"/>
              </w:rPr>
            </w:pPr>
            <w:r>
              <w:rPr>
                <w:rFonts w:ascii="Courier New" w:cs="Courier New" w:eastAsia="Courier New" w:hAnsi="Courier New"/>
                <w:sz w:val="15"/>
                <w:szCs w:val="15"/>
                <w:color w:val="auto"/>
              </w:rPr>
              <w:t>Approval of Increase in Authorized Common Stock</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[_]</w:t>
            </w:r>
          </w:p>
        </w:tc>
        <w:tc>
          <w:tcPr>
            <w:tcW w:w="6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[_]</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[_]</w:t>
            </w:r>
          </w:p>
        </w:tc>
      </w:tr>
      <w:tr>
        <w:trPr>
          <w:trHeight w:val="355"/>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4.</w:t>
            </w:r>
          </w:p>
        </w:tc>
        <w:tc>
          <w:tcPr>
            <w:tcW w:w="4720" w:type="dxa"/>
            <w:vAlign w:val="bottom"/>
          </w:tcPr>
          <w:p>
            <w:pPr>
              <w:ind w:left="60"/>
              <w:spacing w:after="0"/>
              <w:rPr>
                <w:sz w:val="20"/>
                <w:szCs w:val="20"/>
                <w:color w:val="auto"/>
              </w:rPr>
            </w:pPr>
            <w:r>
              <w:rPr>
                <w:rFonts w:ascii="Courier New" w:cs="Courier New" w:eastAsia="Courier New" w:hAnsi="Courier New"/>
                <w:sz w:val="15"/>
                <w:szCs w:val="15"/>
                <w:color w:val="auto"/>
              </w:rPr>
              <w:t>Approval of Auditors</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[_]</w:t>
            </w:r>
          </w:p>
        </w:tc>
        <w:tc>
          <w:tcPr>
            <w:tcW w:w="6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[_]</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[_]</w:t>
            </w:r>
          </w:p>
        </w:tc>
      </w:tr>
    </w:tbl>
    <w:p>
      <w:pPr>
        <w:spacing w:after="0" w:line="360" w:lineRule="exact"/>
        <w:rPr>
          <w:sz w:val="20"/>
          <w:szCs w:val="20"/>
          <w:color w:val="auto"/>
        </w:rPr>
      </w:pPr>
    </w:p>
    <w:p>
      <w:pPr>
        <w:ind w:left="4805"/>
        <w:spacing w:after="0"/>
        <w:rPr>
          <w:sz w:val="20"/>
          <w:szCs w:val="20"/>
          <w:color w:val="auto"/>
        </w:rPr>
      </w:pPr>
      <w:r>
        <w:rPr>
          <w:rFonts w:ascii="Courier New" w:cs="Courier New" w:eastAsia="Courier New" w:hAnsi="Courier New"/>
          <w:sz w:val="15"/>
          <w:szCs w:val="15"/>
          <w:color w:val="auto"/>
        </w:rPr>
        <w:t>MARK HERE</w:t>
      </w:r>
    </w:p>
    <w:p>
      <w:pPr>
        <w:spacing w:after="0" w:line="8" w:lineRule="exact"/>
        <w:rPr>
          <w:sz w:val="20"/>
          <w:szCs w:val="20"/>
          <w:color w:val="auto"/>
        </w:rPr>
      </w:pPr>
    </w:p>
    <w:p>
      <w:pPr>
        <w:ind w:left="4805"/>
        <w:spacing w:after="0"/>
        <w:rPr>
          <w:sz w:val="20"/>
          <w:szCs w:val="20"/>
          <w:color w:val="auto"/>
        </w:rPr>
      </w:pPr>
      <w:r>
        <w:rPr>
          <w:rFonts w:ascii="Courier New" w:cs="Courier New" w:eastAsia="Courier New" w:hAnsi="Courier New"/>
          <w:sz w:val="15"/>
          <w:szCs w:val="15"/>
          <w:color w:val="auto"/>
        </w:rPr>
        <w:t>FOR ADDRESS [_]</w:t>
      </w:r>
    </w:p>
    <w:p>
      <w:pPr>
        <w:spacing w:after="0" w:line="8" w:lineRule="exact"/>
        <w:rPr>
          <w:sz w:val="20"/>
          <w:szCs w:val="20"/>
          <w:color w:val="auto"/>
        </w:rPr>
      </w:pPr>
    </w:p>
    <w:p>
      <w:pPr>
        <w:ind w:left="4805"/>
        <w:spacing w:after="0"/>
        <w:rPr>
          <w:sz w:val="20"/>
          <w:szCs w:val="20"/>
          <w:color w:val="auto"/>
        </w:rPr>
      </w:pPr>
      <w:r>
        <w:rPr>
          <w:rFonts w:ascii="Courier New" w:cs="Courier New" w:eastAsia="Courier New" w:hAnsi="Courier New"/>
          <w:sz w:val="15"/>
          <w:szCs w:val="15"/>
          <w:color w:val="auto"/>
        </w:rPr>
        <w:t>CHANGE AND</w:t>
      </w:r>
    </w:p>
    <w:p>
      <w:pPr>
        <w:spacing w:after="0" w:line="8" w:lineRule="exact"/>
        <w:rPr>
          <w:sz w:val="20"/>
          <w:szCs w:val="20"/>
          <w:color w:val="auto"/>
        </w:rPr>
      </w:pPr>
    </w:p>
    <w:p>
      <w:pPr>
        <w:ind w:left="4805"/>
        <w:spacing w:after="0"/>
        <w:rPr>
          <w:sz w:val="20"/>
          <w:szCs w:val="20"/>
          <w:color w:val="auto"/>
        </w:rPr>
      </w:pPr>
      <w:r>
        <w:rPr>
          <w:rFonts w:ascii="Courier New" w:cs="Courier New" w:eastAsia="Courier New" w:hAnsi="Courier New"/>
          <w:sz w:val="15"/>
          <w:szCs w:val="15"/>
          <w:color w:val="auto"/>
        </w:rPr>
        <w:t>NOTE AT LEFT</w:t>
      </w:r>
    </w:p>
    <w:p>
      <w:pPr>
        <w:spacing w:after="0" w:line="362" w:lineRule="exact"/>
        <w:rPr>
          <w:sz w:val="20"/>
          <w:szCs w:val="20"/>
          <w:color w:val="auto"/>
        </w:rPr>
      </w:pPr>
    </w:p>
    <w:p>
      <w:pPr>
        <w:ind w:left="5" w:right="3119"/>
        <w:spacing w:after="0" w:line="252" w:lineRule="auto"/>
        <w:rPr>
          <w:sz w:val="20"/>
          <w:szCs w:val="20"/>
          <w:color w:val="auto"/>
        </w:rPr>
      </w:pPr>
      <w:r>
        <w:rPr>
          <w:rFonts w:ascii="Courier New" w:cs="Courier New" w:eastAsia="Courier New" w:hAnsi="Courier New"/>
          <w:sz w:val="15"/>
          <w:szCs w:val="15"/>
          <w:color w:val="auto"/>
        </w:rPr>
        <w:t>Please sign names exactly as printed hereon. In signing as attorney, administrator, executor, guardian or trustee, please give full title as such. Please sign, date and return in the enclosed envelope.</w:t>
      </w:r>
    </w:p>
    <w:p>
      <w:pPr>
        <w:spacing w:after="0" w:line="17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Signature _________________________ Date __________ Signature _____________ Date</w:t>
      </w:r>
    </w:p>
    <w:p>
      <w:pPr>
        <w:sectPr>
          <w:pgSz w:w="11900" w:h="16838" w:orient="portrait"/>
          <w:cols w:equalWidth="0" w:num="1">
            <w:col w:w="10225"/>
          </w:cols>
          <w:pgMar w:left="235" w:top="473" w:right="1440" w:bottom="1440" w:gutter="0" w:footer="0" w:header="0"/>
          <w:type w:val="continuous"/>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Common Stock, Market Prices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 Declared per Share</w:t>
      </w:r>
    </w:p>
    <w:p>
      <w:pPr>
        <w:spacing w:after="0" w:line="185"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rPr>
        <w:t>Quarterly high and low prices for the Company's Common Stock as reported by The New York Stock Exchange (composite transactions), together with dividends declared per share in each quarter of 1996 and 1995 were: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PRICE RANGE</w:t>
            </w:r>
          </w:p>
        </w:tc>
        <w:tc>
          <w:tcPr>
            <w:tcW w:w="520" w:type="dxa"/>
            <w:vAlign w:val="bottom"/>
          </w:tcPr>
          <w:p>
            <w:pPr>
              <w:spacing w:after="0"/>
              <w:rPr>
                <w:sz w:val="14"/>
                <w:szCs w:val="14"/>
                <w:color w:val="auto"/>
              </w:rPr>
            </w:pP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DIVIDENDS</w:t>
            </w:r>
          </w:p>
        </w:tc>
      </w:tr>
      <w:tr>
        <w:trPr>
          <w:trHeight w:val="177"/>
        </w:trPr>
        <w:tc>
          <w:tcPr>
            <w:tcW w:w="1200" w:type="dxa"/>
            <w:vAlign w:val="bottom"/>
          </w:tcPr>
          <w:p>
            <w:pPr>
              <w:spacing w:after="0"/>
              <w:rPr>
                <w:sz w:val="15"/>
                <w:szCs w:val="15"/>
                <w:color w:val="auto"/>
              </w:rPr>
            </w:pPr>
          </w:p>
        </w:tc>
        <w:tc>
          <w:tcPr>
            <w:tcW w:w="17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7"/>
        </w:trPr>
        <w:tc>
          <w:tcPr>
            <w:tcW w:w="1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HIGH</w:t>
            </w:r>
          </w:p>
        </w:tc>
        <w:tc>
          <w:tcPr>
            <w:tcW w:w="6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LOW</w:t>
            </w:r>
          </w:p>
        </w:tc>
        <w:tc>
          <w:tcPr>
            <w:tcW w:w="520" w:type="dxa"/>
            <w:vAlign w:val="bottom"/>
          </w:tcPr>
          <w:p>
            <w:pPr>
              <w:spacing w:after="0"/>
              <w:rPr>
                <w:sz w:val="15"/>
                <w:szCs w:val="15"/>
                <w:color w:val="auto"/>
              </w:rPr>
            </w:pP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DECLARED</w:t>
            </w:r>
          </w:p>
        </w:tc>
      </w:tr>
      <w:tr>
        <w:trPr>
          <w:trHeight w:val="177"/>
        </w:trPr>
        <w:tc>
          <w:tcPr>
            <w:tcW w:w="1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600" w:type="dxa"/>
            <w:vAlign w:val="bottom"/>
          </w:tcPr>
          <w:p>
            <w:pPr>
              <w:ind w:left="340"/>
              <w:spacing w:after="0"/>
              <w:rPr>
                <w:sz w:val="20"/>
                <w:szCs w:val="20"/>
                <w:color w:val="auto"/>
              </w:rPr>
            </w:pPr>
            <w:r>
              <w:rPr>
                <w:rFonts w:ascii="Courier New" w:cs="Courier New" w:eastAsia="Courier New" w:hAnsi="Courier New"/>
                <w:sz w:val="15"/>
                <w:szCs w:val="15"/>
                <w:color w:val="auto"/>
                <w:w w:val="88"/>
              </w:rPr>
              <w:t>---</w:t>
            </w:r>
          </w:p>
        </w:tc>
        <w:tc>
          <w:tcPr>
            <w:tcW w:w="520" w:type="dxa"/>
            <w:vAlign w:val="bottom"/>
          </w:tcPr>
          <w:p>
            <w:pPr>
              <w:spacing w:after="0"/>
              <w:rPr>
                <w:sz w:val="15"/>
                <w:szCs w:val="15"/>
                <w:color w:val="auto"/>
              </w:rPr>
            </w:pP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7"/>
        </w:trPr>
        <w:tc>
          <w:tcPr>
            <w:tcW w:w="12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7"/>
        </w:trPr>
        <w:tc>
          <w:tcPr>
            <w:tcW w:w="1200" w:type="dxa"/>
            <w:vAlign w:val="bottom"/>
          </w:tcPr>
          <w:p>
            <w:pPr>
              <w:spacing w:after="0"/>
              <w:rPr>
                <w:sz w:val="20"/>
                <w:szCs w:val="20"/>
                <w:color w:val="auto"/>
              </w:rPr>
            </w:pPr>
            <w:r>
              <w:rPr>
                <w:rFonts w:ascii="Courier New" w:cs="Courier New" w:eastAsia="Courier New" w:hAnsi="Courier New"/>
                <w:sz w:val="15"/>
                <w:szCs w:val="15"/>
                <w:color w:val="auto"/>
              </w:rPr>
              <w:t>QUARTERS</w:t>
            </w: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7"/>
        </w:trPr>
        <w:tc>
          <w:tcPr>
            <w:tcW w:w="1200" w:type="dxa"/>
            <w:vAlign w:val="bottom"/>
          </w:tcPr>
          <w:p>
            <w:pPr>
              <w:ind w:left="460"/>
              <w:spacing w:after="0"/>
              <w:rPr>
                <w:sz w:val="20"/>
                <w:szCs w:val="20"/>
                <w:color w:val="auto"/>
              </w:rPr>
            </w:pPr>
            <w:r>
              <w:rPr>
                <w:rFonts w:ascii="Courier New" w:cs="Courier New" w:eastAsia="Courier New" w:hAnsi="Courier New"/>
                <w:sz w:val="15"/>
                <w:szCs w:val="15"/>
                <w:color w:val="auto"/>
              </w:rPr>
              <w:t>First</w:t>
            </w:r>
          </w:p>
        </w:tc>
        <w:tc>
          <w:tcPr>
            <w:tcW w:w="11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$ 80 5/8</w:t>
            </w:r>
          </w:p>
        </w:tc>
        <w:tc>
          <w:tcPr>
            <w:tcW w:w="112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$65 3/8</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$0.375</w:t>
            </w:r>
          </w:p>
        </w:tc>
      </w:tr>
      <w:tr>
        <w:trPr>
          <w:trHeight w:val="177"/>
        </w:trPr>
        <w:tc>
          <w:tcPr>
            <w:tcW w:w="1200" w:type="dxa"/>
            <w:vAlign w:val="bottom"/>
          </w:tcPr>
          <w:p>
            <w:pPr>
              <w:ind w:left="460"/>
              <w:spacing w:after="0"/>
              <w:rPr>
                <w:sz w:val="20"/>
                <w:szCs w:val="20"/>
                <w:color w:val="auto"/>
              </w:rPr>
            </w:pPr>
            <w:r>
              <w:rPr>
                <w:rFonts w:ascii="Courier New" w:cs="Courier New" w:eastAsia="Courier New" w:hAnsi="Courier New"/>
                <w:sz w:val="15"/>
                <w:szCs w:val="15"/>
                <w:color w:val="auto"/>
              </w:rPr>
              <w:t>Second</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91</w:t>
            </w:r>
          </w:p>
        </w:tc>
        <w:tc>
          <w:tcPr>
            <w:tcW w:w="6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3/8</w:t>
            </w:r>
          </w:p>
        </w:tc>
        <w:tc>
          <w:tcPr>
            <w:tcW w:w="600" w:type="dxa"/>
            <w:vAlign w:val="bottom"/>
          </w:tcPr>
          <w:p>
            <w:pPr>
              <w:ind w:left="340"/>
              <w:spacing w:after="0"/>
              <w:rPr>
                <w:sz w:val="20"/>
                <w:szCs w:val="20"/>
                <w:color w:val="auto"/>
              </w:rPr>
            </w:pPr>
            <w:r>
              <w:rPr>
                <w:rFonts w:ascii="Courier New" w:cs="Courier New" w:eastAsia="Courier New" w:hAnsi="Courier New"/>
                <w:sz w:val="15"/>
                <w:szCs w:val="15"/>
                <w:color w:val="auto"/>
              </w:rPr>
              <w:t>80</w:t>
            </w:r>
          </w:p>
        </w:tc>
        <w:tc>
          <w:tcPr>
            <w:tcW w:w="52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6"/>
              </w:rPr>
              <w:t>1/8</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0.375</w:t>
            </w:r>
          </w:p>
        </w:tc>
      </w:tr>
      <w:tr>
        <w:trPr>
          <w:trHeight w:val="177"/>
        </w:trPr>
        <w:tc>
          <w:tcPr>
            <w:tcW w:w="1200" w:type="dxa"/>
            <w:vAlign w:val="bottom"/>
          </w:tcPr>
          <w:p>
            <w:pPr>
              <w:ind w:left="460"/>
              <w:spacing w:after="0"/>
              <w:rPr>
                <w:sz w:val="20"/>
                <w:szCs w:val="20"/>
                <w:color w:val="auto"/>
              </w:rPr>
            </w:pPr>
            <w:r>
              <w:rPr>
                <w:rFonts w:ascii="Courier New" w:cs="Courier New" w:eastAsia="Courier New" w:hAnsi="Courier New"/>
                <w:sz w:val="15"/>
                <w:szCs w:val="15"/>
                <w:color w:val="auto"/>
              </w:rPr>
              <w:t>Third</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89</w:t>
            </w:r>
          </w:p>
        </w:tc>
        <w:tc>
          <w:tcPr>
            <w:tcW w:w="6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1/8</w:t>
            </w:r>
          </w:p>
        </w:tc>
        <w:tc>
          <w:tcPr>
            <w:tcW w:w="600" w:type="dxa"/>
            <w:vAlign w:val="bottom"/>
          </w:tcPr>
          <w:p>
            <w:pPr>
              <w:ind w:left="340"/>
              <w:spacing w:after="0"/>
              <w:rPr>
                <w:sz w:val="20"/>
                <w:szCs w:val="20"/>
                <w:color w:val="auto"/>
              </w:rPr>
            </w:pPr>
            <w:r>
              <w:rPr>
                <w:rFonts w:ascii="Courier New" w:cs="Courier New" w:eastAsia="Courier New" w:hAnsi="Courier New"/>
                <w:sz w:val="15"/>
                <w:szCs w:val="15"/>
                <w:color w:val="auto"/>
              </w:rPr>
              <w:t>79</w:t>
            </w:r>
          </w:p>
        </w:tc>
        <w:tc>
          <w:tcPr>
            <w:tcW w:w="52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6"/>
              </w:rPr>
              <w:t>3/8</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0.375</w:t>
            </w:r>
          </w:p>
        </w:tc>
      </w:tr>
      <w:tr>
        <w:trPr>
          <w:trHeight w:val="177"/>
        </w:trPr>
        <w:tc>
          <w:tcPr>
            <w:tcW w:w="1200" w:type="dxa"/>
            <w:vAlign w:val="bottom"/>
          </w:tcPr>
          <w:p>
            <w:pPr>
              <w:ind w:left="460"/>
              <w:spacing w:after="0"/>
              <w:rPr>
                <w:sz w:val="20"/>
                <w:szCs w:val="20"/>
                <w:color w:val="auto"/>
              </w:rPr>
            </w:pPr>
            <w:r>
              <w:rPr>
                <w:rFonts w:ascii="Courier New" w:cs="Courier New" w:eastAsia="Courier New" w:hAnsi="Courier New"/>
                <w:sz w:val="15"/>
                <w:szCs w:val="15"/>
                <w:color w:val="auto"/>
              </w:rPr>
              <w:t>Fourth</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c>
          <w:tcPr>
            <w:tcW w:w="6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1/4</w:t>
            </w:r>
          </w:p>
        </w:tc>
        <w:tc>
          <w:tcPr>
            <w:tcW w:w="600" w:type="dxa"/>
            <w:vAlign w:val="bottom"/>
          </w:tcPr>
          <w:p>
            <w:pPr>
              <w:ind w:left="340"/>
              <w:spacing w:after="0"/>
              <w:rPr>
                <w:sz w:val="20"/>
                <w:szCs w:val="20"/>
                <w:color w:val="auto"/>
              </w:rPr>
            </w:pPr>
            <w:r>
              <w:rPr>
                <w:rFonts w:ascii="Courier New" w:cs="Courier New" w:eastAsia="Courier New" w:hAnsi="Courier New"/>
                <w:sz w:val="15"/>
                <w:szCs w:val="15"/>
                <w:color w:val="auto"/>
              </w:rPr>
              <w:t>84</w:t>
            </w:r>
          </w:p>
        </w:tc>
        <w:tc>
          <w:tcPr>
            <w:tcW w:w="52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6"/>
              </w:rPr>
              <w:t>1/4</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0.375</w:t>
            </w:r>
          </w:p>
        </w:tc>
      </w:tr>
      <w:tr>
        <w:trPr>
          <w:trHeight w:val="355"/>
        </w:trPr>
        <w:tc>
          <w:tcPr>
            <w:tcW w:w="120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7"/>
        </w:trPr>
        <w:tc>
          <w:tcPr>
            <w:tcW w:w="1200" w:type="dxa"/>
            <w:vAlign w:val="bottom"/>
          </w:tcPr>
          <w:p>
            <w:pPr>
              <w:spacing w:after="0"/>
              <w:rPr>
                <w:sz w:val="20"/>
                <w:szCs w:val="20"/>
                <w:color w:val="auto"/>
              </w:rPr>
            </w:pPr>
            <w:r>
              <w:rPr>
                <w:rFonts w:ascii="Courier New" w:cs="Courier New" w:eastAsia="Courier New" w:hAnsi="Courier New"/>
                <w:sz w:val="15"/>
                <w:szCs w:val="15"/>
                <w:color w:val="auto"/>
              </w:rPr>
              <w:t>QUARTERS</w:t>
            </w: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7"/>
        </w:trPr>
        <w:tc>
          <w:tcPr>
            <w:tcW w:w="1200" w:type="dxa"/>
            <w:vAlign w:val="bottom"/>
          </w:tcPr>
          <w:p>
            <w:pPr>
              <w:ind w:left="460"/>
              <w:spacing w:after="0"/>
              <w:rPr>
                <w:sz w:val="20"/>
                <w:szCs w:val="20"/>
                <w:color w:val="auto"/>
              </w:rPr>
            </w:pPr>
            <w:r>
              <w:rPr>
                <w:rFonts w:ascii="Courier New" w:cs="Courier New" w:eastAsia="Courier New" w:hAnsi="Courier New"/>
                <w:sz w:val="15"/>
                <w:szCs w:val="15"/>
                <w:color w:val="auto"/>
              </w:rPr>
              <w:t>First</w:t>
            </w:r>
          </w:p>
        </w:tc>
        <w:tc>
          <w:tcPr>
            <w:tcW w:w="11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$ 60 1/8</w:t>
            </w:r>
          </w:p>
        </w:tc>
        <w:tc>
          <w:tcPr>
            <w:tcW w:w="112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$50 1/8</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$0.300</w:t>
            </w:r>
          </w:p>
        </w:tc>
      </w:tr>
      <w:tr>
        <w:trPr>
          <w:trHeight w:val="177"/>
        </w:trPr>
        <w:tc>
          <w:tcPr>
            <w:tcW w:w="1200" w:type="dxa"/>
            <w:vAlign w:val="bottom"/>
          </w:tcPr>
          <w:p>
            <w:pPr>
              <w:ind w:left="460"/>
              <w:spacing w:after="0"/>
              <w:rPr>
                <w:sz w:val="20"/>
                <w:szCs w:val="20"/>
                <w:color w:val="auto"/>
              </w:rPr>
            </w:pPr>
            <w:r>
              <w:rPr>
                <w:rFonts w:ascii="Courier New" w:cs="Courier New" w:eastAsia="Courier New" w:hAnsi="Courier New"/>
                <w:sz w:val="15"/>
                <w:szCs w:val="15"/>
                <w:color w:val="auto"/>
              </w:rPr>
              <w:t>Second</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c>
          <w:tcPr>
            <w:tcW w:w="6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5/8</w:t>
            </w:r>
          </w:p>
        </w:tc>
        <w:tc>
          <w:tcPr>
            <w:tcW w:w="600" w:type="dxa"/>
            <w:vAlign w:val="bottom"/>
          </w:tcPr>
          <w:p>
            <w:pPr>
              <w:ind w:left="340"/>
              <w:spacing w:after="0"/>
              <w:rPr>
                <w:sz w:val="20"/>
                <w:szCs w:val="20"/>
                <w:color w:val="auto"/>
              </w:rPr>
            </w:pPr>
            <w:r>
              <w:rPr>
                <w:rFonts w:ascii="Courier New" w:cs="Courier New" w:eastAsia="Courier New" w:hAnsi="Courier New"/>
                <w:sz w:val="15"/>
                <w:szCs w:val="15"/>
                <w:color w:val="auto"/>
              </w:rPr>
              <w:t>58</w:t>
            </w:r>
          </w:p>
        </w:tc>
        <w:tc>
          <w:tcPr>
            <w:tcW w:w="52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6"/>
              </w:rPr>
              <w:t>1/8</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0.375</w:t>
            </w:r>
          </w:p>
        </w:tc>
      </w:tr>
      <w:tr>
        <w:trPr>
          <w:trHeight w:val="177"/>
        </w:trPr>
        <w:tc>
          <w:tcPr>
            <w:tcW w:w="1200" w:type="dxa"/>
            <w:vAlign w:val="bottom"/>
          </w:tcPr>
          <w:p>
            <w:pPr>
              <w:ind w:left="460"/>
              <w:spacing w:after="0"/>
              <w:rPr>
                <w:sz w:val="20"/>
                <w:szCs w:val="20"/>
                <w:color w:val="auto"/>
              </w:rPr>
            </w:pPr>
            <w:r>
              <w:rPr>
                <w:rFonts w:ascii="Courier New" w:cs="Courier New" w:eastAsia="Courier New" w:hAnsi="Courier New"/>
                <w:sz w:val="15"/>
                <w:szCs w:val="15"/>
                <w:color w:val="auto"/>
              </w:rPr>
              <w:t>Third</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c>
          <w:tcPr>
            <w:tcW w:w="6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5/8</w:t>
            </w:r>
          </w:p>
        </w:tc>
        <w:tc>
          <w:tcPr>
            <w:tcW w:w="600" w:type="dxa"/>
            <w:vAlign w:val="bottom"/>
          </w:tcPr>
          <w:p>
            <w:pPr>
              <w:ind w:left="340"/>
              <w:spacing w:after="0"/>
              <w:rPr>
                <w:sz w:val="20"/>
                <w:szCs w:val="20"/>
                <w:color w:val="auto"/>
              </w:rPr>
            </w:pPr>
            <w:r>
              <w:rPr>
                <w:rFonts w:ascii="Courier New" w:cs="Courier New" w:eastAsia="Courier New" w:hAnsi="Courier New"/>
                <w:sz w:val="15"/>
                <w:szCs w:val="15"/>
                <w:color w:val="auto"/>
              </w:rPr>
              <w:t>61</w:t>
            </w:r>
          </w:p>
        </w:tc>
        <w:tc>
          <w:tcPr>
            <w:tcW w:w="52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6"/>
              </w:rPr>
              <w:t>1/4</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0.375</w:t>
            </w:r>
          </w:p>
        </w:tc>
      </w:tr>
      <w:tr>
        <w:trPr>
          <w:trHeight w:val="177"/>
        </w:trPr>
        <w:tc>
          <w:tcPr>
            <w:tcW w:w="1200" w:type="dxa"/>
            <w:vAlign w:val="bottom"/>
          </w:tcPr>
          <w:p>
            <w:pPr>
              <w:ind w:left="460"/>
              <w:spacing w:after="0"/>
              <w:rPr>
                <w:sz w:val="20"/>
                <w:szCs w:val="20"/>
                <w:color w:val="auto"/>
              </w:rPr>
            </w:pPr>
            <w:r>
              <w:rPr>
                <w:rFonts w:ascii="Courier New" w:cs="Courier New" w:eastAsia="Courier New" w:hAnsi="Courier New"/>
                <w:sz w:val="15"/>
                <w:szCs w:val="15"/>
                <w:color w:val="auto"/>
              </w:rPr>
              <w:t>Fourth</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c>
          <w:tcPr>
            <w:tcW w:w="6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1/2</w:t>
            </w:r>
          </w:p>
        </w:tc>
        <w:tc>
          <w:tcPr>
            <w:tcW w:w="600" w:type="dxa"/>
            <w:vAlign w:val="bottom"/>
          </w:tcPr>
          <w:p>
            <w:pPr>
              <w:ind w:left="340"/>
              <w:spacing w:after="0"/>
              <w:rPr>
                <w:sz w:val="20"/>
                <w:szCs w:val="20"/>
                <w:color w:val="auto"/>
              </w:rPr>
            </w:pPr>
            <w:r>
              <w:rPr>
                <w:rFonts w:ascii="Courier New" w:cs="Courier New" w:eastAsia="Courier New" w:hAnsi="Courier New"/>
                <w:sz w:val="15"/>
                <w:szCs w:val="15"/>
                <w:color w:val="auto"/>
              </w:rPr>
              <w:t>58</w:t>
            </w:r>
          </w:p>
        </w:tc>
        <w:tc>
          <w:tcPr>
            <w:tcW w:w="52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6"/>
              </w:rPr>
              <w:t>7/8</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0.375</w:t>
            </w:r>
          </w:p>
        </w:tc>
      </w:tr>
    </w:tbl>
    <w:p>
      <w:pPr>
        <w:spacing w:after="0" w:line="360"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 number of holders of record of the Common Stock of the Company at December 31, 1996, was approximately 22,000. There are no legal restrictions on the payment of dividends or ownership or voting of such shares. United States stockholders are not subject to any Netherlands Antilles withholding or other Netherlands Antilles taxes attributable to ownership of such shares.</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19"/>
          </w:cols>
          <w:pgMar w:left="240" w:top="650"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2"/>
        </w:trPr>
        <w:tc>
          <w:tcPr>
            <w:tcW w:w="3540" w:type="dxa"/>
            <w:vAlign w:val="bottom"/>
          </w:tcPr>
          <w:p>
            <w:pPr>
              <w:spacing w:after="0"/>
              <w:rPr>
                <w:sz w:val="20"/>
                <w:szCs w:val="20"/>
                <w:color w:val="auto"/>
              </w:rPr>
            </w:pPr>
            <w:r>
              <w:rPr>
                <w:rFonts w:ascii="Courier New" w:cs="Courier New" w:eastAsia="Courier New" w:hAnsi="Courier New"/>
                <w:sz w:val="15"/>
                <w:szCs w:val="15"/>
                <w:color w:val="auto"/>
              </w:rPr>
              <w:t>CONSOLIDATED STATEMENT OF INCOME</w:t>
            </w: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710"/>
        </w:trPr>
        <w:tc>
          <w:tcPr>
            <w:tcW w:w="3540" w:type="dxa"/>
            <w:vAlign w:val="bottom"/>
          </w:tcPr>
          <w:p>
            <w:pPr>
              <w:spacing w:after="0"/>
              <w:rPr>
                <w:sz w:val="24"/>
                <w:szCs w:val="24"/>
                <w:color w:val="auto"/>
              </w:rPr>
            </w:pPr>
          </w:p>
        </w:tc>
        <w:tc>
          <w:tcPr>
            <w:tcW w:w="4480" w:type="dxa"/>
            <w:vAlign w:val="bottom"/>
            <w:gridSpan w:val="6"/>
          </w:tcPr>
          <w:p>
            <w:pPr>
              <w:jc w:val="right"/>
              <w:ind w:right="103"/>
              <w:spacing w:after="0"/>
              <w:rPr>
                <w:sz w:val="20"/>
                <w:szCs w:val="20"/>
                <w:color w:val="auto"/>
              </w:rPr>
            </w:pPr>
            <w:r>
              <w:rPr>
                <w:rFonts w:ascii="Courier New" w:cs="Courier New" w:eastAsia="Courier New" w:hAnsi="Courier New"/>
                <w:sz w:val="15"/>
                <w:szCs w:val="15"/>
                <w:color w:val="auto"/>
              </w:rPr>
              <w:t>(Stated in thousands except per share amounts)</w:t>
            </w:r>
          </w:p>
        </w:tc>
      </w:tr>
      <w:tr>
        <w:trPr>
          <w:trHeight w:val="177"/>
        </w:trPr>
        <w:tc>
          <w:tcPr>
            <w:tcW w:w="354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116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1995</w:t>
            </w:r>
          </w:p>
        </w:tc>
        <w:tc>
          <w:tcPr>
            <w:tcW w:w="8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1994</w:t>
            </w:r>
          </w:p>
        </w:tc>
      </w:tr>
      <w:tr>
        <w:trPr>
          <w:trHeight w:val="177"/>
        </w:trPr>
        <w:tc>
          <w:tcPr>
            <w:tcW w:w="3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5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7"/>
        </w:trPr>
        <w:tc>
          <w:tcPr>
            <w:tcW w:w="3540" w:type="dxa"/>
            <w:vAlign w:val="bottom"/>
          </w:tcPr>
          <w:p>
            <w:pPr>
              <w:ind w:left="460"/>
              <w:spacing w:after="0"/>
              <w:rPr>
                <w:sz w:val="20"/>
                <w:szCs w:val="20"/>
                <w:color w:val="auto"/>
              </w:rPr>
            </w:pPr>
            <w:r>
              <w:rPr>
                <w:rFonts w:ascii="Courier New" w:cs="Courier New" w:eastAsia="Courier New" w:hAnsi="Courier New"/>
                <w:sz w:val="15"/>
                <w:szCs w:val="15"/>
                <w:color w:val="auto"/>
              </w:rPr>
              <w:t>Operating</w:t>
            </w:r>
          </w:p>
        </w:tc>
        <w:tc>
          <w:tcPr>
            <w:tcW w:w="222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$8,956,150</w:t>
            </w:r>
          </w:p>
        </w:tc>
        <w:tc>
          <w:tcPr>
            <w:tcW w:w="116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$7,621,694</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w w:val="99"/>
              </w:rPr>
              <w:t>$6,696,845</w:t>
            </w:r>
          </w:p>
        </w:tc>
      </w:tr>
      <w:tr>
        <w:trPr>
          <w:trHeight w:val="177"/>
        </w:trPr>
        <w:tc>
          <w:tcPr>
            <w:tcW w:w="3540" w:type="dxa"/>
            <w:vAlign w:val="bottom"/>
          </w:tcPr>
          <w:p>
            <w:pPr>
              <w:ind w:left="460"/>
              <w:spacing w:after="0"/>
              <w:rPr>
                <w:sz w:val="20"/>
                <w:szCs w:val="20"/>
                <w:color w:val="auto"/>
              </w:rPr>
            </w:pPr>
            <w:r>
              <w:rPr>
                <w:rFonts w:ascii="Courier New" w:cs="Courier New" w:eastAsia="Courier New" w:hAnsi="Courier New"/>
                <w:sz w:val="15"/>
                <w:szCs w:val="15"/>
                <w:color w:val="auto"/>
              </w:rPr>
              <w:t>Interest and other income</w:t>
            </w:r>
          </w:p>
        </w:tc>
        <w:tc>
          <w:tcPr>
            <w:tcW w:w="116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69,515</w:t>
            </w:r>
          </w:p>
        </w:tc>
        <w:tc>
          <w:tcPr>
            <w:tcW w:w="14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91,536</w:t>
            </w:r>
          </w:p>
        </w:tc>
        <w:tc>
          <w:tcPr>
            <w:tcW w:w="8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83,898</w:t>
            </w:r>
          </w:p>
        </w:tc>
      </w:tr>
      <w:tr>
        <w:trPr>
          <w:trHeight w:val="177"/>
        </w:trPr>
        <w:tc>
          <w:tcPr>
            <w:tcW w:w="3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9,025,665</w:t>
            </w:r>
          </w:p>
        </w:tc>
        <w:tc>
          <w:tcPr>
            <w:tcW w:w="14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7,713,230</w:t>
            </w:r>
          </w:p>
        </w:tc>
        <w:tc>
          <w:tcPr>
            <w:tcW w:w="8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6,780,743</w:t>
            </w:r>
          </w:p>
        </w:tc>
      </w:tr>
      <w:tr>
        <w:trPr>
          <w:trHeight w:val="177"/>
        </w:trPr>
        <w:tc>
          <w:tcPr>
            <w:tcW w:w="3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54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3540" w:type="dxa"/>
            <w:vAlign w:val="bottom"/>
          </w:tcPr>
          <w:p>
            <w:pPr>
              <w:ind w:left="460"/>
              <w:spacing w:after="0"/>
              <w:rPr>
                <w:sz w:val="20"/>
                <w:szCs w:val="20"/>
                <w:color w:val="auto"/>
              </w:rPr>
            </w:pPr>
            <w:r>
              <w:rPr>
                <w:rFonts w:ascii="Courier New" w:cs="Courier New" w:eastAsia="Courier New" w:hAnsi="Courier New"/>
                <w:sz w:val="15"/>
                <w:szCs w:val="15"/>
                <w:color w:val="auto"/>
              </w:rPr>
              <w:t>Cost of goods sold and services</w:t>
            </w:r>
          </w:p>
        </w:tc>
        <w:tc>
          <w:tcPr>
            <w:tcW w:w="116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6,835,444</w:t>
            </w:r>
          </w:p>
        </w:tc>
        <w:tc>
          <w:tcPr>
            <w:tcW w:w="14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5,804,157</w:t>
            </w:r>
          </w:p>
        </w:tc>
        <w:tc>
          <w:tcPr>
            <w:tcW w:w="8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5,107,889</w:t>
            </w:r>
          </w:p>
        </w:tc>
      </w:tr>
      <w:tr>
        <w:trPr>
          <w:trHeight w:val="177"/>
        </w:trPr>
        <w:tc>
          <w:tcPr>
            <w:tcW w:w="3540" w:type="dxa"/>
            <w:vAlign w:val="bottom"/>
          </w:tcPr>
          <w:p>
            <w:pPr>
              <w:ind w:left="460"/>
              <w:spacing w:after="0"/>
              <w:rPr>
                <w:sz w:val="20"/>
                <w:szCs w:val="20"/>
                <w:color w:val="auto"/>
              </w:rPr>
            </w:pPr>
            <w:r>
              <w:rPr>
                <w:rFonts w:ascii="Courier New" w:cs="Courier New" w:eastAsia="Courier New" w:hAnsi="Courier New"/>
                <w:sz w:val="15"/>
                <w:szCs w:val="15"/>
                <w:color w:val="auto"/>
              </w:rPr>
              <w:t>Research &amp; engineering</w:t>
            </w:r>
          </w:p>
        </w:tc>
        <w:tc>
          <w:tcPr>
            <w:tcW w:w="116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452,608</w:t>
            </w:r>
          </w:p>
        </w:tc>
        <w:tc>
          <w:tcPr>
            <w:tcW w:w="14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427,848</w:t>
            </w:r>
          </w:p>
        </w:tc>
        <w:tc>
          <w:tcPr>
            <w:tcW w:w="8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418,871</w:t>
            </w:r>
          </w:p>
        </w:tc>
      </w:tr>
      <w:tr>
        <w:trPr>
          <w:trHeight w:val="177"/>
        </w:trPr>
        <w:tc>
          <w:tcPr>
            <w:tcW w:w="3540" w:type="dxa"/>
            <w:vAlign w:val="bottom"/>
          </w:tcPr>
          <w:p>
            <w:pPr>
              <w:ind w:left="460"/>
              <w:spacing w:after="0"/>
              <w:rPr>
                <w:sz w:val="20"/>
                <w:szCs w:val="20"/>
                <w:color w:val="auto"/>
              </w:rPr>
            </w:pPr>
            <w:r>
              <w:rPr>
                <w:rFonts w:ascii="Courier New" w:cs="Courier New" w:eastAsia="Courier New" w:hAnsi="Courier New"/>
                <w:sz w:val="15"/>
                <w:szCs w:val="15"/>
                <w:color w:val="auto"/>
              </w:rPr>
              <w:t>Marketing</w:t>
            </w:r>
          </w:p>
        </w:tc>
        <w:tc>
          <w:tcPr>
            <w:tcW w:w="116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301,304</w:t>
            </w:r>
          </w:p>
        </w:tc>
        <w:tc>
          <w:tcPr>
            <w:tcW w:w="14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283,790</w:t>
            </w:r>
          </w:p>
        </w:tc>
        <w:tc>
          <w:tcPr>
            <w:tcW w:w="8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251,750</w:t>
            </w:r>
          </w:p>
        </w:tc>
      </w:tr>
      <w:tr>
        <w:trPr>
          <w:trHeight w:val="177"/>
        </w:trPr>
        <w:tc>
          <w:tcPr>
            <w:tcW w:w="3540" w:type="dxa"/>
            <w:vAlign w:val="bottom"/>
          </w:tcPr>
          <w:p>
            <w:pPr>
              <w:ind w:left="460"/>
              <w:spacing w:after="0"/>
              <w:rPr>
                <w:sz w:val="20"/>
                <w:szCs w:val="20"/>
                <w:color w:val="auto"/>
              </w:rPr>
            </w:pPr>
            <w:r>
              <w:rPr>
                <w:rFonts w:ascii="Courier New" w:cs="Courier New" w:eastAsia="Courier New" w:hAnsi="Courier New"/>
                <w:sz w:val="15"/>
                <w:szCs w:val="15"/>
                <w:color w:val="auto"/>
              </w:rPr>
              <w:t>General</w:t>
            </w:r>
          </w:p>
        </w:tc>
        <w:tc>
          <w:tcPr>
            <w:tcW w:w="116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355,392</w:t>
            </w:r>
          </w:p>
        </w:tc>
        <w:tc>
          <w:tcPr>
            <w:tcW w:w="14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345,441</w:t>
            </w:r>
          </w:p>
        </w:tc>
        <w:tc>
          <w:tcPr>
            <w:tcW w:w="8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321,433</w:t>
            </w:r>
          </w:p>
        </w:tc>
      </w:tr>
      <w:tr>
        <w:trPr>
          <w:trHeight w:val="177"/>
        </w:trPr>
        <w:tc>
          <w:tcPr>
            <w:tcW w:w="3540" w:type="dxa"/>
            <w:vAlign w:val="bottom"/>
          </w:tcPr>
          <w:p>
            <w:pPr>
              <w:ind w:left="460"/>
              <w:spacing w:after="0"/>
              <w:rPr>
                <w:sz w:val="20"/>
                <w:szCs w:val="20"/>
                <w:color w:val="auto"/>
              </w:rPr>
            </w:pPr>
            <w:r>
              <w:rPr>
                <w:rFonts w:ascii="Courier New" w:cs="Courier New" w:eastAsia="Courier New" w:hAnsi="Courier New"/>
                <w:sz w:val="15"/>
                <w:szCs w:val="15"/>
                <w:color w:val="auto"/>
              </w:rPr>
              <w:t>Interest</w:t>
            </w:r>
          </w:p>
        </w:tc>
        <w:tc>
          <w:tcPr>
            <w:tcW w:w="116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72,020</w:t>
            </w:r>
          </w:p>
        </w:tc>
        <w:tc>
          <w:tcPr>
            <w:tcW w:w="14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81,620</w:t>
            </w:r>
          </w:p>
        </w:tc>
        <w:tc>
          <w:tcPr>
            <w:tcW w:w="8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63,328</w:t>
            </w:r>
          </w:p>
        </w:tc>
      </w:tr>
      <w:tr>
        <w:trPr>
          <w:trHeight w:val="177"/>
        </w:trPr>
        <w:tc>
          <w:tcPr>
            <w:tcW w:w="3540" w:type="dxa"/>
            <w:vAlign w:val="bottom"/>
          </w:tcPr>
          <w:p>
            <w:pPr>
              <w:ind w:left="460"/>
              <w:spacing w:after="0"/>
              <w:rPr>
                <w:sz w:val="20"/>
                <w:szCs w:val="20"/>
                <w:color w:val="auto"/>
              </w:rPr>
            </w:pPr>
            <w:r>
              <w:rPr>
                <w:rFonts w:ascii="Courier New" w:cs="Courier New" w:eastAsia="Courier New" w:hAnsi="Courier New"/>
                <w:sz w:val="15"/>
                <w:szCs w:val="15"/>
                <w:color w:val="auto"/>
              </w:rPr>
              <w:t>Unusual items</w:t>
            </w:r>
          </w:p>
        </w:tc>
        <w:tc>
          <w:tcPr>
            <w:tcW w:w="116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333,091</w:t>
            </w:r>
          </w:p>
        </w:tc>
        <w:tc>
          <w:tcPr>
            <w:tcW w:w="14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3540" w:type="dxa"/>
            <w:vAlign w:val="bottom"/>
          </w:tcPr>
          <w:p>
            <w:pPr>
              <w:ind w:left="460"/>
              <w:spacing w:after="0"/>
              <w:rPr>
                <w:sz w:val="20"/>
                <w:szCs w:val="20"/>
                <w:color w:val="auto"/>
              </w:rPr>
            </w:pPr>
            <w:r>
              <w:rPr>
                <w:rFonts w:ascii="Courier New" w:cs="Courier New" w:eastAsia="Courier New" w:hAnsi="Courier New"/>
                <w:sz w:val="15"/>
                <w:szCs w:val="15"/>
                <w:color w:val="auto"/>
              </w:rPr>
              <w:t>Taxes on income</w:t>
            </w:r>
          </w:p>
        </w:tc>
        <w:tc>
          <w:tcPr>
            <w:tcW w:w="116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(175,677)</w:t>
            </w:r>
          </w:p>
        </w:tc>
        <w:tc>
          <w:tcPr>
            <w:tcW w:w="14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121,217</w:t>
            </w:r>
          </w:p>
        </w:tc>
        <w:tc>
          <w:tcPr>
            <w:tcW w:w="8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81,395</w:t>
            </w:r>
          </w:p>
        </w:tc>
      </w:tr>
      <w:tr>
        <w:trPr>
          <w:trHeight w:val="177"/>
        </w:trPr>
        <w:tc>
          <w:tcPr>
            <w:tcW w:w="3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8,174,182</w:t>
            </w:r>
          </w:p>
        </w:tc>
        <w:tc>
          <w:tcPr>
            <w:tcW w:w="14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7,064,073</w:t>
            </w:r>
          </w:p>
        </w:tc>
        <w:tc>
          <w:tcPr>
            <w:tcW w:w="8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6,244,666</w:t>
            </w:r>
          </w:p>
        </w:tc>
      </w:tr>
      <w:tr>
        <w:trPr>
          <w:trHeight w:val="177"/>
        </w:trPr>
        <w:tc>
          <w:tcPr>
            <w:tcW w:w="3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5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851,483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649,157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536,077</w:t>
            </w:r>
          </w:p>
        </w:tc>
      </w:tr>
      <w:tr>
        <w:trPr>
          <w:trHeight w:val="177"/>
        </w:trPr>
        <w:tc>
          <w:tcPr>
            <w:tcW w:w="35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22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w w:val="99"/>
              </w:rPr>
              <w:t>==========</w:t>
            </w:r>
          </w:p>
        </w:tc>
      </w:tr>
      <w:tr>
        <w:trPr>
          <w:trHeight w:val="355"/>
        </w:trPr>
        <w:tc>
          <w:tcPr>
            <w:tcW w:w="3540" w:type="dxa"/>
            <w:vAlign w:val="bottom"/>
          </w:tcPr>
          <w:p>
            <w:pPr>
              <w:spacing w:after="0"/>
              <w:rPr>
                <w:sz w:val="20"/>
                <w:szCs w:val="20"/>
                <w:color w:val="auto"/>
              </w:rPr>
            </w:pPr>
            <w:r>
              <w:rPr>
                <w:rFonts w:ascii="Courier New" w:cs="Courier New" w:eastAsia="Courier New" w:hAnsi="Courier New"/>
                <w:sz w:val="15"/>
                <w:szCs w:val="15"/>
                <w:color w:val="auto"/>
              </w:rPr>
              <w:t>Net income per share</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3.47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2.69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2.21</w:t>
            </w:r>
          </w:p>
        </w:tc>
      </w:tr>
      <w:tr>
        <w:trPr>
          <w:trHeight w:val="177"/>
        </w:trPr>
        <w:tc>
          <w:tcPr>
            <w:tcW w:w="35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22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3540" w:type="dxa"/>
            <w:vAlign w:val="bottom"/>
          </w:tcPr>
          <w:p>
            <w:pPr>
              <w:spacing w:after="0"/>
              <w:rPr>
                <w:sz w:val="20"/>
                <w:szCs w:val="20"/>
                <w:color w:val="auto"/>
              </w:rPr>
            </w:pPr>
            <w:r>
              <w:rPr>
                <w:rFonts w:ascii="Courier New" w:cs="Courier New" w:eastAsia="Courier New" w:hAnsi="Courier New"/>
                <w:sz w:val="15"/>
                <w:szCs w:val="15"/>
                <w:color w:val="auto"/>
              </w:rPr>
              <w:t>Average shares outstanding</w:t>
            </w:r>
          </w:p>
        </w:tc>
        <w:tc>
          <w:tcPr>
            <w:tcW w:w="116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245,021</w:t>
            </w:r>
          </w:p>
        </w:tc>
        <w:tc>
          <w:tcPr>
            <w:tcW w:w="14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242,374</w:t>
            </w:r>
          </w:p>
        </w:tc>
        <w:tc>
          <w:tcPr>
            <w:tcW w:w="8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243,423</w:t>
            </w:r>
          </w:p>
        </w:tc>
      </w:tr>
    </w:tbl>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8" w:lineRule="exact"/>
        <w:rPr>
          <w:sz w:val="20"/>
          <w:szCs w:val="20"/>
          <w:color w:val="auto"/>
        </w:rPr>
      </w:pPr>
    </w:p>
    <w:p>
      <w:pPr>
        <w:ind w:right="3579"/>
        <w:spacing w:after="0" w:line="253" w:lineRule="auto"/>
        <w:rPr>
          <w:sz w:val="20"/>
          <w:szCs w:val="20"/>
          <w:color w:val="auto"/>
        </w:rPr>
      </w:pPr>
      <w:r>
        <w:rPr>
          <w:rFonts w:ascii="Courier New" w:cs="Courier New" w:eastAsia="Courier New" w:hAnsi="Courier New"/>
          <w:sz w:val="15"/>
          <w:szCs w:val="15"/>
          <w:color w:val="auto"/>
        </w:rPr>
        <w:t>Schlumberger Limited (Schlumberger N.V., Incorporated in the Netherlands Antilles) and Subsidiary Companies</w:t>
      </w:r>
    </w:p>
    <w:p>
      <w:pPr>
        <w:spacing w:after="0" w:line="17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650" w:right="1440" w:bottom="1440" w:gutter="0" w:footer="0" w:header="0"/>
        </w:sectPr>
      </w:pPr>
    </w:p>
    <w:bookmarkStart w:id="27" w:name="page28"/>
    <w:bookmarkEnd w:id="27"/>
    <w:tbl>
      <w:tblPr>
        <w:tblLayout w:type="fixed"/>
        <w:tblInd w:w="5" w:type="dxa"/>
        <w:tblCellMar>
          <w:top w:w="0" w:type="dxa"/>
          <w:left w:w="0" w:type="dxa"/>
          <w:bottom w:w="0" w:type="dxa"/>
          <w:right w:w="0" w:type="dxa"/>
        </w:tblCellMar>
      </w:tblPr>
      <w:tr>
        <w:trPr>
          <w:trHeight w:val="172"/>
        </w:trPr>
        <w:tc>
          <w:tcPr>
            <w:tcW w:w="5160" w:type="dxa"/>
            <w:vAlign w:val="bottom"/>
          </w:tcPr>
          <w:p>
            <w:pPr>
              <w:spacing w:after="0"/>
              <w:rPr>
                <w:sz w:val="20"/>
                <w:szCs w:val="20"/>
                <w:color w:val="auto"/>
              </w:rPr>
            </w:pPr>
            <w:r>
              <w:rPr>
                <w:rFonts w:ascii="Courier New" w:cs="Courier New" w:eastAsia="Courier New" w:hAnsi="Courier New"/>
                <w:sz w:val="15"/>
                <w:szCs w:val="15"/>
                <w:color w:val="auto"/>
              </w:rPr>
              <w:t>CONSOLIDATED BALANCE SHEET</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710"/>
        </w:trPr>
        <w:tc>
          <w:tcPr>
            <w:tcW w:w="51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58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(Stated in thousands)</w:t>
            </w:r>
          </w:p>
        </w:tc>
      </w:tr>
      <w:tr>
        <w:trPr>
          <w:trHeight w:val="177"/>
        </w:trPr>
        <w:tc>
          <w:tcPr>
            <w:tcW w:w="516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1996</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1995</w:t>
            </w:r>
          </w:p>
        </w:tc>
      </w:tr>
      <w:tr>
        <w:trPr>
          <w:trHeight w:val="177"/>
        </w:trPr>
        <w:tc>
          <w:tcPr>
            <w:tcW w:w="51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1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7"/>
        </w:trPr>
        <w:tc>
          <w:tcPr>
            <w:tcW w:w="5160" w:type="dxa"/>
            <w:vAlign w:val="bottom"/>
          </w:tcPr>
          <w:p>
            <w:pPr>
              <w:ind w:left="460"/>
              <w:spacing w:after="0"/>
              <w:rPr>
                <w:sz w:val="20"/>
                <w:szCs w:val="20"/>
                <w:color w:val="auto"/>
              </w:rPr>
            </w:pPr>
            <w:r>
              <w:rPr>
                <w:rFonts w:ascii="Courier New" w:cs="Courier New" w:eastAsia="Courier New" w:hAnsi="Courier New"/>
                <w:sz w:val="15"/>
                <w:szCs w:val="15"/>
                <w:color w:val="auto"/>
              </w:rPr>
              <w:t>Cash and short-term investments</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$ 1,358,948</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$ 1,120,533</w:t>
            </w:r>
          </w:p>
        </w:tc>
      </w:tr>
      <w:tr>
        <w:trPr>
          <w:trHeight w:val="177"/>
        </w:trPr>
        <w:tc>
          <w:tcPr>
            <w:tcW w:w="5160" w:type="dxa"/>
            <w:vAlign w:val="bottom"/>
          </w:tcPr>
          <w:p>
            <w:pPr>
              <w:ind w:left="460"/>
              <w:spacing w:after="0"/>
              <w:rPr>
                <w:sz w:val="20"/>
                <w:szCs w:val="20"/>
                <w:color w:val="auto"/>
              </w:rPr>
            </w:pPr>
            <w:r>
              <w:rPr>
                <w:rFonts w:ascii="Courier New" w:cs="Courier New" w:eastAsia="Courier New" w:hAnsi="Courier New"/>
                <w:sz w:val="15"/>
                <w:szCs w:val="15"/>
                <w:color w:val="auto"/>
              </w:rPr>
              <w:t>Receivables less allowance for doubtful accounts</w:t>
            </w: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5160" w:type="dxa"/>
            <w:vAlign w:val="bottom"/>
          </w:tcPr>
          <w:p>
            <w:pPr>
              <w:ind w:left="640"/>
              <w:spacing w:after="0"/>
              <w:rPr>
                <w:sz w:val="20"/>
                <w:szCs w:val="20"/>
                <w:color w:val="auto"/>
              </w:rPr>
            </w:pPr>
            <w:r>
              <w:rPr>
                <w:rFonts w:ascii="Courier New" w:cs="Courier New" w:eastAsia="Courier New" w:hAnsi="Courier New"/>
                <w:sz w:val="15"/>
                <w:szCs w:val="15"/>
                <w:color w:val="auto"/>
              </w:rPr>
              <w:t>(1996 $58,981; 1995 $58,246)</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2,260,091</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1,939,873</w:t>
            </w:r>
          </w:p>
        </w:tc>
      </w:tr>
      <w:tr>
        <w:trPr>
          <w:trHeight w:val="177"/>
        </w:trPr>
        <w:tc>
          <w:tcPr>
            <w:tcW w:w="5160" w:type="dxa"/>
            <w:vAlign w:val="bottom"/>
          </w:tcPr>
          <w:p>
            <w:pPr>
              <w:ind w:left="460"/>
              <w:spacing w:after="0"/>
              <w:rPr>
                <w:sz w:val="20"/>
                <w:szCs w:val="20"/>
                <w:color w:val="auto"/>
              </w:rPr>
            </w:pPr>
            <w:r>
              <w:rPr>
                <w:rFonts w:ascii="Courier New" w:cs="Courier New" w:eastAsia="Courier New" w:hAnsi="Courier New"/>
                <w:sz w:val="15"/>
                <w:szCs w:val="15"/>
                <w:color w:val="auto"/>
              </w:rPr>
              <w:t>Inventories</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938,974</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782,168</w:t>
            </w:r>
          </w:p>
        </w:tc>
      </w:tr>
      <w:tr>
        <w:trPr>
          <w:trHeight w:val="177"/>
        </w:trPr>
        <w:tc>
          <w:tcPr>
            <w:tcW w:w="5160" w:type="dxa"/>
            <w:vAlign w:val="bottom"/>
          </w:tcPr>
          <w:p>
            <w:pPr>
              <w:ind w:left="460"/>
              <w:spacing w:after="0"/>
              <w:rPr>
                <w:sz w:val="20"/>
                <w:szCs w:val="20"/>
                <w:color w:val="auto"/>
              </w:rPr>
            </w:pPr>
            <w:r>
              <w:rPr>
                <w:rFonts w:ascii="Courier New" w:cs="Courier New" w:eastAsia="Courier New" w:hAnsi="Courier New"/>
                <w:sz w:val="15"/>
                <w:szCs w:val="15"/>
                <w:color w:val="auto"/>
              </w:rPr>
              <w:t>Deferred taxes on income</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222,456</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160" w:type="dxa"/>
            <w:vAlign w:val="bottom"/>
          </w:tcPr>
          <w:p>
            <w:pPr>
              <w:ind w:left="460"/>
              <w:spacing w:after="0"/>
              <w:rPr>
                <w:sz w:val="20"/>
                <w:szCs w:val="20"/>
                <w:color w:val="auto"/>
              </w:rPr>
            </w:pPr>
            <w:r>
              <w:rPr>
                <w:rFonts w:ascii="Courier New" w:cs="Courier New" w:eastAsia="Courier New" w:hAnsi="Courier New"/>
                <w:sz w:val="15"/>
                <w:szCs w:val="15"/>
                <w:color w:val="auto"/>
              </w:rPr>
              <w:t>Other current assets</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262,148</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181,129</w:t>
            </w:r>
          </w:p>
        </w:tc>
      </w:tr>
      <w:tr>
        <w:trPr>
          <w:trHeight w:val="177"/>
        </w:trPr>
        <w:tc>
          <w:tcPr>
            <w:tcW w:w="51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160" w:type="dxa"/>
            <w:vAlign w:val="bottom"/>
          </w:tcPr>
          <w:p>
            <w:pPr>
              <w:spacing w:after="0"/>
              <w:rPr>
                <w:sz w:val="15"/>
                <w:szCs w:val="15"/>
                <w:color w:val="auto"/>
              </w:rPr>
            </w:pP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5,042,617</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4,023,703</w:t>
            </w:r>
          </w:p>
        </w:tc>
      </w:tr>
      <w:tr>
        <w:trPr>
          <w:trHeight w:val="177"/>
        </w:trPr>
        <w:tc>
          <w:tcPr>
            <w:tcW w:w="5160" w:type="dxa"/>
            <w:vAlign w:val="bottom"/>
          </w:tcPr>
          <w:p>
            <w:pPr>
              <w:spacing w:after="0"/>
              <w:rPr>
                <w:sz w:val="20"/>
                <w:szCs w:val="20"/>
                <w:color w:val="auto"/>
              </w:rPr>
            </w:pPr>
            <w:r>
              <w:rPr>
                <w:rFonts w:ascii="Courier New" w:cs="Courier New" w:eastAsia="Courier New" w:hAnsi="Courier New"/>
                <w:sz w:val="15"/>
                <w:szCs w:val="15"/>
                <w:color w:val="auto"/>
              </w:rPr>
              <w:t>Long-Term Investments, held to maturity</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323,717</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279,950</w:t>
            </w:r>
          </w:p>
        </w:tc>
      </w:tr>
      <w:tr>
        <w:trPr>
          <w:trHeight w:val="177"/>
        </w:trPr>
        <w:tc>
          <w:tcPr>
            <w:tcW w:w="5160" w:type="dxa"/>
            <w:vAlign w:val="bottom"/>
          </w:tcPr>
          <w:p>
            <w:pPr>
              <w:spacing w:after="0"/>
              <w:rPr>
                <w:sz w:val="20"/>
                <w:szCs w:val="20"/>
                <w:color w:val="auto"/>
              </w:rPr>
            </w:pPr>
            <w:r>
              <w:rPr>
                <w:rFonts w:ascii="Courier New" w:cs="Courier New" w:eastAsia="Courier New" w:hAnsi="Courier New"/>
                <w:sz w:val="15"/>
                <w:szCs w:val="15"/>
                <w:color w:val="auto"/>
              </w:rPr>
              <w:t>Fixed Assets less accumulated depreciation</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3,358,581</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3,118,458</w:t>
            </w:r>
          </w:p>
        </w:tc>
      </w:tr>
      <w:tr>
        <w:trPr>
          <w:trHeight w:val="177"/>
        </w:trPr>
        <w:tc>
          <w:tcPr>
            <w:tcW w:w="5160" w:type="dxa"/>
            <w:vAlign w:val="bottom"/>
          </w:tcPr>
          <w:p>
            <w:pPr>
              <w:spacing w:after="0"/>
              <w:rPr>
                <w:sz w:val="20"/>
                <w:szCs w:val="20"/>
                <w:color w:val="auto"/>
              </w:rPr>
            </w:pPr>
            <w:r>
              <w:rPr>
                <w:rFonts w:ascii="Courier New" w:cs="Courier New" w:eastAsia="Courier New" w:hAnsi="Courier New"/>
                <w:sz w:val="15"/>
                <w:szCs w:val="15"/>
                <w:color w:val="auto"/>
              </w:rPr>
              <w:t>Excess of Investment Over Net Assets</w:t>
            </w: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5160" w:type="dxa"/>
            <w:vAlign w:val="bottom"/>
          </w:tcPr>
          <w:p>
            <w:pPr>
              <w:ind w:left="460"/>
              <w:spacing w:after="0"/>
              <w:rPr>
                <w:sz w:val="20"/>
                <w:szCs w:val="20"/>
                <w:color w:val="auto"/>
              </w:rPr>
            </w:pPr>
            <w:r>
              <w:rPr>
                <w:rFonts w:ascii="Courier New" w:cs="Courier New" w:eastAsia="Courier New" w:hAnsi="Courier New"/>
                <w:sz w:val="15"/>
                <w:szCs w:val="15"/>
                <w:color w:val="auto"/>
              </w:rPr>
              <w:t>of Companies Purchased less amortization</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1,225,335</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1,330,490</w:t>
            </w:r>
          </w:p>
        </w:tc>
      </w:tr>
      <w:tr>
        <w:trPr>
          <w:trHeight w:val="177"/>
        </w:trPr>
        <w:tc>
          <w:tcPr>
            <w:tcW w:w="5160" w:type="dxa"/>
            <w:vAlign w:val="bottom"/>
          </w:tcPr>
          <w:p>
            <w:pPr>
              <w:spacing w:after="0"/>
              <w:rPr>
                <w:sz w:val="20"/>
                <w:szCs w:val="20"/>
                <w:color w:val="auto"/>
              </w:rPr>
            </w:pPr>
            <w:r>
              <w:rPr>
                <w:rFonts w:ascii="Courier New" w:cs="Courier New" w:eastAsia="Courier New" w:hAnsi="Courier New"/>
                <w:sz w:val="15"/>
                <w:szCs w:val="15"/>
                <w:color w:val="auto"/>
              </w:rPr>
              <w:t>Deferred Taxes on Income</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203,983</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16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170,818</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157,499</w:t>
            </w:r>
          </w:p>
        </w:tc>
      </w:tr>
      <w:tr>
        <w:trPr>
          <w:trHeight w:val="177"/>
        </w:trPr>
        <w:tc>
          <w:tcPr>
            <w:tcW w:w="51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160" w:type="dxa"/>
            <w:vAlign w:val="bottom"/>
          </w:tcPr>
          <w:p>
            <w:pPr>
              <w:spacing w:after="0"/>
              <w:rPr>
                <w:sz w:val="15"/>
                <w:szCs w:val="15"/>
                <w:color w:val="auto"/>
              </w:rPr>
            </w:pP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$10,325,051</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$ 8,910,100</w:t>
            </w:r>
          </w:p>
        </w:tc>
      </w:tr>
      <w:tr>
        <w:trPr>
          <w:trHeight w:val="177"/>
        </w:trPr>
        <w:tc>
          <w:tcPr>
            <w:tcW w:w="5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355"/>
        </w:trPr>
        <w:tc>
          <w:tcPr>
            <w:tcW w:w="516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7"/>
        </w:trPr>
        <w:tc>
          <w:tcPr>
            <w:tcW w:w="51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1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7"/>
        </w:trPr>
        <w:tc>
          <w:tcPr>
            <w:tcW w:w="5160" w:type="dxa"/>
            <w:vAlign w:val="bottom"/>
          </w:tcPr>
          <w:p>
            <w:pPr>
              <w:ind w:left="460"/>
              <w:spacing w:after="0"/>
              <w:rPr>
                <w:sz w:val="20"/>
                <w:szCs w:val="20"/>
                <w:color w:val="auto"/>
              </w:rPr>
            </w:pPr>
            <w:r>
              <w:rPr>
                <w:rFonts w:ascii="Courier New" w:cs="Courier New" w:eastAsia="Courier New" w:hAnsi="Courier New"/>
                <w:sz w:val="15"/>
                <w:szCs w:val="15"/>
                <w:color w:val="auto"/>
              </w:rPr>
              <w:t>Accounts payable and accrued liabilities</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$ 2,200,161</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$ 1,773,605</w:t>
            </w:r>
          </w:p>
        </w:tc>
      </w:tr>
      <w:tr>
        <w:trPr>
          <w:trHeight w:val="177"/>
        </w:trPr>
        <w:tc>
          <w:tcPr>
            <w:tcW w:w="5160" w:type="dxa"/>
            <w:vAlign w:val="bottom"/>
          </w:tcPr>
          <w:p>
            <w:pPr>
              <w:ind w:left="460"/>
              <w:spacing w:after="0"/>
              <w:rPr>
                <w:sz w:val="20"/>
                <w:szCs w:val="20"/>
                <w:color w:val="auto"/>
              </w:rPr>
            </w:pPr>
            <w:r>
              <w:rPr>
                <w:rFonts w:ascii="Courier New" w:cs="Courier New" w:eastAsia="Courier New" w:hAnsi="Courier New"/>
                <w:sz w:val="15"/>
                <w:szCs w:val="15"/>
                <w:color w:val="auto"/>
              </w:rPr>
              <w:t>Estimated liability for taxes on income</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367,562</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299,841</w:t>
            </w:r>
          </w:p>
        </w:tc>
      </w:tr>
      <w:tr>
        <w:trPr>
          <w:trHeight w:val="177"/>
        </w:trPr>
        <w:tc>
          <w:tcPr>
            <w:tcW w:w="5160" w:type="dxa"/>
            <w:vAlign w:val="bottom"/>
          </w:tcPr>
          <w:p>
            <w:pPr>
              <w:ind w:left="460"/>
              <w:spacing w:after="0"/>
              <w:rPr>
                <w:sz w:val="20"/>
                <w:szCs w:val="20"/>
                <w:color w:val="auto"/>
              </w:rPr>
            </w:pPr>
            <w:r>
              <w:rPr>
                <w:rFonts w:ascii="Courier New" w:cs="Courier New" w:eastAsia="Courier New" w:hAnsi="Courier New"/>
                <w:sz w:val="15"/>
                <w:szCs w:val="15"/>
                <w:color w:val="auto"/>
              </w:rPr>
              <w:t>Bank loans</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743,018</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515,703</w:t>
            </w:r>
          </w:p>
        </w:tc>
      </w:tr>
      <w:tr>
        <w:trPr>
          <w:trHeight w:val="177"/>
        </w:trPr>
        <w:tc>
          <w:tcPr>
            <w:tcW w:w="5160" w:type="dxa"/>
            <w:vAlign w:val="bottom"/>
          </w:tcPr>
          <w:p>
            <w:pPr>
              <w:ind w:left="460"/>
              <w:spacing w:after="0"/>
              <w:rPr>
                <w:sz w:val="20"/>
                <w:szCs w:val="20"/>
                <w:color w:val="auto"/>
              </w:rPr>
            </w:pPr>
            <w:r>
              <w:rPr>
                <w:rFonts w:ascii="Courier New" w:cs="Courier New" w:eastAsia="Courier New" w:hAnsi="Courier New"/>
                <w:sz w:val="15"/>
                <w:szCs w:val="15"/>
                <w:color w:val="auto"/>
              </w:rPr>
              <w:t>Dividend payable</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92,842</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91,706</w:t>
            </w:r>
          </w:p>
        </w:tc>
      </w:tr>
      <w:tr>
        <w:trPr>
          <w:trHeight w:val="177"/>
        </w:trPr>
        <w:tc>
          <w:tcPr>
            <w:tcW w:w="5160" w:type="dxa"/>
            <w:vAlign w:val="bottom"/>
          </w:tcPr>
          <w:p>
            <w:pPr>
              <w:ind w:left="460"/>
              <w:spacing w:after="0"/>
              <w:rPr>
                <w:sz w:val="20"/>
                <w:szCs w:val="20"/>
                <w:color w:val="auto"/>
              </w:rPr>
            </w:pPr>
            <w:r>
              <w:rPr>
                <w:rFonts w:ascii="Courier New" w:cs="Courier New" w:eastAsia="Courier New" w:hAnsi="Courier New"/>
                <w:sz w:val="15"/>
                <w:szCs w:val="15"/>
                <w:color w:val="auto"/>
              </w:rPr>
              <w:t>Long-term debt due within one year</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70,827</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83,417</w:t>
            </w:r>
          </w:p>
        </w:tc>
      </w:tr>
      <w:tr>
        <w:trPr>
          <w:trHeight w:val="177"/>
        </w:trPr>
        <w:tc>
          <w:tcPr>
            <w:tcW w:w="51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160" w:type="dxa"/>
            <w:vAlign w:val="bottom"/>
          </w:tcPr>
          <w:p>
            <w:pPr>
              <w:spacing w:after="0"/>
              <w:rPr>
                <w:sz w:val="15"/>
                <w:szCs w:val="15"/>
                <w:color w:val="auto"/>
              </w:rPr>
            </w:pP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3,474,410</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2,764,272</w:t>
            </w:r>
          </w:p>
        </w:tc>
      </w:tr>
      <w:tr>
        <w:trPr>
          <w:trHeight w:val="177"/>
        </w:trPr>
        <w:tc>
          <w:tcPr>
            <w:tcW w:w="516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637,203</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613,404</w:t>
            </w:r>
          </w:p>
        </w:tc>
      </w:tr>
      <w:tr>
        <w:trPr>
          <w:trHeight w:val="177"/>
        </w:trPr>
        <w:tc>
          <w:tcPr>
            <w:tcW w:w="5160" w:type="dxa"/>
            <w:vAlign w:val="bottom"/>
          </w:tcPr>
          <w:p>
            <w:pPr>
              <w:spacing w:after="0"/>
              <w:rPr>
                <w:sz w:val="20"/>
                <w:szCs w:val="20"/>
                <w:color w:val="auto"/>
              </w:rPr>
            </w:pPr>
            <w:r>
              <w:rPr>
                <w:rFonts w:ascii="Courier New" w:cs="Courier New" w:eastAsia="Courier New" w:hAnsi="Courier New"/>
                <w:sz w:val="15"/>
                <w:szCs w:val="15"/>
                <w:color w:val="auto"/>
              </w:rPr>
              <w:t>Postretirement Benefits</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383,129</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354,830</w:t>
            </w:r>
          </w:p>
        </w:tc>
      </w:tr>
      <w:tr>
        <w:trPr>
          <w:trHeight w:val="177"/>
        </w:trPr>
        <w:tc>
          <w:tcPr>
            <w:tcW w:w="516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203,929</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213,577</w:t>
            </w:r>
          </w:p>
        </w:tc>
      </w:tr>
      <w:tr>
        <w:trPr>
          <w:trHeight w:val="177"/>
        </w:trPr>
        <w:tc>
          <w:tcPr>
            <w:tcW w:w="51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160" w:type="dxa"/>
            <w:vAlign w:val="bottom"/>
          </w:tcPr>
          <w:p>
            <w:pPr>
              <w:spacing w:after="0"/>
              <w:rPr>
                <w:sz w:val="15"/>
                <w:szCs w:val="15"/>
                <w:color w:val="auto"/>
              </w:rPr>
            </w:pP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4,698,671</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3,946,083</w:t>
            </w:r>
          </w:p>
        </w:tc>
      </w:tr>
      <w:tr>
        <w:trPr>
          <w:trHeight w:val="177"/>
        </w:trPr>
        <w:tc>
          <w:tcPr>
            <w:tcW w:w="51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1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7"/>
        </w:trPr>
        <w:tc>
          <w:tcPr>
            <w:tcW w:w="5160" w:type="dxa"/>
            <w:vAlign w:val="bottom"/>
          </w:tcPr>
          <w:p>
            <w:pPr>
              <w:ind w:left="460"/>
              <w:spacing w:after="0"/>
              <w:rPr>
                <w:sz w:val="20"/>
                <w:szCs w:val="20"/>
                <w:color w:val="auto"/>
              </w:rPr>
            </w:pPr>
            <w:r>
              <w:rPr>
                <w:rFonts w:ascii="Courier New" w:cs="Courier New" w:eastAsia="Courier New" w:hAnsi="Courier New"/>
                <w:sz w:val="15"/>
                <w:szCs w:val="15"/>
                <w:color w:val="auto"/>
              </w:rPr>
              <w:t>Common stock</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818,803</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737,328</w:t>
            </w:r>
          </w:p>
        </w:tc>
      </w:tr>
      <w:tr>
        <w:trPr>
          <w:trHeight w:val="177"/>
        </w:trPr>
        <w:tc>
          <w:tcPr>
            <w:tcW w:w="5160" w:type="dxa"/>
            <w:vAlign w:val="bottom"/>
          </w:tcPr>
          <w:p>
            <w:pPr>
              <w:ind w:left="460"/>
              <w:spacing w:after="0"/>
              <w:rPr>
                <w:sz w:val="20"/>
                <w:szCs w:val="20"/>
                <w:color w:val="auto"/>
              </w:rPr>
            </w:pPr>
            <w:r>
              <w:rPr>
                <w:rFonts w:ascii="Courier New" w:cs="Courier New" w:eastAsia="Courier New" w:hAnsi="Courier New"/>
                <w:sz w:val="15"/>
                <w:szCs w:val="15"/>
                <w:color w:val="auto"/>
              </w:rPr>
              <w:t>Income retained for use in the business</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7,137,744</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6,654,072</w:t>
            </w:r>
          </w:p>
        </w:tc>
      </w:tr>
      <w:tr>
        <w:trPr>
          <w:trHeight w:val="177"/>
        </w:trPr>
        <w:tc>
          <w:tcPr>
            <w:tcW w:w="5160" w:type="dxa"/>
            <w:vAlign w:val="bottom"/>
          </w:tcPr>
          <w:p>
            <w:pPr>
              <w:ind w:left="460"/>
              <w:spacing w:after="0"/>
              <w:rPr>
                <w:sz w:val="20"/>
                <w:szCs w:val="20"/>
                <w:color w:val="auto"/>
              </w:rPr>
            </w:pPr>
            <w:r>
              <w:rPr>
                <w:rFonts w:ascii="Courier New" w:cs="Courier New" w:eastAsia="Courier New" w:hAnsi="Courier New"/>
                <w:sz w:val="15"/>
                <w:szCs w:val="15"/>
                <w:color w:val="auto"/>
              </w:rPr>
              <w:t>Treasury stock at cost</w:t>
            </w:r>
          </w:p>
        </w:tc>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(2,315,946)</w:t>
            </w: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(2,414,577)</w:t>
            </w:r>
          </w:p>
        </w:tc>
      </w:tr>
      <w:tr>
        <w:trPr>
          <w:trHeight w:val="177"/>
        </w:trPr>
        <w:tc>
          <w:tcPr>
            <w:tcW w:w="5160" w:type="dxa"/>
            <w:vAlign w:val="bottom"/>
          </w:tcPr>
          <w:p>
            <w:pPr>
              <w:ind w:left="460"/>
              <w:spacing w:after="0"/>
              <w:rPr>
                <w:sz w:val="20"/>
                <w:szCs w:val="20"/>
                <w:color w:val="auto"/>
              </w:rPr>
            </w:pPr>
            <w:r>
              <w:rPr>
                <w:rFonts w:ascii="Courier New" w:cs="Courier New" w:eastAsia="Courier New" w:hAnsi="Courier New"/>
                <w:sz w:val="15"/>
                <w:szCs w:val="15"/>
                <w:color w:val="auto"/>
              </w:rPr>
              <w:t>Translation adjustment</w:t>
            </w:r>
          </w:p>
        </w:tc>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(14,221)</w:t>
            </w: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(12,806)</w:t>
            </w:r>
          </w:p>
        </w:tc>
      </w:tr>
      <w:tr>
        <w:trPr>
          <w:trHeight w:val="177"/>
        </w:trPr>
        <w:tc>
          <w:tcPr>
            <w:tcW w:w="51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160" w:type="dxa"/>
            <w:vAlign w:val="bottom"/>
          </w:tcPr>
          <w:p>
            <w:pPr>
              <w:spacing w:after="0"/>
              <w:rPr>
                <w:sz w:val="15"/>
                <w:szCs w:val="15"/>
                <w:color w:val="auto"/>
              </w:rPr>
            </w:pP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5,626,380</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4,964,017</w:t>
            </w:r>
          </w:p>
        </w:tc>
      </w:tr>
      <w:tr>
        <w:trPr>
          <w:trHeight w:val="177"/>
        </w:trPr>
        <w:tc>
          <w:tcPr>
            <w:tcW w:w="51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160" w:type="dxa"/>
            <w:vAlign w:val="bottom"/>
          </w:tcPr>
          <w:p>
            <w:pPr>
              <w:spacing w:after="0"/>
              <w:rPr>
                <w:sz w:val="15"/>
                <w:szCs w:val="15"/>
                <w:color w:val="auto"/>
              </w:rPr>
            </w:pP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$10,325,051</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$ 8,910,100</w:t>
            </w:r>
          </w:p>
        </w:tc>
      </w:tr>
      <w:tr>
        <w:trPr>
          <w:trHeight w:val="177"/>
        </w:trPr>
        <w:tc>
          <w:tcPr>
            <w:tcW w:w="5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8" w:lineRule="exact"/>
        <w:rPr>
          <w:sz w:val="20"/>
          <w:szCs w:val="20"/>
          <w:color w:val="auto"/>
        </w:rPr>
      </w:pPr>
    </w:p>
    <w:p>
      <w:pPr>
        <w:ind w:left="5" w:right="3579"/>
        <w:spacing w:after="0" w:line="250" w:lineRule="auto"/>
        <w:rPr>
          <w:sz w:val="20"/>
          <w:szCs w:val="20"/>
          <w:color w:val="auto"/>
        </w:rPr>
      </w:pPr>
      <w:r>
        <w:rPr>
          <w:rFonts w:ascii="Courier New" w:cs="Courier New" w:eastAsia="Courier New" w:hAnsi="Courier New"/>
          <w:sz w:val="15"/>
          <w:szCs w:val="15"/>
          <w:color w:val="auto"/>
        </w:rPr>
        <w:t>Schlumberger Limited (Schlumberger N.V., Incorporated in the Netherlands Antilles) and Subsidiary Companies</w:t>
      </w:r>
    </w:p>
    <w:p>
      <w:pPr>
        <w:spacing w:after="0" w:line="1" w:lineRule="exact"/>
        <w:rPr>
          <w:sz w:val="20"/>
          <w:szCs w:val="20"/>
          <w:color w:val="auto"/>
        </w:rPr>
      </w:pPr>
    </w:p>
    <w:p>
      <w:pPr>
        <w:ind w:left="185" w:hanging="185"/>
        <w:spacing w:after="0"/>
        <w:tabs>
          <w:tab w:leader="none" w:pos="18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4" w:lineRule="exact"/>
        <w:rPr>
          <w:rFonts w:ascii="Courier New" w:cs="Courier New" w:eastAsia="Courier New" w:hAnsi="Courier New"/>
          <w:sz w:val="15"/>
          <w:szCs w:val="15"/>
          <w:color w:val="auto"/>
        </w:rPr>
      </w:pPr>
    </w:p>
    <w:p>
      <w:pPr>
        <w:ind w:left="350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F-3</w:t>
      </w:r>
    </w:p>
    <w:p>
      <w:pPr>
        <w:sectPr>
          <w:pgSz w:w="11900" w:h="16838" w:orient="portrait"/>
          <w:cols w:equalWidth="0" w:num="1">
            <w:col w:w="10225"/>
          </w:cols>
          <w:pgMar w:left="235" w:top="650" w:right="1440" w:bottom="1440" w:gutter="0" w:footer="0" w:header="0"/>
        </w:sectPr>
      </w:pPr>
    </w:p>
    <w:bookmarkStart w:id="28" w:name="page29"/>
    <w:bookmarkEnd w:id="28"/>
    <w:tbl>
      <w:tblPr>
        <w:tblLayout w:type="fixed"/>
        <w:tblInd w:w="5" w:type="dxa"/>
        <w:tblCellMar>
          <w:top w:w="0" w:type="dxa"/>
          <w:left w:w="0" w:type="dxa"/>
          <w:bottom w:w="0" w:type="dxa"/>
          <w:right w:w="0" w:type="dxa"/>
        </w:tblCellMar>
      </w:tblPr>
      <w:tr>
        <w:trPr>
          <w:trHeight w:val="172"/>
        </w:trPr>
        <w:tc>
          <w:tcPr>
            <w:tcW w:w="470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STATEMENT OF STOCKHOLDERS' EQUITY</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887"/>
        </w:trPr>
        <w:tc>
          <w:tcPr>
            <w:tcW w:w="3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2"/>
          </w:tcPr>
          <w:p>
            <w:pPr>
              <w:jc w:val="right"/>
              <w:ind w:right="943"/>
              <w:spacing w:after="0"/>
              <w:rPr>
                <w:sz w:val="20"/>
                <w:szCs w:val="20"/>
                <w:color w:val="auto"/>
              </w:rPr>
            </w:pPr>
            <w:r>
              <w:rPr>
                <w:rFonts w:ascii="Courier New" w:cs="Courier New" w:eastAsia="Courier New" w:hAnsi="Courier New"/>
                <w:sz w:val="15"/>
                <w:szCs w:val="15"/>
                <w:color w:val="auto"/>
              </w:rPr>
              <w:t>COMMON STOCK</w:t>
            </w:r>
          </w:p>
        </w:tc>
        <w:tc>
          <w:tcPr>
            <w:tcW w:w="1300" w:type="dxa"/>
            <w:vAlign w:val="bottom"/>
          </w:tcPr>
          <w:p>
            <w:pPr>
              <w:spacing w:after="0"/>
              <w:rPr>
                <w:sz w:val="24"/>
                <w:szCs w:val="24"/>
                <w:color w:val="auto"/>
              </w:rPr>
            </w:pPr>
          </w:p>
        </w:tc>
        <w:tc>
          <w:tcPr>
            <w:tcW w:w="27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(Dollar amounts in thousands)</w:t>
            </w:r>
          </w:p>
        </w:tc>
      </w:tr>
      <w:tr>
        <w:trPr>
          <w:trHeight w:val="177"/>
        </w:trPr>
        <w:tc>
          <w:tcPr>
            <w:tcW w:w="3140" w:type="dxa"/>
            <w:vAlign w:val="bottom"/>
          </w:tcPr>
          <w:p>
            <w:pPr>
              <w:spacing w:after="0"/>
              <w:rPr>
                <w:sz w:val="15"/>
                <w:szCs w:val="15"/>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4"/>
              </w:rPr>
              <w:t>------------------------------------------------------</w:t>
            </w: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r>
      <w:tr>
        <w:trPr>
          <w:trHeight w:val="177"/>
        </w:trPr>
        <w:tc>
          <w:tcPr>
            <w:tcW w:w="3140" w:type="dxa"/>
            <w:vAlign w:val="bottom"/>
          </w:tcPr>
          <w:p>
            <w:pPr>
              <w:spacing w:after="0"/>
              <w:rPr>
                <w:sz w:val="15"/>
                <w:szCs w:val="15"/>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ISSUED</w:t>
            </w:r>
          </w:p>
        </w:tc>
        <w:tc>
          <w:tcPr>
            <w:tcW w:w="1020" w:type="dxa"/>
            <w:vAlign w:val="bottom"/>
          </w:tcPr>
          <w:p>
            <w:pPr>
              <w:spacing w:after="0"/>
              <w:rPr>
                <w:sz w:val="15"/>
                <w:szCs w:val="15"/>
                <w:color w:val="auto"/>
              </w:rPr>
            </w:pPr>
          </w:p>
        </w:tc>
        <w:tc>
          <w:tcPr>
            <w:tcW w:w="2720" w:type="dxa"/>
            <w:vAlign w:val="bottom"/>
            <w:gridSpan w:val="2"/>
          </w:tcPr>
          <w:p>
            <w:pPr>
              <w:jc w:val="right"/>
              <w:ind w:right="943"/>
              <w:spacing w:after="0"/>
              <w:rPr>
                <w:sz w:val="20"/>
                <w:szCs w:val="20"/>
                <w:color w:val="auto"/>
              </w:rPr>
            </w:pPr>
            <w:r>
              <w:rPr>
                <w:rFonts w:ascii="Courier New" w:cs="Courier New" w:eastAsia="Courier New" w:hAnsi="Courier New"/>
                <w:sz w:val="15"/>
                <w:szCs w:val="15"/>
                <w:color w:val="auto"/>
              </w:rPr>
              <w:t>IN TREASURY</w:t>
            </w:r>
          </w:p>
        </w:tc>
        <w:tc>
          <w:tcPr>
            <w:tcW w:w="1340" w:type="dxa"/>
            <w:vAlign w:val="bottom"/>
          </w:tcPr>
          <w:p>
            <w:pPr>
              <w:spacing w:after="0"/>
              <w:rPr>
                <w:sz w:val="15"/>
                <w:szCs w:val="15"/>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RETAINED FOR</w:t>
            </w:r>
          </w:p>
        </w:tc>
      </w:tr>
      <w:tr>
        <w:trPr>
          <w:trHeight w:val="177"/>
        </w:trPr>
        <w:tc>
          <w:tcPr>
            <w:tcW w:w="3140" w:type="dxa"/>
            <w:vAlign w:val="bottom"/>
          </w:tcPr>
          <w:p>
            <w:pPr>
              <w:spacing w:after="0"/>
              <w:rPr>
                <w:sz w:val="15"/>
                <w:szCs w:val="15"/>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4"/>
              </w:rPr>
              <w:t>-------------------------</w:t>
            </w:r>
          </w:p>
        </w:tc>
        <w:tc>
          <w:tcPr>
            <w:tcW w:w="1020" w:type="dxa"/>
            <w:vAlign w:val="bottom"/>
          </w:tcPr>
          <w:p>
            <w:pPr>
              <w:spacing w:after="0"/>
              <w:rPr>
                <w:sz w:val="15"/>
                <w:szCs w:val="15"/>
                <w:color w:val="auto"/>
              </w:rPr>
            </w:pPr>
          </w:p>
        </w:tc>
        <w:tc>
          <w:tcPr>
            <w:tcW w:w="27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80"/>
              <w:spacing w:after="0"/>
              <w:rPr>
                <w:sz w:val="20"/>
                <w:szCs w:val="20"/>
                <w:color w:val="auto"/>
              </w:rPr>
            </w:pPr>
            <w:r>
              <w:rPr>
                <w:rFonts w:ascii="Courier New" w:cs="Courier New" w:eastAsia="Courier New" w:hAnsi="Courier New"/>
                <w:sz w:val="15"/>
                <w:szCs w:val="15"/>
                <w:color w:val="auto"/>
              </w:rPr>
              <w:t>TRANSLATION</w:t>
            </w: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USE IN</w:t>
            </w:r>
          </w:p>
        </w:tc>
      </w:tr>
      <w:tr>
        <w:trPr>
          <w:trHeight w:val="177"/>
        </w:trPr>
        <w:tc>
          <w:tcPr>
            <w:tcW w:w="3140" w:type="dxa"/>
            <w:vAlign w:val="bottom"/>
          </w:tcPr>
          <w:p>
            <w:pPr>
              <w:spacing w:after="0"/>
              <w:rPr>
                <w:sz w:val="15"/>
                <w:szCs w:val="15"/>
                <w:color w:val="auto"/>
              </w:rPr>
            </w:pPr>
          </w:p>
        </w:tc>
        <w:tc>
          <w:tcPr>
            <w:tcW w:w="156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SHARES</w:t>
            </w:r>
          </w:p>
        </w:tc>
        <w:tc>
          <w:tcPr>
            <w:tcW w:w="140" w:type="dxa"/>
            <w:vAlign w:val="bottom"/>
          </w:tcPr>
          <w:p>
            <w:pPr>
              <w:spacing w:after="0"/>
              <w:rPr>
                <w:sz w:val="15"/>
                <w:szCs w:val="15"/>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AMOUNT</w:t>
            </w:r>
          </w:p>
        </w:tc>
        <w:tc>
          <w:tcPr>
            <w:tcW w:w="142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SHARES</w:t>
            </w:r>
          </w:p>
        </w:tc>
        <w:tc>
          <w:tcPr>
            <w:tcW w:w="13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AMOUNT</w:t>
            </w:r>
          </w:p>
        </w:tc>
        <w:tc>
          <w:tcPr>
            <w:tcW w:w="1340" w:type="dxa"/>
            <w:vAlign w:val="bottom"/>
          </w:tcPr>
          <w:p>
            <w:pPr>
              <w:ind w:left="80"/>
              <w:spacing w:after="0"/>
              <w:rPr>
                <w:sz w:val="20"/>
                <w:szCs w:val="20"/>
                <w:color w:val="auto"/>
              </w:rPr>
            </w:pPr>
            <w:r>
              <w:rPr>
                <w:rFonts w:ascii="Courier New" w:cs="Courier New" w:eastAsia="Courier New" w:hAnsi="Courier New"/>
                <w:sz w:val="15"/>
                <w:szCs w:val="15"/>
                <w:color w:val="auto"/>
              </w:rPr>
              <w:t>ADJUSTMENT</w:t>
            </w: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THE BUSINESS</w:t>
            </w: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center"/>
              <w:ind w:left="63"/>
              <w:spacing w:after="0"/>
              <w:rPr>
                <w:sz w:val="20"/>
                <w:szCs w:val="20"/>
                <w:color w:val="auto"/>
              </w:rPr>
            </w:pPr>
            <w:r>
              <w:rPr>
                <w:rFonts w:ascii="Courier New" w:cs="Courier New" w:eastAsia="Courier New" w:hAnsi="Courier New"/>
                <w:sz w:val="15"/>
                <w:szCs w:val="15"/>
                <w:color w:val="auto"/>
              </w:rPr>
              <w:t>------------</w:t>
            </w:r>
          </w:p>
        </w:tc>
      </w:tr>
      <w:tr>
        <w:trPr>
          <w:trHeight w:val="355"/>
        </w:trPr>
        <w:tc>
          <w:tcPr>
            <w:tcW w:w="314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7"/>
        </w:trPr>
        <w:tc>
          <w:tcPr>
            <w:tcW w:w="3140" w:type="dxa"/>
            <w:vAlign w:val="bottom"/>
          </w:tcPr>
          <w:p>
            <w:pPr>
              <w:ind w:left="460"/>
              <w:spacing w:after="0"/>
              <w:rPr>
                <w:sz w:val="20"/>
                <w:szCs w:val="20"/>
                <w:color w:val="auto"/>
              </w:rPr>
            </w:pPr>
            <w:r>
              <w:rPr>
                <w:rFonts w:ascii="Courier New" w:cs="Courier New" w:eastAsia="Courier New" w:hAnsi="Courier New"/>
                <w:sz w:val="15"/>
                <w:szCs w:val="15"/>
                <w:color w:val="auto"/>
              </w:rPr>
              <w:t>January 1, 1994</w:t>
            </w:r>
          </w:p>
        </w:tc>
        <w:tc>
          <w:tcPr>
            <w:tcW w:w="15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306,667,168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660,129</w:t>
            </w:r>
          </w:p>
        </w:tc>
        <w:tc>
          <w:tcPr>
            <w:tcW w:w="14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63,118,111</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$2,283,743</w:t>
            </w:r>
          </w:p>
        </w:tc>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$(76,507)</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$6,106,461</w:t>
            </w:r>
          </w:p>
        </w:tc>
      </w:tr>
      <w:tr>
        <w:trPr>
          <w:trHeight w:val="355"/>
        </w:trPr>
        <w:tc>
          <w:tcPr>
            <w:tcW w:w="3140" w:type="dxa"/>
            <w:vAlign w:val="bottom"/>
          </w:tcPr>
          <w:p>
            <w:pPr>
              <w:ind w:left="460"/>
              <w:spacing w:after="0"/>
              <w:rPr>
                <w:sz w:val="20"/>
                <w:szCs w:val="20"/>
                <w:color w:val="auto"/>
              </w:rPr>
            </w:pPr>
            <w:r>
              <w:rPr>
                <w:rFonts w:ascii="Courier New" w:cs="Courier New" w:eastAsia="Courier New" w:hAnsi="Courier New"/>
                <w:sz w:val="15"/>
                <w:szCs w:val="15"/>
                <w:color w:val="auto"/>
              </w:rPr>
              <w:t>Translation</w:t>
            </w: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7"/>
        </w:trPr>
        <w:tc>
          <w:tcPr>
            <w:tcW w:w="3140" w:type="dxa"/>
            <w:vAlign w:val="bottom"/>
          </w:tcPr>
          <w:p>
            <w:pPr>
              <w:ind w:left="640"/>
              <w:spacing w:after="0"/>
              <w:rPr>
                <w:sz w:val="20"/>
                <w:szCs w:val="20"/>
                <w:color w:val="auto"/>
              </w:rPr>
            </w:pPr>
            <w:r>
              <w:rPr>
                <w:rFonts w:ascii="Courier New" w:cs="Courier New" w:eastAsia="Courier New" w:hAnsi="Courier New"/>
                <w:sz w:val="15"/>
                <w:szCs w:val="15"/>
                <w:color w:val="auto"/>
              </w:rPr>
              <w:t>adjustment</w:t>
            </w: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19,403</w:t>
            </w:r>
          </w:p>
        </w:tc>
        <w:tc>
          <w:tcPr>
            <w:tcW w:w="1420" w:type="dxa"/>
            <w:vAlign w:val="bottom"/>
          </w:tcPr>
          <w:p>
            <w:pPr>
              <w:spacing w:after="0"/>
              <w:rPr>
                <w:sz w:val="15"/>
                <w:szCs w:val="15"/>
                <w:color w:val="auto"/>
              </w:rPr>
            </w:pPr>
          </w:p>
        </w:tc>
      </w:tr>
      <w:tr>
        <w:trPr>
          <w:trHeight w:val="177"/>
        </w:trPr>
        <w:tc>
          <w:tcPr>
            <w:tcW w:w="3140" w:type="dxa"/>
            <w:vAlign w:val="bottom"/>
          </w:tcPr>
          <w:p>
            <w:pPr>
              <w:ind w:left="460"/>
              <w:spacing w:after="0"/>
              <w:rPr>
                <w:sz w:val="20"/>
                <w:szCs w:val="20"/>
                <w:color w:val="auto"/>
              </w:rPr>
            </w:pPr>
            <w:r>
              <w:rPr>
                <w:rFonts w:ascii="Courier New" w:cs="Courier New" w:eastAsia="Courier New" w:hAnsi="Courier New"/>
                <w:sz w:val="15"/>
                <w:szCs w:val="15"/>
                <w:color w:val="auto"/>
              </w:rPr>
              <w:t>Sales to optionees less</w:t>
            </w: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7"/>
        </w:trPr>
        <w:tc>
          <w:tcPr>
            <w:tcW w:w="3140" w:type="dxa"/>
            <w:vAlign w:val="bottom"/>
          </w:tcPr>
          <w:p>
            <w:pPr>
              <w:ind w:left="640"/>
              <w:spacing w:after="0"/>
              <w:rPr>
                <w:sz w:val="20"/>
                <w:szCs w:val="20"/>
                <w:color w:val="auto"/>
              </w:rPr>
            </w:pPr>
            <w:r>
              <w:rPr>
                <w:rFonts w:ascii="Courier New" w:cs="Courier New" w:eastAsia="Courier New" w:hAnsi="Courier New"/>
                <w:sz w:val="15"/>
                <w:szCs w:val="15"/>
                <w:color w:val="auto"/>
              </w:rPr>
              <w:t>shares exchanged</w:t>
            </w: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(366)</w:t>
            </w: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(702,621)</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(25,511)</w:t>
            </w: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7"/>
        </w:trPr>
        <w:tc>
          <w:tcPr>
            <w:tcW w:w="3140" w:type="dxa"/>
            <w:vAlign w:val="bottom"/>
          </w:tcPr>
          <w:p>
            <w:pPr>
              <w:ind w:left="460"/>
              <w:spacing w:after="0"/>
              <w:rPr>
                <w:sz w:val="20"/>
                <w:szCs w:val="20"/>
                <w:color w:val="auto"/>
              </w:rPr>
            </w:pPr>
            <w:r>
              <w:rPr>
                <w:rFonts w:ascii="Courier New" w:cs="Courier New" w:eastAsia="Courier New" w:hAnsi="Courier New"/>
                <w:sz w:val="15"/>
                <w:szCs w:val="15"/>
                <w:color w:val="auto"/>
              </w:rPr>
              <w:t>Purchases for</w:t>
            </w: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7"/>
        </w:trPr>
        <w:tc>
          <w:tcPr>
            <w:tcW w:w="3140" w:type="dxa"/>
            <w:vAlign w:val="bottom"/>
          </w:tcPr>
          <w:p>
            <w:pPr>
              <w:ind w:left="640"/>
              <w:spacing w:after="0"/>
              <w:rPr>
                <w:sz w:val="20"/>
                <w:szCs w:val="20"/>
                <w:color w:val="auto"/>
              </w:rPr>
            </w:pPr>
            <w:r>
              <w:rPr>
                <w:rFonts w:ascii="Courier New" w:cs="Courier New" w:eastAsia="Courier New" w:hAnsi="Courier New"/>
                <w:sz w:val="15"/>
                <w:szCs w:val="15"/>
                <w:color w:val="auto"/>
              </w:rPr>
              <w:t>treasury</w:t>
            </w: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2,754,000</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148,089</w:t>
            </w: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7"/>
        </w:trPr>
        <w:tc>
          <w:tcPr>
            <w:tcW w:w="3140" w:type="dxa"/>
            <w:vAlign w:val="bottom"/>
          </w:tcPr>
          <w:p>
            <w:pPr>
              <w:ind w:left="460"/>
              <w:spacing w:after="0"/>
              <w:rPr>
                <w:sz w:val="20"/>
                <w:szCs w:val="20"/>
                <w:color w:val="auto"/>
              </w:rPr>
            </w:pPr>
            <w:r>
              <w:rPr>
                <w:rFonts w:ascii="Courier New" w:cs="Courier New" w:eastAsia="Courier New" w:hAnsi="Courier New"/>
                <w:sz w:val="15"/>
                <w:szCs w:val="15"/>
                <w:color w:val="auto"/>
              </w:rPr>
              <w:t>Employee stock</w:t>
            </w: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7"/>
        </w:trPr>
        <w:tc>
          <w:tcPr>
            <w:tcW w:w="3140" w:type="dxa"/>
            <w:vAlign w:val="bottom"/>
          </w:tcPr>
          <w:p>
            <w:pPr>
              <w:ind w:left="640"/>
              <w:spacing w:after="0"/>
              <w:rPr>
                <w:sz w:val="20"/>
                <w:szCs w:val="20"/>
                <w:color w:val="auto"/>
              </w:rPr>
            </w:pPr>
            <w:r>
              <w:rPr>
                <w:rFonts w:ascii="Courier New" w:cs="Courier New" w:eastAsia="Courier New" w:hAnsi="Courier New"/>
                <w:sz w:val="15"/>
                <w:szCs w:val="15"/>
                <w:color w:val="auto"/>
              </w:rPr>
              <w:t>purchase plan</w:t>
            </w:r>
          </w:p>
        </w:tc>
        <w:tc>
          <w:tcPr>
            <w:tcW w:w="15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734,284</w:t>
            </w:r>
          </w:p>
        </w:tc>
        <w:tc>
          <w:tcPr>
            <w:tcW w:w="140" w:type="dxa"/>
            <w:vAlign w:val="bottom"/>
          </w:tcPr>
          <w:p>
            <w:pPr>
              <w:spacing w:after="0"/>
              <w:rPr>
                <w:sz w:val="15"/>
                <w:szCs w:val="15"/>
                <w:color w:val="auto"/>
              </w:rPr>
            </w:pP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36,183</w:t>
            </w: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7"/>
        </w:trPr>
        <w:tc>
          <w:tcPr>
            <w:tcW w:w="3140" w:type="dxa"/>
            <w:vAlign w:val="bottom"/>
          </w:tcPr>
          <w:p>
            <w:pPr>
              <w:ind w:left="460"/>
              <w:spacing w:after="0"/>
              <w:rPr>
                <w:sz w:val="20"/>
                <w:szCs w:val="20"/>
                <w:color w:val="auto"/>
              </w:rPr>
            </w:pPr>
            <w:r>
              <w:rPr>
                <w:rFonts w:ascii="Courier New" w:cs="Courier New" w:eastAsia="Courier New" w:hAnsi="Courier New"/>
                <w:sz w:val="15"/>
                <w:szCs w:val="15"/>
                <w:color w:val="auto"/>
              </w:rPr>
              <w:t>Net income</w:t>
            </w: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536,077</w:t>
            </w:r>
          </w:p>
        </w:tc>
      </w:tr>
      <w:tr>
        <w:trPr>
          <w:trHeight w:val="177"/>
        </w:trPr>
        <w:tc>
          <w:tcPr>
            <w:tcW w:w="3140" w:type="dxa"/>
            <w:vAlign w:val="bottom"/>
          </w:tcPr>
          <w:p>
            <w:pPr>
              <w:ind w:left="460"/>
              <w:spacing w:after="0"/>
              <w:rPr>
                <w:sz w:val="20"/>
                <w:szCs w:val="20"/>
                <w:color w:val="auto"/>
              </w:rPr>
            </w:pPr>
            <w:r>
              <w:rPr>
                <w:rFonts w:ascii="Courier New" w:cs="Courier New" w:eastAsia="Courier New" w:hAnsi="Courier New"/>
                <w:sz w:val="15"/>
                <w:szCs w:val="15"/>
                <w:color w:val="auto"/>
              </w:rPr>
              <w:t>Dividends declared</w:t>
            </w: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7"/>
        </w:trPr>
        <w:tc>
          <w:tcPr>
            <w:tcW w:w="3140" w:type="dxa"/>
            <w:vAlign w:val="bottom"/>
          </w:tcPr>
          <w:p>
            <w:pPr>
              <w:ind w:left="640"/>
              <w:spacing w:after="0"/>
              <w:rPr>
                <w:sz w:val="20"/>
                <w:szCs w:val="20"/>
                <w:color w:val="auto"/>
              </w:rPr>
            </w:pPr>
            <w:r>
              <w:rPr>
                <w:rFonts w:ascii="Courier New" w:cs="Courier New" w:eastAsia="Courier New" w:hAnsi="Courier New"/>
                <w:sz w:val="15"/>
                <w:szCs w:val="15"/>
                <w:color w:val="auto"/>
              </w:rPr>
              <w:t>($1.20 per share)</w:t>
            </w: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(292,105)</w:t>
            </w: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center"/>
              <w:ind w:left="63"/>
              <w:spacing w:after="0"/>
              <w:rPr>
                <w:sz w:val="20"/>
                <w:szCs w:val="20"/>
                <w:color w:val="auto"/>
              </w:rPr>
            </w:pPr>
            <w:r>
              <w:rPr>
                <w:rFonts w:ascii="Courier New" w:cs="Courier New" w:eastAsia="Courier New" w:hAnsi="Courier New"/>
                <w:sz w:val="15"/>
                <w:szCs w:val="15"/>
                <w:color w:val="auto"/>
              </w:rPr>
              <w:t>----------</w:t>
            </w:r>
          </w:p>
        </w:tc>
      </w:tr>
      <w:tr>
        <w:trPr>
          <w:trHeight w:val="355"/>
        </w:trPr>
        <w:tc>
          <w:tcPr>
            <w:tcW w:w="314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7"/>
        </w:trPr>
        <w:tc>
          <w:tcPr>
            <w:tcW w:w="3140" w:type="dxa"/>
            <w:vAlign w:val="bottom"/>
          </w:tcPr>
          <w:p>
            <w:pPr>
              <w:ind w:left="460"/>
              <w:spacing w:after="0"/>
              <w:rPr>
                <w:sz w:val="20"/>
                <w:szCs w:val="20"/>
                <w:color w:val="auto"/>
              </w:rPr>
            </w:pPr>
            <w:r>
              <w:rPr>
                <w:rFonts w:ascii="Courier New" w:cs="Courier New" w:eastAsia="Courier New" w:hAnsi="Courier New"/>
                <w:sz w:val="15"/>
                <w:szCs w:val="15"/>
                <w:color w:val="auto"/>
              </w:rPr>
              <w:t>December 31, 1994</w:t>
            </w:r>
          </w:p>
        </w:tc>
        <w:tc>
          <w:tcPr>
            <w:tcW w:w="15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307,401,452</w:t>
            </w:r>
          </w:p>
        </w:tc>
        <w:tc>
          <w:tcPr>
            <w:tcW w:w="140" w:type="dxa"/>
            <w:vAlign w:val="bottom"/>
          </w:tcPr>
          <w:p>
            <w:pPr>
              <w:spacing w:after="0"/>
              <w:rPr>
                <w:sz w:val="15"/>
                <w:szCs w:val="15"/>
                <w:color w:val="auto"/>
              </w:rPr>
            </w:pP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695,946</w:t>
            </w:r>
          </w:p>
        </w:tc>
        <w:tc>
          <w:tcPr>
            <w:tcW w:w="14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65,169,490</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2,406,321</w:t>
            </w:r>
          </w:p>
        </w:tc>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(57,104)</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6,350,433</w:t>
            </w:r>
          </w:p>
        </w:tc>
      </w:tr>
      <w:tr>
        <w:trPr>
          <w:trHeight w:val="355"/>
        </w:trPr>
        <w:tc>
          <w:tcPr>
            <w:tcW w:w="3140" w:type="dxa"/>
            <w:vAlign w:val="bottom"/>
          </w:tcPr>
          <w:p>
            <w:pPr>
              <w:ind w:left="460"/>
              <w:spacing w:after="0"/>
              <w:rPr>
                <w:sz w:val="20"/>
                <w:szCs w:val="20"/>
                <w:color w:val="auto"/>
              </w:rPr>
            </w:pPr>
            <w:r>
              <w:rPr>
                <w:rFonts w:ascii="Courier New" w:cs="Courier New" w:eastAsia="Courier New" w:hAnsi="Courier New"/>
                <w:sz w:val="15"/>
                <w:szCs w:val="15"/>
                <w:color w:val="auto"/>
              </w:rPr>
              <w:t>Translation</w:t>
            </w: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7"/>
        </w:trPr>
        <w:tc>
          <w:tcPr>
            <w:tcW w:w="3140" w:type="dxa"/>
            <w:vAlign w:val="bottom"/>
          </w:tcPr>
          <w:p>
            <w:pPr>
              <w:ind w:left="640"/>
              <w:spacing w:after="0"/>
              <w:rPr>
                <w:sz w:val="20"/>
                <w:szCs w:val="20"/>
                <w:color w:val="auto"/>
              </w:rPr>
            </w:pPr>
            <w:r>
              <w:rPr>
                <w:rFonts w:ascii="Courier New" w:cs="Courier New" w:eastAsia="Courier New" w:hAnsi="Courier New"/>
                <w:sz w:val="15"/>
                <w:szCs w:val="15"/>
                <w:color w:val="auto"/>
              </w:rPr>
              <w:t>adjustment</w:t>
            </w: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44,298</w:t>
            </w:r>
          </w:p>
        </w:tc>
        <w:tc>
          <w:tcPr>
            <w:tcW w:w="1420" w:type="dxa"/>
            <w:vAlign w:val="bottom"/>
          </w:tcPr>
          <w:p>
            <w:pPr>
              <w:spacing w:after="0"/>
              <w:rPr>
                <w:sz w:val="15"/>
                <w:szCs w:val="15"/>
                <w:color w:val="auto"/>
              </w:rPr>
            </w:pPr>
          </w:p>
        </w:tc>
      </w:tr>
      <w:tr>
        <w:trPr>
          <w:trHeight w:val="177"/>
        </w:trPr>
        <w:tc>
          <w:tcPr>
            <w:tcW w:w="3140" w:type="dxa"/>
            <w:vAlign w:val="bottom"/>
          </w:tcPr>
          <w:p>
            <w:pPr>
              <w:ind w:left="460"/>
              <w:spacing w:after="0"/>
              <w:rPr>
                <w:sz w:val="20"/>
                <w:szCs w:val="20"/>
                <w:color w:val="auto"/>
              </w:rPr>
            </w:pPr>
            <w:r>
              <w:rPr>
                <w:rFonts w:ascii="Courier New" w:cs="Courier New" w:eastAsia="Courier New" w:hAnsi="Courier New"/>
                <w:sz w:val="15"/>
                <w:szCs w:val="15"/>
                <w:color w:val="auto"/>
              </w:rPr>
              <w:t>Sales to optionees less</w:t>
            </w: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7"/>
        </w:trPr>
        <w:tc>
          <w:tcPr>
            <w:tcW w:w="3140" w:type="dxa"/>
            <w:vAlign w:val="bottom"/>
          </w:tcPr>
          <w:p>
            <w:pPr>
              <w:ind w:left="640"/>
              <w:spacing w:after="0"/>
              <w:rPr>
                <w:sz w:val="20"/>
                <w:szCs w:val="20"/>
                <w:color w:val="auto"/>
              </w:rPr>
            </w:pPr>
            <w:r>
              <w:rPr>
                <w:rFonts w:ascii="Courier New" w:cs="Courier New" w:eastAsia="Courier New" w:hAnsi="Courier New"/>
                <w:sz w:val="15"/>
                <w:szCs w:val="15"/>
                <w:color w:val="auto"/>
              </w:rPr>
              <w:t>shares exchanged</w:t>
            </w: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5,223</w:t>
            </w: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(871,330)</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(32,296)</w:t>
            </w: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7"/>
        </w:trPr>
        <w:tc>
          <w:tcPr>
            <w:tcW w:w="3140" w:type="dxa"/>
            <w:vAlign w:val="bottom"/>
          </w:tcPr>
          <w:p>
            <w:pPr>
              <w:ind w:left="460"/>
              <w:spacing w:after="0"/>
              <w:rPr>
                <w:sz w:val="20"/>
                <w:szCs w:val="20"/>
                <w:color w:val="auto"/>
              </w:rPr>
            </w:pPr>
            <w:r>
              <w:rPr>
                <w:rFonts w:ascii="Courier New" w:cs="Courier New" w:eastAsia="Courier New" w:hAnsi="Courier New"/>
                <w:sz w:val="15"/>
                <w:szCs w:val="15"/>
                <w:color w:val="auto"/>
              </w:rPr>
              <w:t>Purchases for</w:t>
            </w: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7"/>
        </w:trPr>
        <w:tc>
          <w:tcPr>
            <w:tcW w:w="3140" w:type="dxa"/>
            <w:vAlign w:val="bottom"/>
          </w:tcPr>
          <w:p>
            <w:pPr>
              <w:ind w:left="640"/>
              <w:spacing w:after="0"/>
              <w:rPr>
                <w:sz w:val="20"/>
                <w:szCs w:val="20"/>
                <w:color w:val="auto"/>
              </w:rPr>
            </w:pPr>
            <w:r>
              <w:rPr>
                <w:rFonts w:ascii="Courier New" w:cs="Courier New" w:eastAsia="Courier New" w:hAnsi="Courier New"/>
                <w:sz w:val="15"/>
                <w:szCs w:val="15"/>
                <w:color w:val="auto"/>
              </w:rPr>
              <w:t>treasury</w:t>
            </w: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690,000</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40,552</w:t>
            </w: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7"/>
        </w:trPr>
        <w:tc>
          <w:tcPr>
            <w:tcW w:w="3140" w:type="dxa"/>
            <w:vAlign w:val="bottom"/>
          </w:tcPr>
          <w:p>
            <w:pPr>
              <w:ind w:left="460"/>
              <w:spacing w:after="0"/>
              <w:rPr>
                <w:sz w:val="20"/>
                <w:szCs w:val="20"/>
                <w:color w:val="auto"/>
              </w:rPr>
            </w:pPr>
            <w:r>
              <w:rPr>
                <w:rFonts w:ascii="Courier New" w:cs="Courier New" w:eastAsia="Courier New" w:hAnsi="Courier New"/>
                <w:sz w:val="15"/>
                <w:szCs w:val="15"/>
                <w:color w:val="auto"/>
              </w:rPr>
              <w:t>Employee stock</w:t>
            </w: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7"/>
        </w:trPr>
        <w:tc>
          <w:tcPr>
            <w:tcW w:w="3140" w:type="dxa"/>
            <w:vAlign w:val="bottom"/>
          </w:tcPr>
          <w:p>
            <w:pPr>
              <w:ind w:left="640"/>
              <w:spacing w:after="0"/>
              <w:rPr>
                <w:sz w:val="20"/>
                <w:szCs w:val="20"/>
                <w:color w:val="auto"/>
              </w:rPr>
            </w:pPr>
            <w:r>
              <w:rPr>
                <w:rFonts w:ascii="Courier New" w:cs="Courier New" w:eastAsia="Courier New" w:hAnsi="Courier New"/>
                <w:sz w:val="15"/>
                <w:szCs w:val="15"/>
                <w:color w:val="auto"/>
              </w:rPr>
              <w:t>purchase plan</w:t>
            </w:r>
          </w:p>
        </w:tc>
        <w:tc>
          <w:tcPr>
            <w:tcW w:w="15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724,794</w:t>
            </w:r>
          </w:p>
        </w:tc>
        <w:tc>
          <w:tcPr>
            <w:tcW w:w="140" w:type="dxa"/>
            <w:vAlign w:val="bottom"/>
          </w:tcPr>
          <w:p>
            <w:pPr>
              <w:spacing w:after="0"/>
              <w:rPr>
                <w:sz w:val="15"/>
                <w:szCs w:val="15"/>
                <w:color w:val="auto"/>
              </w:rPr>
            </w:pP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36,159</w:t>
            </w: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7"/>
        </w:trPr>
        <w:tc>
          <w:tcPr>
            <w:tcW w:w="3140" w:type="dxa"/>
            <w:vAlign w:val="bottom"/>
          </w:tcPr>
          <w:p>
            <w:pPr>
              <w:ind w:left="460"/>
              <w:spacing w:after="0"/>
              <w:rPr>
                <w:sz w:val="20"/>
                <w:szCs w:val="20"/>
                <w:color w:val="auto"/>
              </w:rPr>
            </w:pPr>
            <w:r>
              <w:rPr>
                <w:rFonts w:ascii="Courier New" w:cs="Courier New" w:eastAsia="Courier New" w:hAnsi="Courier New"/>
                <w:sz w:val="15"/>
                <w:szCs w:val="15"/>
                <w:color w:val="auto"/>
              </w:rPr>
              <w:t>Net income</w:t>
            </w: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649,157</w:t>
            </w:r>
          </w:p>
        </w:tc>
      </w:tr>
      <w:tr>
        <w:trPr>
          <w:trHeight w:val="177"/>
        </w:trPr>
        <w:tc>
          <w:tcPr>
            <w:tcW w:w="3140" w:type="dxa"/>
            <w:vAlign w:val="bottom"/>
          </w:tcPr>
          <w:p>
            <w:pPr>
              <w:ind w:left="460"/>
              <w:spacing w:after="0"/>
              <w:rPr>
                <w:sz w:val="20"/>
                <w:szCs w:val="20"/>
                <w:color w:val="auto"/>
              </w:rPr>
            </w:pPr>
            <w:r>
              <w:rPr>
                <w:rFonts w:ascii="Courier New" w:cs="Courier New" w:eastAsia="Courier New" w:hAnsi="Courier New"/>
                <w:sz w:val="15"/>
                <w:szCs w:val="15"/>
                <w:color w:val="auto"/>
              </w:rPr>
              <w:t>Dividends declared</w:t>
            </w: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7"/>
        </w:trPr>
        <w:tc>
          <w:tcPr>
            <w:tcW w:w="3140" w:type="dxa"/>
            <w:vAlign w:val="bottom"/>
          </w:tcPr>
          <w:p>
            <w:pPr>
              <w:ind w:left="640"/>
              <w:spacing w:after="0"/>
              <w:rPr>
                <w:sz w:val="20"/>
                <w:szCs w:val="20"/>
                <w:color w:val="auto"/>
              </w:rPr>
            </w:pPr>
            <w:r>
              <w:rPr>
                <w:rFonts w:ascii="Courier New" w:cs="Courier New" w:eastAsia="Courier New" w:hAnsi="Courier New"/>
                <w:sz w:val="15"/>
                <w:szCs w:val="15"/>
                <w:color w:val="auto"/>
              </w:rPr>
              <w:t>($1.425 per share)</w:t>
            </w: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(345,518)</w:t>
            </w: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center"/>
              <w:ind w:left="63"/>
              <w:spacing w:after="0"/>
              <w:rPr>
                <w:sz w:val="20"/>
                <w:szCs w:val="20"/>
                <w:color w:val="auto"/>
              </w:rPr>
            </w:pPr>
            <w:r>
              <w:rPr>
                <w:rFonts w:ascii="Courier New" w:cs="Courier New" w:eastAsia="Courier New" w:hAnsi="Courier New"/>
                <w:sz w:val="15"/>
                <w:szCs w:val="15"/>
                <w:color w:val="auto"/>
              </w:rPr>
              <w:t>----------</w:t>
            </w:r>
          </w:p>
        </w:tc>
      </w:tr>
      <w:tr>
        <w:trPr>
          <w:trHeight w:val="355"/>
        </w:trPr>
        <w:tc>
          <w:tcPr>
            <w:tcW w:w="314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7"/>
        </w:trPr>
        <w:tc>
          <w:tcPr>
            <w:tcW w:w="3140" w:type="dxa"/>
            <w:vAlign w:val="bottom"/>
          </w:tcPr>
          <w:p>
            <w:pPr>
              <w:ind w:left="460"/>
              <w:spacing w:after="0"/>
              <w:rPr>
                <w:sz w:val="20"/>
                <w:szCs w:val="20"/>
                <w:color w:val="auto"/>
              </w:rPr>
            </w:pPr>
            <w:r>
              <w:rPr>
                <w:rFonts w:ascii="Courier New" w:cs="Courier New" w:eastAsia="Courier New" w:hAnsi="Courier New"/>
                <w:sz w:val="15"/>
                <w:szCs w:val="15"/>
                <w:color w:val="auto"/>
              </w:rPr>
              <w:t>December 31, 1995</w:t>
            </w:r>
          </w:p>
        </w:tc>
        <w:tc>
          <w:tcPr>
            <w:tcW w:w="15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308,126,246</w:t>
            </w:r>
          </w:p>
        </w:tc>
        <w:tc>
          <w:tcPr>
            <w:tcW w:w="140" w:type="dxa"/>
            <w:vAlign w:val="bottom"/>
          </w:tcPr>
          <w:p>
            <w:pPr>
              <w:spacing w:after="0"/>
              <w:rPr>
                <w:sz w:val="15"/>
                <w:szCs w:val="15"/>
                <w:color w:val="auto"/>
              </w:rPr>
            </w:pP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737,328</w:t>
            </w:r>
          </w:p>
        </w:tc>
        <w:tc>
          <w:tcPr>
            <w:tcW w:w="14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64,988,160</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2,414,577</w:t>
            </w:r>
          </w:p>
        </w:tc>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(12,806)</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6,654,072</w:t>
            </w:r>
          </w:p>
        </w:tc>
      </w:tr>
      <w:tr>
        <w:trPr>
          <w:trHeight w:val="355"/>
        </w:trPr>
        <w:tc>
          <w:tcPr>
            <w:tcW w:w="3140" w:type="dxa"/>
            <w:vAlign w:val="bottom"/>
          </w:tcPr>
          <w:p>
            <w:pPr>
              <w:ind w:left="460"/>
              <w:spacing w:after="0"/>
              <w:rPr>
                <w:sz w:val="20"/>
                <w:szCs w:val="20"/>
                <w:color w:val="auto"/>
              </w:rPr>
            </w:pPr>
            <w:r>
              <w:rPr>
                <w:rFonts w:ascii="Courier New" w:cs="Courier New" w:eastAsia="Courier New" w:hAnsi="Courier New"/>
                <w:sz w:val="15"/>
                <w:szCs w:val="15"/>
                <w:color w:val="auto"/>
              </w:rPr>
              <w:t>Translation</w:t>
            </w: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7"/>
        </w:trPr>
        <w:tc>
          <w:tcPr>
            <w:tcW w:w="3140" w:type="dxa"/>
            <w:vAlign w:val="bottom"/>
          </w:tcPr>
          <w:p>
            <w:pPr>
              <w:ind w:left="640"/>
              <w:spacing w:after="0"/>
              <w:rPr>
                <w:sz w:val="20"/>
                <w:szCs w:val="20"/>
                <w:color w:val="auto"/>
              </w:rPr>
            </w:pPr>
            <w:r>
              <w:rPr>
                <w:rFonts w:ascii="Courier New" w:cs="Courier New" w:eastAsia="Courier New" w:hAnsi="Courier New"/>
                <w:sz w:val="15"/>
                <w:szCs w:val="15"/>
                <w:color w:val="auto"/>
              </w:rPr>
              <w:t>adjustment</w:t>
            </w: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(1,415)</w:t>
            </w:r>
          </w:p>
        </w:tc>
        <w:tc>
          <w:tcPr>
            <w:tcW w:w="1420" w:type="dxa"/>
            <w:vAlign w:val="bottom"/>
          </w:tcPr>
          <w:p>
            <w:pPr>
              <w:spacing w:after="0"/>
              <w:rPr>
                <w:sz w:val="15"/>
                <w:szCs w:val="15"/>
                <w:color w:val="auto"/>
              </w:rPr>
            </w:pPr>
          </w:p>
        </w:tc>
      </w:tr>
      <w:tr>
        <w:trPr>
          <w:trHeight w:val="177"/>
        </w:trPr>
        <w:tc>
          <w:tcPr>
            <w:tcW w:w="3140" w:type="dxa"/>
            <w:vAlign w:val="bottom"/>
          </w:tcPr>
          <w:p>
            <w:pPr>
              <w:ind w:left="460"/>
              <w:spacing w:after="0"/>
              <w:rPr>
                <w:sz w:val="20"/>
                <w:szCs w:val="20"/>
                <w:color w:val="auto"/>
              </w:rPr>
            </w:pPr>
            <w:r>
              <w:rPr>
                <w:rFonts w:ascii="Courier New" w:cs="Courier New" w:eastAsia="Courier New" w:hAnsi="Courier New"/>
                <w:sz w:val="15"/>
                <w:szCs w:val="15"/>
                <w:color w:val="auto"/>
              </w:rPr>
              <w:t>Sales to optionees less</w:t>
            </w: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7"/>
        </w:trPr>
        <w:tc>
          <w:tcPr>
            <w:tcW w:w="3140" w:type="dxa"/>
            <w:vAlign w:val="bottom"/>
          </w:tcPr>
          <w:p>
            <w:pPr>
              <w:ind w:left="640"/>
              <w:spacing w:after="0"/>
              <w:rPr>
                <w:sz w:val="20"/>
                <w:szCs w:val="20"/>
                <w:color w:val="auto"/>
              </w:rPr>
            </w:pPr>
            <w:r>
              <w:rPr>
                <w:rFonts w:ascii="Courier New" w:cs="Courier New" w:eastAsia="Courier New" w:hAnsi="Courier New"/>
                <w:sz w:val="15"/>
                <w:szCs w:val="15"/>
                <w:color w:val="auto"/>
              </w:rPr>
              <w:t>shares exchanged</w:t>
            </w: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42,668</w:t>
            </w: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(2,657,348)</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(98,631)</w:t>
            </w: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7"/>
        </w:trPr>
        <w:tc>
          <w:tcPr>
            <w:tcW w:w="3140" w:type="dxa"/>
            <w:vAlign w:val="bottom"/>
          </w:tcPr>
          <w:p>
            <w:pPr>
              <w:ind w:left="460"/>
              <w:spacing w:after="0"/>
              <w:rPr>
                <w:sz w:val="20"/>
                <w:szCs w:val="20"/>
                <w:color w:val="auto"/>
              </w:rPr>
            </w:pPr>
            <w:r>
              <w:rPr>
                <w:rFonts w:ascii="Courier New" w:cs="Courier New" w:eastAsia="Courier New" w:hAnsi="Courier New"/>
                <w:sz w:val="15"/>
                <w:szCs w:val="15"/>
                <w:color w:val="auto"/>
              </w:rPr>
              <w:t>Purchases for</w:t>
            </w: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7"/>
        </w:trPr>
        <w:tc>
          <w:tcPr>
            <w:tcW w:w="3140" w:type="dxa"/>
            <w:vAlign w:val="bottom"/>
          </w:tcPr>
          <w:p>
            <w:pPr>
              <w:ind w:left="640"/>
              <w:spacing w:after="0"/>
              <w:rPr>
                <w:sz w:val="20"/>
                <w:szCs w:val="20"/>
                <w:color w:val="auto"/>
              </w:rPr>
            </w:pPr>
            <w:r>
              <w:rPr>
                <w:rFonts w:ascii="Courier New" w:cs="Courier New" w:eastAsia="Courier New" w:hAnsi="Courier New"/>
                <w:sz w:val="15"/>
                <w:szCs w:val="15"/>
                <w:color w:val="auto"/>
              </w:rPr>
              <w:t>treasury</w:t>
            </w: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7"/>
        </w:trPr>
        <w:tc>
          <w:tcPr>
            <w:tcW w:w="3140" w:type="dxa"/>
            <w:vAlign w:val="bottom"/>
          </w:tcPr>
          <w:p>
            <w:pPr>
              <w:ind w:left="460"/>
              <w:spacing w:after="0"/>
              <w:rPr>
                <w:sz w:val="20"/>
                <w:szCs w:val="20"/>
                <w:color w:val="auto"/>
              </w:rPr>
            </w:pPr>
            <w:r>
              <w:rPr>
                <w:rFonts w:ascii="Courier New" w:cs="Courier New" w:eastAsia="Courier New" w:hAnsi="Courier New"/>
                <w:sz w:val="15"/>
                <w:szCs w:val="15"/>
                <w:color w:val="auto"/>
              </w:rPr>
              <w:t>Employee stock</w:t>
            </w: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7"/>
        </w:trPr>
        <w:tc>
          <w:tcPr>
            <w:tcW w:w="3140" w:type="dxa"/>
            <w:vAlign w:val="bottom"/>
          </w:tcPr>
          <w:p>
            <w:pPr>
              <w:ind w:left="640"/>
              <w:spacing w:after="0"/>
              <w:rPr>
                <w:sz w:val="20"/>
                <w:szCs w:val="20"/>
                <w:color w:val="auto"/>
              </w:rPr>
            </w:pPr>
            <w:r>
              <w:rPr>
                <w:rFonts w:ascii="Courier New" w:cs="Courier New" w:eastAsia="Courier New" w:hAnsi="Courier New"/>
                <w:sz w:val="15"/>
                <w:szCs w:val="15"/>
                <w:color w:val="auto"/>
              </w:rPr>
              <w:t>purchase plan</w:t>
            </w:r>
          </w:p>
        </w:tc>
        <w:tc>
          <w:tcPr>
            <w:tcW w:w="15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741,747</w:t>
            </w:r>
          </w:p>
        </w:tc>
        <w:tc>
          <w:tcPr>
            <w:tcW w:w="140" w:type="dxa"/>
            <w:vAlign w:val="bottom"/>
          </w:tcPr>
          <w:p>
            <w:pPr>
              <w:spacing w:after="0"/>
              <w:rPr>
                <w:sz w:val="15"/>
                <w:szCs w:val="15"/>
                <w:color w:val="auto"/>
              </w:rPr>
            </w:pP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38,807</w:t>
            </w: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7"/>
        </w:trPr>
        <w:tc>
          <w:tcPr>
            <w:tcW w:w="3140" w:type="dxa"/>
            <w:vAlign w:val="bottom"/>
          </w:tcPr>
          <w:p>
            <w:pPr>
              <w:ind w:left="460"/>
              <w:spacing w:after="0"/>
              <w:rPr>
                <w:sz w:val="20"/>
                <w:szCs w:val="20"/>
                <w:color w:val="auto"/>
              </w:rPr>
            </w:pPr>
            <w:r>
              <w:rPr>
                <w:rFonts w:ascii="Courier New" w:cs="Courier New" w:eastAsia="Courier New" w:hAnsi="Courier New"/>
                <w:sz w:val="15"/>
                <w:szCs w:val="15"/>
                <w:color w:val="auto"/>
              </w:rPr>
              <w:t>Net income</w:t>
            </w: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851,483</w:t>
            </w:r>
          </w:p>
        </w:tc>
      </w:tr>
      <w:tr>
        <w:trPr>
          <w:trHeight w:val="177"/>
        </w:trPr>
        <w:tc>
          <w:tcPr>
            <w:tcW w:w="3140" w:type="dxa"/>
            <w:vAlign w:val="bottom"/>
          </w:tcPr>
          <w:p>
            <w:pPr>
              <w:ind w:left="460"/>
              <w:spacing w:after="0"/>
              <w:rPr>
                <w:sz w:val="20"/>
                <w:szCs w:val="20"/>
                <w:color w:val="auto"/>
              </w:rPr>
            </w:pPr>
            <w:r>
              <w:rPr>
                <w:rFonts w:ascii="Courier New" w:cs="Courier New" w:eastAsia="Courier New" w:hAnsi="Courier New"/>
                <w:sz w:val="15"/>
                <w:szCs w:val="15"/>
                <w:color w:val="auto"/>
              </w:rPr>
              <w:t>Dividends declared</w:t>
            </w: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7"/>
        </w:trPr>
        <w:tc>
          <w:tcPr>
            <w:tcW w:w="3140" w:type="dxa"/>
            <w:vAlign w:val="bottom"/>
          </w:tcPr>
          <w:p>
            <w:pPr>
              <w:ind w:left="640"/>
              <w:spacing w:after="0"/>
              <w:rPr>
                <w:sz w:val="20"/>
                <w:szCs w:val="20"/>
                <w:color w:val="auto"/>
              </w:rPr>
            </w:pPr>
            <w:r>
              <w:rPr>
                <w:rFonts w:ascii="Courier New" w:cs="Courier New" w:eastAsia="Courier New" w:hAnsi="Courier New"/>
                <w:sz w:val="15"/>
                <w:szCs w:val="15"/>
                <w:color w:val="auto"/>
              </w:rPr>
              <w:t>($1.50 per share)</w:t>
            </w: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(367,811)</w:t>
            </w: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center"/>
              <w:ind w:left="63"/>
              <w:spacing w:after="0"/>
              <w:rPr>
                <w:sz w:val="20"/>
                <w:szCs w:val="20"/>
                <w:color w:val="auto"/>
              </w:rPr>
            </w:pPr>
            <w:r>
              <w:rPr>
                <w:rFonts w:ascii="Courier New" w:cs="Courier New" w:eastAsia="Courier New" w:hAnsi="Courier New"/>
                <w:sz w:val="15"/>
                <w:szCs w:val="15"/>
                <w:color w:val="auto"/>
              </w:rPr>
              <w:t>----------</w:t>
            </w: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7"/>
        </w:trPr>
        <w:tc>
          <w:tcPr>
            <w:tcW w:w="3140" w:type="dxa"/>
            <w:vAlign w:val="bottom"/>
          </w:tcPr>
          <w:p>
            <w:pPr>
              <w:ind w:left="460"/>
              <w:spacing w:after="0"/>
              <w:rPr>
                <w:sz w:val="20"/>
                <w:szCs w:val="20"/>
                <w:color w:val="auto"/>
              </w:rPr>
            </w:pPr>
            <w:r>
              <w:rPr>
                <w:rFonts w:ascii="Courier New" w:cs="Courier New" w:eastAsia="Courier New" w:hAnsi="Courier New"/>
                <w:sz w:val="15"/>
                <w:szCs w:val="15"/>
                <w:color w:val="auto"/>
              </w:rPr>
              <w:t>December 31, 1996</w:t>
            </w:r>
          </w:p>
        </w:tc>
        <w:tc>
          <w:tcPr>
            <w:tcW w:w="15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308,867,993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818,803</w:t>
            </w:r>
          </w:p>
        </w:tc>
        <w:tc>
          <w:tcPr>
            <w:tcW w:w="14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62,330,812</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$2,315,946</w:t>
            </w:r>
          </w:p>
        </w:tc>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$(14,221)</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$7,137,744</w:t>
            </w: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Schlumberger Limited (Schlumberger N.V., Incorporated in the Netherlands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Antilles) and Subsidiary Companies</w:t>
      </w:r>
    </w:p>
    <w:p>
      <w:pPr>
        <w:spacing w:after="0" w:line="8" w:lineRule="exact"/>
        <w:rPr>
          <w:sz w:val="20"/>
          <w:szCs w:val="20"/>
          <w:color w:val="auto"/>
        </w:rPr>
      </w:pPr>
    </w:p>
    <w:p>
      <w:pPr>
        <w:ind w:left="185" w:hanging="185"/>
        <w:spacing w:after="0"/>
        <w:tabs>
          <w:tab w:leader="none" w:pos="185"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4" w:lineRule="exact"/>
        <w:rPr>
          <w:rFonts w:ascii="Courier New" w:cs="Courier New" w:eastAsia="Courier New" w:hAnsi="Courier New"/>
          <w:sz w:val="15"/>
          <w:szCs w:val="15"/>
          <w:color w:val="auto"/>
        </w:rPr>
      </w:pPr>
    </w:p>
    <w:p>
      <w:pPr>
        <w:ind w:left="350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F-4</w:t>
      </w:r>
    </w:p>
    <w:p>
      <w:pPr>
        <w:sectPr>
          <w:pgSz w:w="11900" w:h="16838" w:orient="portrait"/>
          <w:cols w:equalWidth="0" w:num="1">
            <w:col w:w="11345"/>
          </w:cols>
          <w:pgMar w:left="235" w:top="650" w:right="319"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Accounting Policies</w:t>
      </w:r>
    </w:p>
    <w:p>
      <w:pPr>
        <w:spacing w:after="0" w:line="185" w:lineRule="exact"/>
        <w:rPr>
          <w:sz w:val="20"/>
          <w:szCs w:val="20"/>
          <w:color w:val="auto"/>
        </w:rPr>
      </w:pPr>
    </w:p>
    <w:p>
      <w:pPr>
        <w:ind w:right="3579"/>
        <w:spacing w:after="0" w:line="252" w:lineRule="auto"/>
        <w:rPr>
          <w:sz w:val="20"/>
          <w:szCs w:val="20"/>
          <w:color w:val="auto"/>
        </w:rPr>
      </w:pPr>
      <w:r>
        <w:rPr>
          <w:rFonts w:ascii="Courier New" w:cs="Courier New" w:eastAsia="Courier New" w:hAnsi="Courier New"/>
          <w:sz w:val="15"/>
          <w:szCs w:val="15"/>
          <w:color w:val="auto"/>
        </w:rPr>
        <w:t>The Consolidated Financial Statements of Schlumberger Limited and its subsidiaries have been prepared in accordance with accounting principles generally accepted in the United States.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PRINCIPLES OF CONSOLIDATION</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The Consolidated Financial Statements include the accounts of majority-owned subsidiaries. Significant 20%-50% owned companies are carried on the equity method and classified in Other Assets. The Company's pro rata share of after-tax earnings is included in Interest and other income. Equity in undistributed earnings of all 50% owned companies at December 31, 1996, was not material.</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While actual results could differ from these estimates, management believes that the estimates are reasonable.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85" w:lineRule="exact"/>
        <w:rPr>
          <w:sz w:val="20"/>
          <w:szCs w:val="20"/>
          <w:color w:val="auto"/>
        </w:rPr>
      </w:pPr>
    </w:p>
    <w:p>
      <w:pPr>
        <w:ind w:right="3119"/>
        <w:spacing w:after="0" w:line="253" w:lineRule="auto"/>
        <w:rPr>
          <w:sz w:val="20"/>
          <w:szCs w:val="20"/>
          <w:color w:val="auto"/>
        </w:rPr>
      </w:pPr>
      <w:r>
        <w:rPr>
          <w:rFonts w:ascii="Courier New" w:cs="Courier New" w:eastAsia="Courier New" w:hAnsi="Courier New"/>
          <w:sz w:val="15"/>
          <w:szCs w:val="15"/>
          <w:color w:val="auto"/>
        </w:rPr>
        <w:t>Generally, revenue is recognized after services are rendered and products are shipped.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TRANSLATION OF NON-US CURRENCIES</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All assets and liabilities recorded in functional currencies other than US dollars are translated at current exchange rates. The resulting adjustments are charged or credited directly to the Stockholders' Equity section of the Consolidated Balance Sheet. Revenue and expenses are translated at the weighted average exchange rates for the period. All realized and unrealized transaction gains and losses are included in income in the period in which they occur. Included in the 1996 results were transaction gains of $10 million, compared to a loss of $2 million and a gain of $2 million in 1995 and 1994, respectively.</w:t>
      </w:r>
    </w:p>
    <w:p>
      <w:pPr>
        <w:spacing w:after="0" w:line="175" w:lineRule="exact"/>
        <w:rPr>
          <w:sz w:val="20"/>
          <w:szCs w:val="20"/>
          <w:color w:val="auto"/>
        </w:rPr>
      </w:pPr>
    </w:p>
    <w:p>
      <w:pPr>
        <w:ind w:right="2939" w:firstLine="461"/>
        <w:spacing w:after="0" w:line="250" w:lineRule="auto"/>
        <w:rPr>
          <w:sz w:val="20"/>
          <w:szCs w:val="20"/>
          <w:color w:val="auto"/>
        </w:rPr>
      </w:pPr>
      <w:r>
        <w:rPr>
          <w:rFonts w:ascii="Courier New" w:cs="Courier New" w:eastAsia="Courier New" w:hAnsi="Courier New"/>
          <w:sz w:val="15"/>
          <w:szCs w:val="15"/>
          <w:color w:val="auto"/>
        </w:rPr>
        <w:t>Currency exchange contracts are entered into as a hedge against the effect of future settlement of assets and liabilities denominated in other than the functional currency of the individual businesses. Gains or losses on the contracts are recognized when the currency exchange rates fluctuate, and the resulting charge or credit offsets the unrealized currency gains or losses on those assets and liabilities. At December 31, 1996, contracts were outstanding to purchase the US dollar equivalent of $103 million in various foreign currencies and to sell the equivalent of $62 million at forward rates on the dates the contracts were entered. These contracts mature on various dates in 1997.</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185"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The Consolidated Balance Sheet reflects the Company's investment portfolio separated between current and long-term based on maturity. Except for $111 million of investments which are considered trading at December 31, 1996 (1995-$104 million), it is the Company's intent to hold the investments until maturity.</w:t>
      </w:r>
    </w:p>
    <w:p>
      <w:pPr>
        <w:spacing w:after="0" w:line="176" w:lineRule="exact"/>
        <w:rPr>
          <w:sz w:val="20"/>
          <w:szCs w:val="20"/>
          <w:color w:val="auto"/>
        </w:rPr>
      </w:pPr>
    </w:p>
    <w:p>
      <w:pPr>
        <w:ind w:right="3119" w:firstLine="461"/>
        <w:spacing w:after="0" w:line="251" w:lineRule="auto"/>
        <w:rPr>
          <w:sz w:val="20"/>
          <w:szCs w:val="20"/>
          <w:color w:val="auto"/>
        </w:rPr>
      </w:pPr>
      <w:r>
        <w:rPr>
          <w:rFonts w:ascii="Courier New" w:cs="Courier New" w:eastAsia="Courier New" w:hAnsi="Courier New"/>
          <w:sz w:val="15"/>
          <w:szCs w:val="15"/>
          <w:color w:val="auto"/>
        </w:rPr>
        <w:t>Both short-term and long-term investments held to maturity are stated at cost plus accrued interest, which approximates market, and comprise primarily Eurodollar time deposits, certificates of deposit and commercial paper, Euronotes and Eurobonds, substantially all denominated in US dollars. Substantially all the investments designated as held to maturity that were purchased and sold during the year had original maturities of less than three months. Short-term investments that are designated as trading are stated at market. The unrealized holding gain on such securities was not significant.</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19"/>
          </w:cols>
          <w:pgMar w:left="240" w:top="650" w:right="1440" w:bottom="1440" w:gutter="0" w:footer="0" w:header="0"/>
        </w:sectPr>
      </w:pPr>
    </w:p>
    <w:bookmarkStart w:id="30" w:name="page31"/>
    <w:bookmarkEnd w:id="30"/>
    <w:p>
      <w:pPr>
        <w:ind w:right="3019" w:firstLine="461"/>
        <w:spacing w:after="0" w:line="253" w:lineRule="auto"/>
        <w:rPr>
          <w:sz w:val="20"/>
          <w:szCs w:val="20"/>
          <w:color w:val="auto"/>
        </w:rPr>
      </w:pPr>
      <w:r>
        <w:rPr>
          <w:rFonts w:ascii="Courier New" w:cs="Courier New" w:eastAsia="Courier New" w:hAnsi="Courier New"/>
          <w:sz w:val="15"/>
          <w:szCs w:val="15"/>
          <w:color w:val="auto"/>
        </w:rPr>
        <w:t>Long-term investments mature in 1998-$78 million, in 1999-$92 million and $154 million thereafter.</w:t>
      </w:r>
    </w:p>
    <w:p>
      <w:pPr>
        <w:spacing w:after="0" w:line="174"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For purposes of the Consolidated Statement of Cash Flows, the Company does not consider short-term investments to be cash equivalents as they generally have original maturities in excess of three months. Short-term investments at December 31, 1996 and 1995 were $1.2 billion and $1.0 billion, respectively.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85"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rPr>
        <w:t>Inventories are stated principally at average or standard cost, which approximates average cost, or at market, if lower. Inventory consists primarily of materials and supplies.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EXCESS OF INVESTMENT OVER NET ASSETS OF COMPANIES PURCHASED</w:t>
      </w:r>
    </w:p>
    <w:p>
      <w:pPr>
        <w:spacing w:after="0" w:line="185" w:lineRule="exact"/>
        <w:rPr>
          <w:sz w:val="20"/>
          <w:szCs w:val="20"/>
          <w:color w:val="auto"/>
        </w:rPr>
      </w:pPr>
    </w:p>
    <w:p>
      <w:pPr>
        <w:jc w:val="both"/>
        <w:ind w:right="2839"/>
        <w:spacing w:after="0" w:line="252" w:lineRule="auto"/>
        <w:rPr>
          <w:sz w:val="20"/>
          <w:szCs w:val="20"/>
          <w:color w:val="auto"/>
        </w:rPr>
      </w:pPr>
      <w:r>
        <w:rPr>
          <w:rFonts w:ascii="Courier New" w:cs="Courier New" w:eastAsia="Courier New" w:hAnsi="Courier New"/>
          <w:sz w:val="15"/>
          <w:szCs w:val="15"/>
          <w:color w:val="auto"/>
        </w:rPr>
        <w:t>Cost in excess of net assets of purchased companies is amortized on a straight-line basis over periods ranging from 7 to 40 years. Accumulated amortization was $287 million and $278 million at December 31, 1996 and 1995, respectively.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FIXED ASSETS AND DEPRECIATION</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Fixed assets are stated at cost less accumulated depreciation, which is provided for by charges to income over the estimated useful lives of the assets by the straight-line method. Fixed assets include the manufacturing cost (average cost) of oilfield technical equipment manufactured by subsidiaries of the Company. Expenditures for renewals, replacements and betterments are capitalized. Maintenance and repairs are charged to operating expenses as incurred. Upon sale or other disposition, the applicable amounts of asset cost and accumulated depreciation are removed from the accounts and the net amount, less proceeds from disposal, is charged or credited to income.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TAXES ON INCOME</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The Company and its subsidiaries compute taxes on income in accordance with the tax rules and regulations of the many taxing authorities where the income is earned. The income tax rates imposed by these taxing authorities vary substantially. Taxable income may differ from pretax income for financial accounting purposes. To the extent that differences are due to revenue or expense items reported in one period for tax purposes and in another period for financial accounting purposes, an appropriate provision for deferred income taxes is made.</w:t>
      </w:r>
    </w:p>
    <w:p>
      <w:pPr>
        <w:spacing w:after="0" w:line="175"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Approximately $2.5 billion of consolidated income retained for use in the business at December 31, 1996, represented undistributed earnings of consolidated subsidiaries and the Company's pro rata share of 20%-50% owned companies. No provision is made for deferred income taxes on those earnings considered to be indefinitely reinvested or earnings that would not be taxed when remitted.</w:t>
      </w:r>
    </w:p>
    <w:p>
      <w:pPr>
        <w:spacing w:after="0" w:line="176" w:lineRule="exact"/>
        <w:rPr>
          <w:sz w:val="20"/>
          <w:szCs w:val="20"/>
          <w:color w:val="auto"/>
        </w:rPr>
      </w:pPr>
    </w:p>
    <w:p>
      <w:pPr>
        <w:ind w:right="2839" w:firstLine="461"/>
        <w:spacing w:after="0" w:line="253" w:lineRule="auto"/>
        <w:rPr>
          <w:sz w:val="20"/>
          <w:szCs w:val="20"/>
          <w:color w:val="auto"/>
        </w:rPr>
      </w:pPr>
      <w:r>
        <w:rPr>
          <w:rFonts w:ascii="Courier New" w:cs="Courier New" w:eastAsia="Courier New" w:hAnsi="Courier New"/>
          <w:sz w:val="15"/>
          <w:szCs w:val="15"/>
          <w:color w:val="auto"/>
        </w:rPr>
        <w:t>Tax credits and other allowances are credited to current income tax expense on the flow-through method of accounting.</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 PER SHARE</w:t>
      </w:r>
    </w:p>
    <w:p>
      <w:pPr>
        <w:spacing w:after="0" w:line="185" w:lineRule="exact"/>
        <w:rPr>
          <w:sz w:val="20"/>
          <w:szCs w:val="20"/>
          <w:color w:val="auto"/>
        </w:rPr>
      </w:pPr>
    </w:p>
    <w:p>
      <w:pPr>
        <w:ind w:right="2839"/>
        <w:spacing w:after="0" w:line="252" w:lineRule="auto"/>
        <w:rPr>
          <w:sz w:val="20"/>
          <w:szCs w:val="20"/>
          <w:color w:val="auto"/>
        </w:rPr>
      </w:pPr>
      <w:r>
        <w:rPr>
          <w:rFonts w:ascii="Courier New" w:cs="Courier New" w:eastAsia="Courier New" w:hAnsi="Courier New"/>
          <w:sz w:val="15"/>
          <w:szCs w:val="15"/>
          <w:color w:val="auto"/>
        </w:rPr>
        <w:t>Net income per share is computed by dividing net income by the average number of common shares outstanding during the year. The effect of common stock equivalents on the computation of earnings per share was not significant.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&amp; ENGINEERING</w:t>
      </w:r>
    </w:p>
    <w:p>
      <w:pPr>
        <w:spacing w:after="0" w:line="185" w:lineRule="exact"/>
        <w:rPr>
          <w:sz w:val="20"/>
          <w:szCs w:val="20"/>
          <w:color w:val="auto"/>
        </w:rPr>
      </w:pPr>
    </w:p>
    <w:p>
      <w:pPr>
        <w:jc w:val="both"/>
        <w:ind w:right="3299"/>
        <w:spacing w:after="0" w:line="253" w:lineRule="auto"/>
        <w:rPr>
          <w:sz w:val="20"/>
          <w:szCs w:val="20"/>
          <w:color w:val="auto"/>
        </w:rPr>
      </w:pPr>
      <w:r>
        <w:rPr>
          <w:rFonts w:ascii="Courier New" w:cs="Courier New" w:eastAsia="Courier New" w:hAnsi="Courier New"/>
          <w:sz w:val="15"/>
          <w:szCs w:val="15"/>
          <w:color w:val="auto"/>
        </w:rPr>
        <w:t>All research &amp; engineering expenditures are expensed as incurred, including costs relating to patents or rights that may result from such expenditures.</w:t>
      </w:r>
    </w:p>
    <w:p>
      <w:pPr>
        <w:spacing w:after="0" w:line="17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828"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Unusual Items</w:t>
      </w:r>
    </w:p>
    <w:p>
      <w:pPr>
        <w:spacing w:after="0" w:line="185"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The Company announced a charge of $300 million after tax in the third quarter related primarily to the Electricity &amp; Gas and Geco-Prakla Land and Transition Zone businesses. During the quarter, the Electricity and Gas Management product lines were combined into a single business in response to the huge market and technology changes occurring in the energy supply sector. This combination will result in lower headcount and fewer manufacturing facilities and products. At Geco-Prakla, the Land and Transition Zone businesses have improved, however, they are still in a loss position and accordingly, require radical changes in organization and structure, and the write-off of Land goodwill. The after-tax charge of $300 million includes pre-tax charges of $112 million for severance and termination costs, other facilities' closure costs of $39 million, goodwill write-offs of $122 million, and other asset impairments/charges of $60 million.</w:t>
      </w:r>
    </w:p>
    <w:p>
      <w:pPr>
        <w:spacing w:after="0" w:line="183"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severance and termination costs relate to less than 5% of the worldwide workforce primarily in Europe and pertain to both manufacturing and operating personnel in about 30 locations. Most of the other facilities closure costs relate to the write-down of buildings, equipment and other assets to net realizable value.</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In addition, the Company recorded a charge of $58 million after tax, including a loss on the divestiture of the remaining defense-related activity, certain asset impairments and other charges. The amount is classified in cost of goods solds and services ($47 million) and taxes on income ($11 million).</w:t>
      </w:r>
    </w:p>
    <w:p>
      <w:pPr>
        <w:spacing w:after="0" w:line="176" w:lineRule="exact"/>
        <w:rPr>
          <w:sz w:val="20"/>
          <w:szCs w:val="20"/>
          <w:color w:val="auto"/>
        </w:rPr>
      </w:pPr>
    </w:p>
    <w:p>
      <w:pPr>
        <w:ind w:right="3019" w:firstLine="461"/>
        <w:spacing w:after="0" w:line="253" w:lineRule="auto"/>
        <w:rPr>
          <w:sz w:val="20"/>
          <w:szCs w:val="20"/>
          <w:color w:val="auto"/>
        </w:rPr>
      </w:pPr>
      <w:r>
        <w:rPr>
          <w:rFonts w:ascii="Courier New" w:cs="Courier New" w:eastAsia="Courier New" w:hAnsi="Courier New"/>
          <w:sz w:val="15"/>
          <w:szCs w:val="15"/>
          <w:color w:val="auto"/>
        </w:rPr>
        <w:t>As of December 31, 1996, $12 million of the severance and termination had been spent. The remainder should be spent within the next 18 months.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w:t>
      </w:r>
    </w:p>
    <w:p>
      <w:pPr>
        <w:spacing w:after="0" w:line="18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During 1996, subsidiaries of the Company acquired Solaic, SA (on December 31, 1996), a magnetic and smart card manufacturer; an 80% interest in Printer, a magnetic stripe card manufacturer; Oilphase Sampling Services Ltd., a reservoir fluid sampling company; The Production Analyst* and OilField Manager* software products from OGCI Software, Inc.; Germann, a turnkey gasoline station provider; Gueant, a gas dispenser service company; and a 33% equity interest in DAP Technologies Limited, a developer and manufacturer of rugged handheld computer products. The purchase prices were $75 million, $9 million, $7 million, $8 million, $8 million, $7 million and $4 million, respectively. These acquisitions were accounted for as purchases. Costs in excess of net assets acquired were $91 million which are being amortized on a straight-line basis over periods between 7 and 25 years.</w:t>
      </w:r>
    </w:p>
    <w:p>
      <w:pPr>
        <w:spacing w:after="0" w:line="183"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During 1995, subsidiaries of the Company acquired a further 40% interest in CGST Save, a French gas meter service company; the remaining 40% interest in J.B. Rombach, a German metering business; G.S.I. Saudi Arabia Ltd., a land seismic company; the Petroleum Division of Intera Information Technologies Corporation, a reservoir simulation software company; and Danyl Inc., a point-of-sale terminal manufacturer. The purchase prices were $71 million, $42 million, $15 million, $59 million and $12 million, respectively. These acquisitions were accounted for as purchases. Costs in excess of net assets acquired were $167 million which are being amortized on a straight-line basis over periods between 15 and 25 years.</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19"/>
          </w:cols>
          <w:pgMar w:left="240" w:top="828" w:right="1440" w:bottom="1440" w:gutter="0" w:footer="0" w:header="0"/>
        </w:sectPr>
      </w:pPr>
    </w:p>
    <w:bookmarkStart w:id="32" w:name="page33"/>
    <w:bookmarkEnd w:id="32"/>
    <w:tbl>
      <w:tblPr>
        <w:tblLayout w:type="fixed"/>
        <w:tblInd w:w="5" w:type="dxa"/>
        <w:tblCellMar>
          <w:top w:w="0" w:type="dxa"/>
          <w:left w:w="0" w:type="dxa"/>
          <w:bottom w:w="0" w:type="dxa"/>
          <w:right w:w="0" w:type="dxa"/>
        </w:tblCellMar>
      </w:tblPr>
      <w:tr>
        <w:trPr>
          <w:trHeight w:val="172"/>
        </w:trPr>
        <w:tc>
          <w:tcPr>
            <w:tcW w:w="2200" w:type="dxa"/>
            <w:vAlign w:val="bottom"/>
          </w:tcPr>
          <w:p>
            <w:pPr>
              <w:spacing w:after="0"/>
              <w:rPr>
                <w:sz w:val="20"/>
                <w:szCs w:val="20"/>
                <w:color w:val="auto"/>
              </w:rPr>
            </w:pPr>
            <w:r>
              <w:rPr>
                <w:rFonts w:ascii="Courier New" w:cs="Courier New" w:eastAsia="Courier New" w:hAnsi="Courier New"/>
                <w:sz w:val="15"/>
                <w:szCs w:val="15"/>
                <w:color w:val="auto"/>
              </w:rPr>
              <w:t>Fixed Assets</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55"/>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A summary of fixed assets follows: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5"/>
        </w:trPr>
        <w:tc>
          <w:tcPr>
            <w:tcW w:w="2200" w:type="dxa"/>
            <w:vAlign w:val="bottom"/>
          </w:tcPr>
          <w:p>
            <w:pPr>
              <w:spacing w:after="0"/>
              <w:rPr>
                <w:sz w:val="24"/>
                <w:szCs w:val="24"/>
                <w:color w:val="auto"/>
              </w:rPr>
            </w:pPr>
          </w:p>
        </w:tc>
        <w:tc>
          <w:tcPr>
            <w:tcW w:w="2040" w:type="dxa"/>
            <w:vAlign w:val="bottom"/>
            <w:gridSpan w:val="3"/>
          </w:tcPr>
          <w:p>
            <w:pPr>
              <w:jc w:val="right"/>
              <w:ind w:right="103"/>
              <w:spacing w:after="0"/>
              <w:rPr>
                <w:sz w:val="20"/>
                <w:szCs w:val="20"/>
                <w:color w:val="auto"/>
              </w:rPr>
            </w:pPr>
            <w:r>
              <w:rPr>
                <w:rFonts w:ascii="Courier New" w:cs="Courier New" w:eastAsia="Courier New" w:hAnsi="Courier New"/>
                <w:sz w:val="15"/>
                <w:szCs w:val="15"/>
                <w:color w:val="auto"/>
              </w:rPr>
              <w:t>(Stated in millions)</w:t>
            </w:r>
          </w:p>
        </w:tc>
      </w:tr>
      <w:tr>
        <w:trPr>
          <w:trHeight w:val="177"/>
        </w:trPr>
        <w:tc>
          <w:tcPr>
            <w:tcW w:w="220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1996</w:t>
            </w:r>
          </w:p>
        </w:tc>
        <w:tc>
          <w:tcPr>
            <w:tcW w:w="100" w:type="dxa"/>
            <w:vAlign w:val="bottom"/>
          </w:tcPr>
          <w:p>
            <w:pPr>
              <w:spacing w:after="0"/>
              <w:rPr>
                <w:sz w:val="15"/>
                <w:szCs w:val="15"/>
                <w:color w:val="auto"/>
              </w:rPr>
            </w:pPr>
          </w:p>
        </w:tc>
        <w:tc>
          <w:tcPr>
            <w:tcW w:w="6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1995</w:t>
            </w:r>
          </w:p>
        </w:tc>
      </w:tr>
      <w:tr>
        <w:trPr>
          <w:trHeight w:val="177"/>
        </w:trPr>
        <w:tc>
          <w:tcPr>
            <w:tcW w:w="2200" w:type="dxa"/>
            <w:vAlign w:val="bottom"/>
          </w:tcPr>
          <w:p>
            <w:pPr>
              <w:spacing w:after="0"/>
              <w:rPr>
                <w:sz w:val="20"/>
                <w:szCs w:val="20"/>
                <w:color w:val="auto"/>
              </w:rPr>
            </w:pPr>
            <w:r>
              <w:rPr>
                <w:rFonts w:ascii="Courier New" w:cs="Courier New" w:eastAsia="Courier New" w:hAnsi="Courier New"/>
                <w:sz w:val="15"/>
                <w:szCs w:val="15"/>
                <w:color w:val="auto"/>
                <w:w w:val="83"/>
              </w:rPr>
              <w:t>- ---------------------------</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20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71</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78</w:t>
            </w:r>
          </w:p>
        </w:tc>
      </w:tr>
      <w:tr>
        <w:trPr>
          <w:trHeight w:val="177"/>
        </w:trPr>
        <w:tc>
          <w:tcPr>
            <w:tcW w:w="2200" w:type="dxa"/>
            <w:vAlign w:val="bottom"/>
          </w:tcPr>
          <w:p>
            <w:pPr>
              <w:spacing w:after="0"/>
              <w:rPr>
                <w:sz w:val="20"/>
                <w:szCs w:val="20"/>
                <w:color w:val="auto"/>
              </w:rPr>
            </w:pPr>
            <w:r>
              <w:rPr>
                <w:rFonts w:ascii="Courier New" w:cs="Courier New" w:eastAsia="Courier New" w:hAnsi="Courier New"/>
                <w:sz w:val="15"/>
                <w:szCs w:val="15"/>
                <w:color w:val="auto"/>
              </w:rPr>
              <w:t>Buildings &amp;</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200" w:type="dxa"/>
            <w:vAlign w:val="bottom"/>
          </w:tcPr>
          <w:p>
            <w:pPr>
              <w:ind w:left="460"/>
              <w:spacing w:after="0"/>
              <w:rPr>
                <w:sz w:val="20"/>
                <w:szCs w:val="20"/>
                <w:color w:val="auto"/>
              </w:rPr>
            </w:pPr>
            <w:r>
              <w:rPr>
                <w:rFonts w:ascii="Courier New" w:cs="Courier New" w:eastAsia="Courier New" w:hAnsi="Courier New"/>
                <w:sz w:val="15"/>
                <w:szCs w:val="15"/>
                <w:color w:val="auto"/>
              </w:rPr>
              <w:t>improvements</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1,040</w:t>
            </w:r>
          </w:p>
        </w:tc>
        <w:tc>
          <w:tcPr>
            <w:tcW w:w="100" w:type="dxa"/>
            <w:vAlign w:val="bottom"/>
          </w:tcPr>
          <w:p>
            <w:pPr>
              <w:spacing w:after="0"/>
              <w:rPr>
                <w:sz w:val="15"/>
                <w:szCs w:val="15"/>
                <w:color w:val="auto"/>
              </w:rPr>
            </w:pPr>
          </w:p>
        </w:tc>
        <w:tc>
          <w:tcPr>
            <w:tcW w:w="64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7"/>
              </w:rPr>
              <w:t>1,027</w:t>
            </w:r>
          </w:p>
        </w:tc>
      </w:tr>
      <w:tr>
        <w:trPr>
          <w:trHeight w:val="177"/>
        </w:trPr>
        <w:tc>
          <w:tcPr>
            <w:tcW w:w="2200" w:type="dxa"/>
            <w:vAlign w:val="bottom"/>
          </w:tcPr>
          <w:p>
            <w:pPr>
              <w:spacing w:after="0"/>
              <w:rPr>
                <w:sz w:val="20"/>
                <w:szCs w:val="20"/>
                <w:color w:val="auto"/>
              </w:rPr>
            </w:pPr>
            <w:r>
              <w:rPr>
                <w:rFonts w:ascii="Courier New" w:cs="Courier New" w:eastAsia="Courier New" w:hAnsi="Courier New"/>
                <w:sz w:val="15"/>
                <w:szCs w:val="15"/>
                <w:color w:val="auto"/>
              </w:rPr>
              <w:t>Machinery and</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200" w:type="dxa"/>
            <w:vAlign w:val="bottom"/>
          </w:tcPr>
          <w:p>
            <w:pPr>
              <w:ind w:left="460"/>
              <w:spacing w:after="0"/>
              <w:rPr>
                <w:sz w:val="20"/>
                <w:szCs w:val="20"/>
                <w:color w:val="auto"/>
              </w:rPr>
            </w:pPr>
            <w:r>
              <w:rPr>
                <w:rFonts w:ascii="Courier New" w:cs="Courier New" w:eastAsia="Courier New" w:hAnsi="Courier New"/>
                <w:sz w:val="15"/>
                <w:szCs w:val="15"/>
                <w:color w:val="auto"/>
              </w:rPr>
              <w:t>equipment</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8,467</w:t>
            </w:r>
          </w:p>
        </w:tc>
        <w:tc>
          <w:tcPr>
            <w:tcW w:w="100" w:type="dxa"/>
            <w:vAlign w:val="bottom"/>
          </w:tcPr>
          <w:p>
            <w:pPr>
              <w:spacing w:after="0"/>
              <w:rPr>
                <w:sz w:val="15"/>
                <w:szCs w:val="15"/>
                <w:color w:val="auto"/>
              </w:rPr>
            </w:pPr>
          </w:p>
        </w:tc>
        <w:tc>
          <w:tcPr>
            <w:tcW w:w="64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7"/>
              </w:rPr>
              <w:t>8,003</w:t>
            </w:r>
          </w:p>
        </w:tc>
      </w:tr>
      <w:tr>
        <w:trPr>
          <w:trHeight w:val="177"/>
        </w:trPr>
        <w:tc>
          <w:tcPr>
            <w:tcW w:w="2200" w:type="dxa"/>
            <w:vAlign w:val="bottom"/>
          </w:tcPr>
          <w:p>
            <w:pPr>
              <w:spacing w:after="0"/>
              <w:rPr>
                <w:sz w:val="20"/>
                <w:szCs w:val="20"/>
                <w:color w:val="auto"/>
              </w:rPr>
            </w:pPr>
            <w:r>
              <w:rPr>
                <w:rFonts w:ascii="Courier New" w:cs="Courier New" w:eastAsia="Courier New" w:hAnsi="Courier New"/>
                <w:sz w:val="15"/>
                <w:szCs w:val="15"/>
                <w:color w:val="auto"/>
                <w:w w:val="83"/>
              </w:rPr>
              <w:t>- ---------------------------</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200" w:type="dxa"/>
            <w:vAlign w:val="bottom"/>
          </w:tcPr>
          <w:p>
            <w:pPr>
              <w:spacing w:after="0"/>
              <w:rPr>
                <w:sz w:val="20"/>
                <w:szCs w:val="20"/>
                <w:color w:val="auto"/>
              </w:rPr>
            </w:pPr>
            <w:r>
              <w:rPr>
                <w:rFonts w:ascii="Courier New" w:cs="Courier New" w:eastAsia="Courier New" w:hAnsi="Courier New"/>
                <w:sz w:val="15"/>
                <w:szCs w:val="15"/>
                <w:color w:val="auto"/>
              </w:rPr>
              <w:t>Total cost</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9,578</w:t>
            </w:r>
          </w:p>
        </w:tc>
        <w:tc>
          <w:tcPr>
            <w:tcW w:w="100" w:type="dxa"/>
            <w:vAlign w:val="bottom"/>
          </w:tcPr>
          <w:p>
            <w:pPr>
              <w:spacing w:after="0"/>
              <w:rPr>
                <w:sz w:val="15"/>
                <w:szCs w:val="15"/>
                <w:color w:val="auto"/>
              </w:rPr>
            </w:pPr>
          </w:p>
        </w:tc>
        <w:tc>
          <w:tcPr>
            <w:tcW w:w="64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7"/>
              </w:rPr>
              <w:t>9,108</w:t>
            </w:r>
          </w:p>
        </w:tc>
      </w:tr>
      <w:tr>
        <w:trPr>
          <w:trHeight w:val="177"/>
        </w:trPr>
        <w:tc>
          <w:tcPr>
            <w:tcW w:w="2200" w:type="dxa"/>
            <w:vAlign w:val="bottom"/>
          </w:tcPr>
          <w:p>
            <w:pPr>
              <w:spacing w:after="0"/>
              <w:rPr>
                <w:sz w:val="20"/>
                <w:szCs w:val="20"/>
                <w:color w:val="auto"/>
              </w:rPr>
            </w:pPr>
            <w:r>
              <w:rPr>
                <w:rFonts w:ascii="Courier New" w:cs="Courier New" w:eastAsia="Courier New" w:hAnsi="Courier New"/>
                <w:sz w:val="15"/>
                <w:szCs w:val="15"/>
                <w:color w:val="auto"/>
              </w:rPr>
              <w:t>Less accumulated</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200" w:type="dxa"/>
            <w:vAlign w:val="bottom"/>
          </w:tcPr>
          <w:p>
            <w:pPr>
              <w:ind w:left="460"/>
              <w:spacing w:after="0"/>
              <w:rPr>
                <w:sz w:val="20"/>
                <w:szCs w:val="20"/>
                <w:color w:val="auto"/>
              </w:rPr>
            </w:pPr>
            <w:r>
              <w:rPr>
                <w:rFonts w:ascii="Courier New" w:cs="Courier New" w:eastAsia="Courier New" w:hAnsi="Courier New"/>
                <w:sz w:val="15"/>
                <w:szCs w:val="15"/>
                <w:color w:val="auto"/>
              </w:rPr>
              <w:t>depreciation</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6,219</w:t>
            </w:r>
          </w:p>
        </w:tc>
        <w:tc>
          <w:tcPr>
            <w:tcW w:w="100" w:type="dxa"/>
            <w:vAlign w:val="bottom"/>
          </w:tcPr>
          <w:p>
            <w:pPr>
              <w:spacing w:after="0"/>
              <w:rPr>
                <w:sz w:val="15"/>
                <w:szCs w:val="15"/>
                <w:color w:val="auto"/>
              </w:rPr>
            </w:pPr>
          </w:p>
        </w:tc>
        <w:tc>
          <w:tcPr>
            <w:tcW w:w="64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7"/>
              </w:rPr>
              <w:t>5,990</w:t>
            </w:r>
          </w:p>
        </w:tc>
      </w:tr>
    </w:tbl>
    <w:p>
      <w:pPr>
        <w:spacing w:after="0" w:line="5" w:lineRule="exact"/>
        <w:rPr>
          <w:sz w:val="20"/>
          <w:szCs w:val="20"/>
          <w:color w:val="auto"/>
        </w:rPr>
      </w:pPr>
    </w:p>
    <w:p>
      <w:pPr>
        <w:ind w:left="185" w:hanging="185"/>
        <w:spacing w:after="0"/>
        <w:tabs>
          <w:tab w:leader="none" w:pos="18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7" w:lineRule="exact"/>
        <w:rPr>
          <w:rFonts w:ascii="Courier New" w:cs="Courier New" w:eastAsia="Courier New" w:hAnsi="Courier New"/>
          <w:sz w:val="15"/>
          <w:szCs w:val="15"/>
          <w:color w:val="auto"/>
        </w:rPr>
      </w:pPr>
    </w:p>
    <w:p>
      <w:pPr>
        <w:ind w:left="27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$3,359  $3,118</w:t>
      </w:r>
    </w:p>
    <w:p>
      <w:pPr>
        <w:spacing w:after="0" w:line="8" w:lineRule="exact"/>
        <w:rPr>
          <w:sz w:val="20"/>
          <w:szCs w:val="20"/>
          <w:color w:val="auto"/>
        </w:rPr>
      </w:pPr>
    </w:p>
    <w:p>
      <w:pPr>
        <w:ind w:left="5"/>
        <w:spacing w:after="0"/>
        <w:tabs>
          <w:tab w:leader="none" w:pos="2745" w:val="left"/>
          <w:tab w:leader="none" w:pos="3485"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tab/>
        <w:t>======</w:t>
      </w:r>
    </w:p>
    <w:p>
      <w:pPr>
        <w:spacing w:after="0" w:line="185" w:lineRule="exact"/>
        <w:rPr>
          <w:sz w:val="20"/>
          <w:szCs w:val="20"/>
          <w:color w:val="auto"/>
        </w:rPr>
      </w:pPr>
    </w:p>
    <w:p>
      <w:pPr>
        <w:ind w:left="5" w:right="2839" w:firstLine="461"/>
        <w:spacing w:after="0" w:line="253" w:lineRule="auto"/>
        <w:rPr>
          <w:sz w:val="20"/>
          <w:szCs w:val="20"/>
          <w:color w:val="auto"/>
        </w:rPr>
      </w:pPr>
      <w:r>
        <w:rPr>
          <w:rFonts w:ascii="Courier New" w:cs="Courier New" w:eastAsia="Courier New" w:hAnsi="Courier New"/>
          <w:sz w:val="15"/>
          <w:szCs w:val="15"/>
          <w:color w:val="auto"/>
        </w:rPr>
        <w:t>Estimated useful lives of Buildings &amp; improvements range from 5 to 50 years and of Machinery and equipment from 2 to 25 years.</w:t>
      </w:r>
    </w:p>
    <w:p>
      <w:pPr>
        <w:spacing w:after="0" w:line="174"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Long-Term Debt</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A summary of long-term debt by currency follows:</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200" w:type="dxa"/>
            <w:vAlign w:val="bottom"/>
          </w:tcPr>
          <w:p>
            <w:pPr>
              <w:spacing w:after="0"/>
              <w:rPr>
                <w:sz w:val="14"/>
                <w:szCs w:val="14"/>
                <w:color w:val="auto"/>
              </w:rPr>
            </w:pPr>
          </w:p>
        </w:tc>
        <w:tc>
          <w:tcPr>
            <w:tcW w:w="204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(Stated in millions)</w:t>
            </w:r>
          </w:p>
        </w:tc>
      </w:tr>
      <w:tr>
        <w:trPr>
          <w:trHeight w:val="177"/>
        </w:trPr>
        <w:tc>
          <w:tcPr>
            <w:tcW w:w="220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13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1996</w:t>
            </w:r>
          </w:p>
        </w:tc>
        <w:tc>
          <w:tcPr>
            <w:tcW w:w="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1995</w:t>
            </w:r>
          </w:p>
        </w:tc>
      </w:tr>
      <w:tr>
        <w:trPr>
          <w:trHeight w:val="177"/>
        </w:trPr>
        <w:tc>
          <w:tcPr>
            <w:tcW w:w="2200" w:type="dxa"/>
            <w:vAlign w:val="bottom"/>
          </w:tcPr>
          <w:p>
            <w:pPr>
              <w:spacing w:after="0"/>
              <w:rPr>
                <w:sz w:val="20"/>
                <w:szCs w:val="20"/>
                <w:color w:val="auto"/>
              </w:rPr>
            </w:pPr>
            <w:r>
              <w:rPr>
                <w:rFonts w:ascii="Courier New" w:cs="Courier New" w:eastAsia="Courier New" w:hAnsi="Courier New"/>
                <w:sz w:val="15"/>
                <w:szCs w:val="15"/>
                <w:color w:val="auto"/>
                <w:w w:val="83"/>
              </w:rPr>
              <w:t>- ---------------------------</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200" w:type="dxa"/>
            <w:vAlign w:val="bottom"/>
          </w:tcPr>
          <w:p>
            <w:pPr>
              <w:spacing w:after="0"/>
              <w:rPr>
                <w:sz w:val="20"/>
                <w:szCs w:val="20"/>
                <w:color w:val="auto"/>
              </w:rPr>
            </w:pPr>
            <w:r>
              <w:rPr>
                <w:rFonts w:ascii="Courier New" w:cs="Courier New" w:eastAsia="Courier New" w:hAnsi="Courier New"/>
                <w:sz w:val="15"/>
                <w:szCs w:val="15"/>
                <w:color w:val="auto"/>
              </w:rPr>
              <w:t>US dollar</w:t>
            </w:r>
          </w:p>
        </w:tc>
        <w:tc>
          <w:tcPr>
            <w:tcW w:w="13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$ 195</w:t>
            </w:r>
          </w:p>
        </w:tc>
        <w:tc>
          <w:tcPr>
            <w:tcW w:w="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$ 110</w:t>
            </w:r>
          </w:p>
        </w:tc>
      </w:tr>
      <w:tr>
        <w:trPr>
          <w:trHeight w:val="177"/>
        </w:trPr>
        <w:tc>
          <w:tcPr>
            <w:tcW w:w="2200" w:type="dxa"/>
            <w:vAlign w:val="bottom"/>
          </w:tcPr>
          <w:p>
            <w:pPr>
              <w:spacing w:after="0"/>
              <w:rPr>
                <w:sz w:val="20"/>
                <w:szCs w:val="20"/>
                <w:color w:val="auto"/>
              </w:rPr>
            </w:pPr>
            <w:r>
              <w:rPr>
                <w:rFonts w:ascii="Courier New" w:cs="Courier New" w:eastAsia="Courier New" w:hAnsi="Courier New"/>
                <w:sz w:val="15"/>
                <w:szCs w:val="15"/>
                <w:color w:val="auto"/>
              </w:rPr>
              <w:t>German mark</w:t>
            </w:r>
          </w:p>
        </w:tc>
        <w:tc>
          <w:tcPr>
            <w:tcW w:w="13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185</w:t>
            </w:r>
          </w:p>
        </w:tc>
        <w:tc>
          <w:tcPr>
            <w:tcW w:w="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165</w:t>
            </w:r>
          </w:p>
        </w:tc>
      </w:tr>
      <w:tr>
        <w:trPr>
          <w:trHeight w:val="177"/>
        </w:trPr>
        <w:tc>
          <w:tcPr>
            <w:tcW w:w="2200" w:type="dxa"/>
            <w:vAlign w:val="bottom"/>
          </w:tcPr>
          <w:p>
            <w:pPr>
              <w:spacing w:after="0"/>
              <w:rPr>
                <w:sz w:val="20"/>
                <w:szCs w:val="20"/>
                <w:color w:val="auto"/>
              </w:rPr>
            </w:pPr>
            <w:r>
              <w:rPr>
                <w:rFonts w:ascii="Courier New" w:cs="Courier New" w:eastAsia="Courier New" w:hAnsi="Courier New"/>
                <w:sz w:val="15"/>
                <w:szCs w:val="15"/>
                <w:color w:val="auto"/>
              </w:rPr>
              <w:t>UK pound</w:t>
            </w:r>
          </w:p>
        </w:tc>
        <w:tc>
          <w:tcPr>
            <w:tcW w:w="13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137</w:t>
            </w:r>
          </w:p>
        </w:tc>
        <w:tc>
          <w:tcPr>
            <w:tcW w:w="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192</w:t>
            </w:r>
          </w:p>
        </w:tc>
      </w:tr>
      <w:tr>
        <w:trPr>
          <w:trHeight w:val="177"/>
        </w:trPr>
        <w:tc>
          <w:tcPr>
            <w:tcW w:w="2200" w:type="dxa"/>
            <w:vAlign w:val="bottom"/>
          </w:tcPr>
          <w:p>
            <w:pPr>
              <w:spacing w:after="0"/>
              <w:rPr>
                <w:sz w:val="20"/>
                <w:szCs w:val="20"/>
                <w:color w:val="auto"/>
              </w:rPr>
            </w:pPr>
            <w:r>
              <w:rPr>
                <w:rFonts w:ascii="Courier New" w:cs="Courier New" w:eastAsia="Courier New" w:hAnsi="Courier New"/>
                <w:sz w:val="15"/>
                <w:szCs w:val="15"/>
                <w:color w:val="auto"/>
              </w:rPr>
              <w:t>Japanese yen</w:t>
            </w:r>
          </w:p>
        </w:tc>
        <w:tc>
          <w:tcPr>
            <w:tcW w:w="13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101</w:t>
            </w:r>
          </w:p>
        </w:tc>
        <w:tc>
          <w:tcPr>
            <w:tcW w:w="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113</w:t>
            </w:r>
          </w:p>
        </w:tc>
      </w:tr>
      <w:tr>
        <w:trPr>
          <w:trHeight w:val="177"/>
        </w:trPr>
        <w:tc>
          <w:tcPr>
            <w:tcW w:w="22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3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w:t>
            </w:r>
          </w:p>
        </w:tc>
        <w:tc>
          <w:tcPr>
            <w:tcW w:w="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33</w:t>
            </w:r>
          </w:p>
        </w:tc>
      </w:tr>
      <w:tr>
        <w:trPr>
          <w:trHeight w:val="177"/>
        </w:trPr>
        <w:tc>
          <w:tcPr>
            <w:tcW w:w="2200" w:type="dxa"/>
            <w:vAlign w:val="bottom"/>
          </w:tcPr>
          <w:p>
            <w:pPr>
              <w:spacing w:after="0"/>
              <w:rPr>
                <w:sz w:val="20"/>
                <w:szCs w:val="20"/>
                <w:color w:val="auto"/>
              </w:rPr>
            </w:pPr>
            <w:r>
              <w:rPr>
                <w:rFonts w:ascii="Courier New" w:cs="Courier New" w:eastAsia="Courier New" w:hAnsi="Courier New"/>
                <w:sz w:val="15"/>
                <w:szCs w:val="15"/>
                <w:color w:val="auto"/>
                <w:w w:val="83"/>
              </w:rPr>
              <w:t>- ---------------------------</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3045" w:hanging="185"/>
        <w:spacing w:after="0"/>
        <w:tabs>
          <w:tab w:leader="none" w:pos="3045"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637   $ 613</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left="5" w:right="3119" w:firstLine="461"/>
        <w:spacing w:after="0" w:line="251" w:lineRule="auto"/>
        <w:rPr>
          <w:sz w:val="20"/>
          <w:szCs w:val="20"/>
          <w:color w:val="auto"/>
        </w:rPr>
      </w:pPr>
      <w:r>
        <w:rPr>
          <w:rFonts w:ascii="Courier New" w:cs="Courier New" w:eastAsia="Courier New" w:hAnsi="Courier New"/>
          <w:sz w:val="15"/>
          <w:szCs w:val="15"/>
          <w:color w:val="auto"/>
        </w:rPr>
        <w:t>Long-term debt is at variable rates; substantially all of the debt is at rates up to 7%. Such rates are reset every six months or sooner. Accordingly, the carrying value of long-term debt at December 31, 1996 approximates the aggregate fair value.</w:t>
      </w:r>
    </w:p>
    <w:p>
      <w:pPr>
        <w:spacing w:after="0" w:line="176" w:lineRule="exact"/>
        <w:rPr>
          <w:sz w:val="20"/>
          <w:szCs w:val="20"/>
          <w:color w:val="auto"/>
        </w:rPr>
      </w:pPr>
    </w:p>
    <w:p>
      <w:pPr>
        <w:ind w:left="5" w:right="3219" w:firstLine="461"/>
        <w:spacing w:after="0" w:line="252" w:lineRule="auto"/>
        <w:rPr>
          <w:sz w:val="20"/>
          <w:szCs w:val="20"/>
          <w:color w:val="auto"/>
        </w:rPr>
      </w:pPr>
      <w:r>
        <w:rPr>
          <w:rFonts w:ascii="Courier New" w:cs="Courier New" w:eastAsia="Courier New" w:hAnsi="Courier New"/>
          <w:sz w:val="15"/>
          <w:szCs w:val="15"/>
          <w:color w:val="auto"/>
        </w:rPr>
        <w:t>Long-term debt at December 31, 1996, is due $208 million in 1998, $33 million in 1999, $190 million in 2000, $101 million in 2001 and $105 million thereafter.</w:t>
      </w:r>
    </w:p>
    <w:p>
      <w:pPr>
        <w:spacing w:after="0" w:line="175" w:lineRule="exact"/>
        <w:rPr>
          <w:sz w:val="20"/>
          <w:szCs w:val="20"/>
          <w:color w:val="auto"/>
        </w:rPr>
      </w:pPr>
    </w:p>
    <w:p>
      <w:pPr>
        <w:ind w:left="5" w:right="3019" w:firstLine="461"/>
        <w:spacing w:after="0" w:line="251" w:lineRule="auto"/>
        <w:rPr>
          <w:sz w:val="20"/>
          <w:szCs w:val="20"/>
          <w:color w:val="auto"/>
        </w:rPr>
      </w:pPr>
      <w:r>
        <w:rPr>
          <w:rFonts w:ascii="Courier New" w:cs="Courier New" w:eastAsia="Courier New" w:hAnsi="Courier New"/>
          <w:sz w:val="15"/>
          <w:szCs w:val="15"/>
          <w:color w:val="auto"/>
        </w:rPr>
        <w:t>At December 31, 1996, there were no interest rate swap arrangements outstanding. At times, interest rate swap arrangements are entered into to adjust non-US dollar denominated debt and interest rates into US dollars. Interest rate swap arrangements had no impact in 1996 and an immaterial effect on consolidated interest expense in 1995. The exposure in the event of nonperformance by the other parties to the arrangements is not significant.</w:t>
      </w: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Lines of Credit</w:t>
      </w:r>
    </w:p>
    <w:p>
      <w:pPr>
        <w:spacing w:after="0" w:line="185"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At December 31, 1996, the Company's principal US subsidiary had an available unused Revolving Credit Agreement with a group of banks. The Agreement provided that the subsidiary may borrow up to $500 million until December 1998 at money market-based rates. In addition, at December 31, 1996, the Company and its subsidiaries had available unused lines of credit of approximately $626 million.</w:t>
      </w: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Capital Stock</w:t>
      </w:r>
    </w:p>
    <w:p>
      <w:pPr>
        <w:spacing w:after="0" w:line="185"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The Company is authorized to issue 500,000,000 shares of Common Stock, par value $0.01 per share, of which 246,537,181 and 243,138,086 shares were outstanding on December 31, 1996 and 1995, respectively. The Company is also authorized to issue 200,000,000 shares of cumulative Preferred Stock, par value $0.01 per share, which may be issued in series with terms and conditions determined by the Board of Directors. No shares of Preferred Stock have been issued. Holders of Common Stock and Preferred Stock are entitled to one vote for each share of stock held.</w:t>
      </w:r>
    </w:p>
    <w:p>
      <w:pPr>
        <w:spacing w:after="0" w:line="353" w:lineRule="exact"/>
        <w:rPr>
          <w:sz w:val="20"/>
          <w:szCs w:val="20"/>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In January 1993, Schlumberger acquired the remaining 50% interest in the Dowell Schlumberger group of companies. The purchase price included a warrant, expiring in 7.5 years and valued at $100 million, to purchase 7.5 million shares of Schlumberger Limited Common Stock at an exercise price of $59.95 per share. The warrant is fully vested and nontransferable.</w:t>
      </w:r>
    </w:p>
    <w:p>
      <w:pPr>
        <w:spacing w:after="0" w:line="176"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25"/>
          </w:cols>
          <w:pgMar w:left="235" w:top="650"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Stock Compensation Plans</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As of December 31, 1996, the Company has two types of stock-based compensation plans, which are described below. The Company applies APB Opinion 25 and related Interpretations in accounting for its plans. Accordingly, no compensation cost has been recognized for its stock option plans and its stock purchase plan. Had compensation cost for the Company's stock-based plans been determined based on the fair value at the grant dates for awards under those plans, consistent with the method of FASB Statement 123, the Company's net income and earnings per share would have been the pro forma amounts indicated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40" w:type="dxa"/>
            <w:vAlign w:val="bottom"/>
          </w:tcPr>
          <w:p>
            <w:pPr>
              <w:spacing w:after="0"/>
              <w:rPr>
                <w:sz w:val="14"/>
                <w:szCs w:val="14"/>
                <w:color w:val="auto"/>
              </w:rPr>
            </w:pPr>
          </w:p>
        </w:tc>
        <w:tc>
          <w:tcPr>
            <w:tcW w:w="4340" w:type="dxa"/>
            <w:vAlign w:val="bottom"/>
            <w:gridSpan w:val="3"/>
          </w:tcPr>
          <w:p>
            <w:pPr>
              <w:jc w:val="right"/>
              <w:ind w:right="103"/>
              <w:spacing w:after="0"/>
              <w:rPr>
                <w:sz w:val="20"/>
                <w:szCs w:val="20"/>
                <w:color w:val="auto"/>
              </w:rPr>
            </w:pPr>
            <w:r>
              <w:rPr>
                <w:rFonts w:ascii="Courier New" w:cs="Courier New" w:eastAsia="Courier New" w:hAnsi="Courier New"/>
                <w:sz w:val="15"/>
                <w:szCs w:val="15"/>
                <w:color w:val="auto"/>
              </w:rPr>
              <w:t>(Stated in millions except per share amounts)</w:t>
            </w:r>
          </w:p>
        </w:tc>
      </w:tr>
      <w:tr>
        <w:trPr>
          <w:trHeight w:val="177"/>
        </w:trPr>
        <w:tc>
          <w:tcPr>
            <w:tcW w:w="1740" w:type="dxa"/>
            <w:vAlign w:val="bottom"/>
          </w:tcPr>
          <w:p>
            <w:pPr>
              <w:spacing w:after="0"/>
              <w:rPr>
                <w:sz w:val="15"/>
                <w:szCs w:val="15"/>
                <w:color w:val="auto"/>
              </w:rPr>
            </w:pPr>
          </w:p>
        </w:tc>
        <w:tc>
          <w:tcPr>
            <w:tcW w:w="35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1996</w:t>
            </w:r>
          </w:p>
        </w:tc>
        <w:tc>
          <w:tcPr>
            <w:tcW w:w="240" w:type="dxa"/>
            <w:vAlign w:val="bottom"/>
          </w:tcPr>
          <w:p>
            <w:pPr>
              <w:spacing w:after="0"/>
              <w:rPr>
                <w:sz w:val="15"/>
                <w:szCs w:val="15"/>
                <w:color w:val="auto"/>
              </w:rPr>
            </w:pP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4"/>
              </w:rPr>
              <w:t>1995</w:t>
            </w:r>
          </w:p>
        </w:tc>
      </w:tr>
      <w:tr>
        <w:trPr>
          <w:trHeight w:val="177"/>
        </w:trPr>
        <w:tc>
          <w:tcPr>
            <w:tcW w:w="1740" w:type="dxa"/>
            <w:vAlign w:val="bottom"/>
          </w:tcPr>
          <w:p>
            <w:pPr>
              <w:spacing w:after="0"/>
              <w:rPr>
                <w:sz w:val="20"/>
                <w:szCs w:val="20"/>
                <w:color w:val="auto"/>
              </w:rPr>
            </w:pPr>
            <w:r>
              <w:rPr>
                <w:rFonts w:ascii="Courier New" w:cs="Courier New" w:eastAsia="Courier New" w:hAnsi="Courier New"/>
                <w:sz w:val="8"/>
                <w:szCs w:val="8"/>
                <w:color w:val="auto"/>
                <w:w w:val="77"/>
              </w:rPr>
              <w:t>- --------------------------------------------</w:t>
            </w:r>
          </w:p>
        </w:tc>
        <w:tc>
          <w:tcPr>
            <w:tcW w:w="3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17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7"/>
        </w:trPr>
        <w:tc>
          <w:tcPr>
            <w:tcW w:w="1740" w:type="dxa"/>
            <w:vAlign w:val="bottom"/>
          </w:tcPr>
          <w:p>
            <w:pPr>
              <w:ind w:left="460"/>
              <w:spacing w:after="0"/>
              <w:rPr>
                <w:sz w:val="20"/>
                <w:szCs w:val="20"/>
                <w:color w:val="auto"/>
              </w:rPr>
            </w:pPr>
            <w:r>
              <w:rPr>
                <w:rFonts w:ascii="Courier New" w:cs="Courier New" w:eastAsia="Courier New" w:hAnsi="Courier New"/>
                <w:sz w:val="15"/>
                <w:szCs w:val="15"/>
                <w:color w:val="auto"/>
              </w:rPr>
              <w:t>As reported</w:t>
            </w:r>
          </w:p>
        </w:tc>
        <w:tc>
          <w:tcPr>
            <w:tcW w:w="35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$ 851</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649</w:t>
            </w:r>
          </w:p>
        </w:tc>
      </w:tr>
      <w:tr>
        <w:trPr>
          <w:trHeight w:val="177"/>
        </w:trPr>
        <w:tc>
          <w:tcPr>
            <w:tcW w:w="1740" w:type="dxa"/>
            <w:vAlign w:val="bottom"/>
          </w:tcPr>
          <w:p>
            <w:pPr>
              <w:ind w:left="460"/>
              <w:spacing w:after="0"/>
              <w:rPr>
                <w:sz w:val="20"/>
                <w:szCs w:val="20"/>
                <w:color w:val="auto"/>
              </w:rPr>
            </w:pPr>
            <w:r>
              <w:rPr>
                <w:rFonts w:ascii="Courier New" w:cs="Courier New" w:eastAsia="Courier New" w:hAnsi="Courier New"/>
                <w:sz w:val="15"/>
                <w:szCs w:val="15"/>
                <w:color w:val="auto"/>
              </w:rPr>
              <w:t>Pro forma</w:t>
            </w:r>
          </w:p>
        </w:tc>
        <w:tc>
          <w:tcPr>
            <w:tcW w:w="35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$ 809</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641</w:t>
            </w:r>
          </w:p>
        </w:tc>
      </w:tr>
      <w:tr>
        <w:trPr>
          <w:trHeight w:val="177"/>
        </w:trPr>
        <w:tc>
          <w:tcPr>
            <w:tcW w:w="1740" w:type="dxa"/>
            <w:vAlign w:val="bottom"/>
          </w:tcPr>
          <w:p>
            <w:pPr>
              <w:spacing w:after="0"/>
              <w:rPr>
                <w:sz w:val="20"/>
                <w:szCs w:val="20"/>
                <w:color w:val="auto"/>
              </w:rPr>
            </w:pPr>
            <w:r>
              <w:rPr>
                <w:rFonts w:ascii="Courier New" w:cs="Courier New" w:eastAsia="Courier New" w:hAnsi="Courier New"/>
                <w:sz w:val="8"/>
                <w:szCs w:val="8"/>
                <w:color w:val="auto"/>
                <w:w w:val="77"/>
              </w:rPr>
              <w:t>- --------------------------------------------</w:t>
            </w:r>
          </w:p>
        </w:tc>
        <w:tc>
          <w:tcPr>
            <w:tcW w:w="3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174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3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7"/>
        </w:trPr>
        <w:tc>
          <w:tcPr>
            <w:tcW w:w="1740" w:type="dxa"/>
            <w:vAlign w:val="bottom"/>
          </w:tcPr>
          <w:p>
            <w:pPr>
              <w:ind w:left="460"/>
              <w:spacing w:after="0"/>
              <w:rPr>
                <w:sz w:val="20"/>
                <w:szCs w:val="20"/>
                <w:color w:val="auto"/>
              </w:rPr>
            </w:pPr>
            <w:r>
              <w:rPr>
                <w:rFonts w:ascii="Courier New" w:cs="Courier New" w:eastAsia="Courier New" w:hAnsi="Courier New"/>
                <w:sz w:val="15"/>
                <w:szCs w:val="15"/>
                <w:color w:val="auto"/>
              </w:rPr>
              <w:t>As reported</w:t>
            </w:r>
          </w:p>
        </w:tc>
        <w:tc>
          <w:tcPr>
            <w:tcW w:w="35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$3.47</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4"/>
              </w:rPr>
              <w:t>2.69</w:t>
            </w:r>
          </w:p>
        </w:tc>
      </w:tr>
      <w:tr>
        <w:trPr>
          <w:trHeight w:val="177"/>
        </w:trPr>
        <w:tc>
          <w:tcPr>
            <w:tcW w:w="1740" w:type="dxa"/>
            <w:vAlign w:val="bottom"/>
          </w:tcPr>
          <w:p>
            <w:pPr>
              <w:ind w:left="460"/>
              <w:spacing w:after="0"/>
              <w:rPr>
                <w:sz w:val="20"/>
                <w:szCs w:val="20"/>
                <w:color w:val="auto"/>
              </w:rPr>
            </w:pPr>
            <w:r>
              <w:rPr>
                <w:rFonts w:ascii="Courier New" w:cs="Courier New" w:eastAsia="Courier New" w:hAnsi="Courier New"/>
                <w:sz w:val="15"/>
                <w:szCs w:val="15"/>
                <w:color w:val="auto"/>
              </w:rPr>
              <w:t>Pro forma</w:t>
            </w:r>
          </w:p>
        </w:tc>
        <w:tc>
          <w:tcPr>
            <w:tcW w:w="35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$3.30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4"/>
              </w:rPr>
              <w:t>2.65</w:t>
            </w:r>
          </w:p>
        </w:tc>
      </w:tr>
    </w:tbl>
    <w:p>
      <w:pPr>
        <w:spacing w:after="0" w:line="183" w:lineRule="exact"/>
        <w:rPr>
          <w:sz w:val="20"/>
          <w:szCs w:val="20"/>
          <w:color w:val="auto"/>
        </w:rPr>
      </w:pPr>
    </w:p>
    <w:p>
      <w:pPr>
        <w:jc w:val="both"/>
        <w:ind w:right="3019" w:firstLine="461"/>
        <w:spacing w:after="0" w:line="252" w:lineRule="auto"/>
        <w:rPr>
          <w:sz w:val="20"/>
          <w:szCs w:val="20"/>
          <w:color w:val="auto"/>
        </w:rPr>
      </w:pPr>
      <w:r>
        <w:rPr>
          <w:rFonts w:ascii="Courier New" w:cs="Courier New" w:eastAsia="Courier New" w:hAnsi="Courier New"/>
          <w:sz w:val="15"/>
          <w:szCs w:val="15"/>
          <w:color w:val="auto"/>
        </w:rPr>
        <w:t>As required by FASB Statement 123, the above pro forma data reflects the effect of stock option grants and the employee stock purchase plan during 1996 and 1995.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PLANS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1996, 1995 and in prior years, officers and key employees were</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granted stock options under the Company's stock option plans. The exercise price of each option equals the market price of the Company's stock on the date of grant, an option's maximum term is ten years, and options generally vest in 20 percent increments over five years.</w:t>
      </w:r>
    </w:p>
    <w:p>
      <w:pPr>
        <w:spacing w:after="0" w:line="176" w:lineRule="exact"/>
        <w:rPr>
          <w:sz w:val="20"/>
          <w:szCs w:val="20"/>
          <w:color w:val="auto"/>
        </w:rPr>
      </w:pPr>
    </w:p>
    <w:p>
      <w:pPr>
        <w:ind w:right="2939" w:firstLine="461"/>
        <w:spacing w:after="0" w:line="250" w:lineRule="auto"/>
        <w:rPr>
          <w:sz w:val="20"/>
          <w:szCs w:val="20"/>
          <w:color w:val="auto"/>
        </w:rPr>
      </w:pPr>
      <w:r>
        <w:rPr>
          <w:rFonts w:ascii="Courier New" w:cs="Courier New" w:eastAsia="Courier New" w:hAnsi="Courier New"/>
          <w:sz w:val="15"/>
          <w:szCs w:val="15"/>
          <w:color w:val="auto"/>
        </w:rPr>
        <w:t>As required by FASB Statement 123, the fair value of each grant is estimated on the date of grant using the multiple option Black-Scholes option-pricing model with the following weighted-average assumptions used for 1996 and 1995: dividend yield of 1.5 percent; expected volatility of 20 percent; risk free interest rates for 1996 grants of 5.38 - 6.36 percent for officers and</w:t>
      </w:r>
    </w:p>
    <w:p>
      <w:pPr>
        <w:spacing w:after="0" w:line="2"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5.09 -6.01 percent for all other employees; risk-free interest rates for 1995 grants of 5.85 - 7.88 percent for officers and 5.70 - 7.66 percent for all other employees; and expected option lives of 5.50 years for officers and 2.39 years for other employees. The weighted-average fair value of options granted during 1996 and 1995 is $21.07 and $17.40, respectively.</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19"/>
          </w:cols>
          <w:pgMar w:left="240" w:top="828" w:right="1440" w:bottom="1440" w:gutter="0" w:footer="0" w:header="0"/>
        </w:sectPr>
      </w:pPr>
    </w:p>
    <w:bookmarkStart w:id="34" w:name="page35"/>
    <w:bookmarkEnd w:id="34"/>
    <w:p>
      <w:pPr>
        <w:ind w:left="5" w:right="2939" w:firstLine="461"/>
        <w:spacing w:after="0" w:line="252" w:lineRule="auto"/>
        <w:rPr>
          <w:sz w:val="20"/>
          <w:szCs w:val="20"/>
          <w:color w:val="auto"/>
        </w:rPr>
      </w:pPr>
      <w:r>
        <w:rPr>
          <w:rFonts w:ascii="Courier New" w:cs="Courier New" w:eastAsia="Courier New" w:hAnsi="Courier New"/>
          <w:sz w:val="15"/>
          <w:szCs w:val="15"/>
          <w:color w:val="auto"/>
        </w:rPr>
        <w:t>A summary of the status of the Company's stock option plans as of December 31, 1996 and 1995 and changes during the years ending on those dates is presented below :</w:t>
      </w:r>
    </w:p>
    <w:p>
      <w:pPr>
        <w:spacing w:after="0" w:line="17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1980" w:type="dxa"/>
            <w:vAlign w:val="bottom"/>
          </w:tcPr>
          <w:p>
            <w:pPr>
              <w:spacing w:after="0"/>
              <w:rPr>
                <w:sz w:val="14"/>
                <w:szCs w:val="14"/>
                <w:color w:val="auto"/>
              </w:rPr>
            </w:pPr>
          </w:p>
        </w:tc>
        <w:tc>
          <w:tcPr>
            <w:tcW w:w="13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NUMBER</w:t>
            </w:r>
          </w:p>
        </w:tc>
        <w:tc>
          <w:tcPr>
            <w:tcW w:w="1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WEIGHTED AVERAGE</w:t>
            </w:r>
          </w:p>
        </w:tc>
      </w:tr>
      <w:tr>
        <w:trPr>
          <w:trHeight w:val="177"/>
        </w:trPr>
        <w:tc>
          <w:tcPr>
            <w:tcW w:w="1980" w:type="dxa"/>
            <w:vAlign w:val="bottom"/>
          </w:tcPr>
          <w:p>
            <w:pPr>
              <w:spacing w:after="0"/>
              <w:rPr>
                <w:sz w:val="15"/>
                <w:szCs w:val="15"/>
                <w:color w:val="auto"/>
              </w:rPr>
            </w:pPr>
          </w:p>
        </w:tc>
        <w:tc>
          <w:tcPr>
            <w:tcW w:w="13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OF SHARES</w:t>
            </w: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EXERCISE PRICE</w:t>
            </w:r>
          </w:p>
        </w:tc>
      </w:tr>
      <w:tr>
        <w:trPr>
          <w:trHeight w:val="177"/>
        </w:trPr>
        <w:tc>
          <w:tcPr>
            <w:tcW w:w="19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7"/>
        </w:trPr>
        <w:tc>
          <w:tcPr>
            <w:tcW w:w="198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13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7"/>
        </w:trPr>
        <w:tc>
          <w:tcPr>
            <w:tcW w:w="1980" w:type="dxa"/>
            <w:vAlign w:val="bottom"/>
          </w:tcPr>
          <w:p>
            <w:pPr>
              <w:ind w:left="460"/>
              <w:spacing w:after="0"/>
              <w:rPr>
                <w:sz w:val="20"/>
                <w:szCs w:val="20"/>
                <w:color w:val="auto"/>
              </w:rPr>
            </w:pPr>
            <w:r>
              <w:rPr>
                <w:rFonts w:ascii="Courier New" w:cs="Courier New" w:eastAsia="Courier New" w:hAnsi="Courier New"/>
                <w:sz w:val="15"/>
                <w:szCs w:val="15"/>
                <w:color w:val="auto"/>
              </w:rPr>
              <w:t>Jan. 1, 1995</w:t>
            </w:r>
          </w:p>
        </w:tc>
        <w:tc>
          <w:tcPr>
            <w:tcW w:w="13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11,560,849</w:t>
            </w:r>
          </w:p>
        </w:tc>
        <w:tc>
          <w:tcPr>
            <w:tcW w:w="1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$56</w:t>
            </w:r>
          </w:p>
        </w:tc>
      </w:tr>
      <w:tr>
        <w:trPr>
          <w:trHeight w:val="177"/>
        </w:trPr>
        <w:tc>
          <w:tcPr>
            <w:tcW w:w="1980" w:type="dxa"/>
            <w:vAlign w:val="bottom"/>
          </w:tcPr>
          <w:p>
            <w:pPr>
              <w:ind w:left="460"/>
              <w:spacing w:after="0"/>
              <w:rPr>
                <w:sz w:val="20"/>
                <w:szCs w:val="20"/>
                <w:color w:val="auto"/>
              </w:rPr>
            </w:pPr>
            <w:r>
              <w:rPr>
                <w:rFonts w:ascii="Courier New" w:cs="Courier New" w:eastAsia="Courier New" w:hAnsi="Courier New"/>
                <w:sz w:val="15"/>
                <w:szCs w:val="15"/>
                <w:color w:val="auto"/>
              </w:rPr>
              <w:t>Granted</w:t>
            </w:r>
          </w:p>
        </w:tc>
        <w:tc>
          <w:tcPr>
            <w:tcW w:w="13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753,700</w:t>
            </w:r>
          </w:p>
        </w:tc>
        <w:tc>
          <w:tcPr>
            <w:tcW w:w="1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$62</w:t>
            </w:r>
          </w:p>
        </w:tc>
      </w:tr>
      <w:tr>
        <w:trPr>
          <w:trHeight w:val="177"/>
        </w:trPr>
        <w:tc>
          <w:tcPr>
            <w:tcW w:w="1980" w:type="dxa"/>
            <w:vAlign w:val="bottom"/>
          </w:tcPr>
          <w:p>
            <w:pPr>
              <w:ind w:left="460"/>
              <w:spacing w:after="0"/>
              <w:rPr>
                <w:sz w:val="20"/>
                <w:szCs w:val="20"/>
                <w:color w:val="auto"/>
              </w:rPr>
            </w:pPr>
            <w:r>
              <w:rPr>
                <w:rFonts w:ascii="Courier New" w:cs="Courier New" w:eastAsia="Courier New" w:hAnsi="Courier New"/>
                <w:sz w:val="15"/>
                <w:szCs w:val="15"/>
                <w:color w:val="auto"/>
              </w:rPr>
              <w:t>Exercised</w:t>
            </w:r>
          </w:p>
        </w:tc>
        <w:tc>
          <w:tcPr>
            <w:tcW w:w="13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(897,919)</w:t>
            </w:r>
          </w:p>
        </w:tc>
        <w:tc>
          <w:tcPr>
            <w:tcW w:w="1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$44</w:t>
            </w:r>
          </w:p>
        </w:tc>
      </w:tr>
      <w:tr>
        <w:trPr>
          <w:trHeight w:val="177"/>
        </w:trPr>
        <w:tc>
          <w:tcPr>
            <w:tcW w:w="1980" w:type="dxa"/>
            <w:vAlign w:val="bottom"/>
          </w:tcPr>
          <w:p>
            <w:pPr>
              <w:ind w:left="460"/>
              <w:spacing w:after="0"/>
              <w:rPr>
                <w:sz w:val="20"/>
                <w:szCs w:val="20"/>
                <w:color w:val="auto"/>
              </w:rPr>
            </w:pPr>
            <w:r>
              <w:rPr>
                <w:rFonts w:ascii="Courier New" w:cs="Courier New" w:eastAsia="Courier New" w:hAnsi="Courier New"/>
                <w:sz w:val="15"/>
                <w:szCs w:val="15"/>
                <w:color w:val="auto"/>
              </w:rPr>
              <w:t>Lapsed or</w:t>
            </w:r>
          </w:p>
        </w:tc>
        <w:tc>
          <w:tcPr>
            <w:tcW w:w="13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7"/>
        </w:trPr>
        <w:tc>
          <w:tcPr>
            <w:tcW w:w="1980" w:type="dxa"/>
            <w:vAlign w:val="bottom"/>
          </w:tcPr>
          <w:p>
            <w:pPr>
              <w:ind w:left="540"/>
              <w:spacing w:after="0"/>
              <w:rPr>
                <w:sz w:val="20"/>
                <w:szCs w:val="20"/>
                <w:color w:val="auto"/>
              </w:rPr>
            </w:pPr>
            <w:r>
              <w:rPr>
                <w:rFonts w:ascii="Courier New" w:cs="Courier New" w:eastAsia="Courier New" w:hAnsi="Courier New"/>
                <w:sz w:val="15"/>
                <w:szCs w:val="15"/>
                <w:color w:val="auto"/>
              </w:rPr>
              <w:t>cancelled</w:t>
            </w:r>
          </w:p>
        </w:tc>
        <w:tc>
          <w:tcPr>
            <w:tcW w:w="13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(346,150)</w:t>
            </w:r>
          </w:p>
        </w:tc>
        <w:tc>
          <w:tcPr>
            <w:tcW w:w="1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$61</w:t>
            </w:r>
          </w:p>
        </w:tc>
      </w:tr>
      <w:tr>
        <w:trPr>
          <w:trHeight w:val="177"/>
        </w:trPr>
        <w:tc>
          <w:tcPr>
            <w:tcW w:w="19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7"/>
        </w:trPr>
        <w:tc>
          <w:tcPr>
            <w:tcW w:w="198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13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7"/>
        </w:trPr>
        <w:tc>
          <w:tcPr>
            <w:tcW w:w="1980" w:type="dxa"/>
            <w:vAlign w:val="bottom"/>
          </w:tcPr>
          <w:p>
            <w:pPr>
              <w:ind w:left="460"/>
              <w:spacing w:after="0"/>
              <w:rPr>
                <w:sz w:val="20"/>
                <w:szCs w:val="20"/>
                <w:color w:val="auto"/>
              </w:rPr>
            </w:pPr>
            <w:r>
              <w:rPr>
                <w:rFonts w:ascii="Courier New" w:cs="Courier New" w:eastAsia="Courier New" w:hAnsi="Courier New"/>
                <w:sz w:val="15"/>
                <w:szCs w:val="15"/>
                <w:color w:val="auto"/>
              </w:rPr>
              <w:t>Dec. 31, 1995</w:t>
            </w:r>
          </w:p>
        </w:tc>
        <w:tc>
          <w:tcPr>
            <w:tcW w:w="13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11,070,480</w:t>
            </w:r>
          </w:p>
        </w:tc>
        <w:tc>
          <w:tcPr>
            <w:tcW w:w="1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$58</w:t>
            </w:r>
          </w:p>
        </w:tc>
      </w:tr>
      <w:tr>
        <w:trPr>
          <w:trHeight w:val="177"/>
        </w:trPr>
        <w:tc>
          <w:tcPr>
            <w:tcW w:w="1980" w:type="dxa"/>
            <w:vAlign w:val="bottom"/>
          </w:tcPr>
          <w:p>
            <w:pPr>
              <w:ind w:left="460"/>
              <w:spacing w:after="0"/>
              <w:rPr>
                <w:sz w:val="20"/>
                <w:szCs w:val="20"/>
                <w:color w:val="auto"/>
              </w:rPr>
            </w:pPr>
            <w:r>
              <w:rPr>
                <w:rFonts w:ascii="Courier New" w:cs="Courier New" w:eastAsia="Courier New" w:hAnsi="Courier New"/>
                <w:sz w:val="15"/>
                <w:szCs w:val="15"/>
                <w:color w:val="auto"/>
              </w:rPr>
              <w:t>Granted</w:t>
            </w:r>
          </w:p>
        </w:tc>
        <w:tc>
          <w:tcPr>
            <w:tcW w:w="13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4,131,000</w:t>
            </w:r>
          </w:p>
        </w:tc>
        <w:tc>
          <w:tcPr>
            <w:tcW w:w="1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$79</w:t>
            </w:r>
          </w:p>
        </w:tc>
      </w:tr>
      <w:tr>
        <w:trPr>
          <w:trHeight w:val="177"/>
        </w:trPr>
        <w:tc>
          <w:tcPr>
            <w:tcW w:w="1980" w:type="dxa"/>
            <w:vAlign w:val="bottom"/>
          </w:tcPr>
          <w:p>
            <w:pPr>
              <w:ind w:left="460"/>
              <w:spacing w:after="0"/>
              <w:rPr>
                <w:sz w:val="20"/>
                <w:szCs w:val="20"/>
                <w:color w:val="auto"/>
              </w:rPr>
            </w:pPr>
            <w:r>
              <w:rPr>
                <w:rFonts w:ascii="Courier New" w:cs="Courier New" w:eastAsia="Courier New" w:hAnsi="Courier New"/>
                <w:sz w:val="15"/>
                <w:szCs w:val="15"/>
                <w:color w:val="auto"/>
              </w:rPr>
              <w:t>Exercised</w:t>
            </w:r>
          </w:p>
        </w:tc>
        <w:tc>
          <w:tcPr>
            <w:tcW w:w="13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(2,758,242)</w:t>
            </w:r>
          </w:p>
        </w:tc>
        <w:tc>
          <w:tcPr>
            <w:tcW w:w="1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$54</w:t>
            </w:r>
          </w:p>
        </w:tc>
      </w:tr>
      <w:tr>
        <w:trPr>
          <w:trHeight w:val="177"/>
        </w:trPr>
        <w:tc>
          <w:tcPr>
            <w:tcW w:w="1980" w:type="dxa"/>
            <w:vAlign w:val="bottom"/>
          </w:tcPr>
          <w:p>
            <w:pPr>
              <w:ind w:left="460"/>
              <w:spacing w:after="0"/>
              <w:rPr>
                <w:sz w:val="20"/>
                <w:szCs w:val="20"/>
                <w:color w:val="auto"/>
              </w:rPr>
            </w:pPr>
            <w:r>
              <w:rPr>
                <w:rFonts w:ascii="Courier New" w:cs="Courier New" w:eastAsia="Courier New" w:hAnsi="Courier New"/>
                <w:sz w:val="15"/>
                <w:szCs w:val="15"/>
                <w:color w:val="auto"/>
              </w:rPr>
              <w:t>Lapsed or</w:t>
            </w:r>
          </w:p>
        </w:tc>
        <w:tc>
          <w:tcPr>
            <w:tcW w:w="13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7"/>
        </w:trPr>
        <w:tc>
          <w:tcPr>
            <w:tcW w:w="1980" w:type="dxa"/>
            <w:vAlign w:val="bottom"/>
          </w:tcPr>
          <w:p>
            <w:pPr>
              <w:ind w:left="540"/>
              <w:spacing w:after="0"/>
              <w:rPr>
                <w:sz w:val="20"/>
                <w:szCs w:val="20"/>
                <w:color w:val="auto"/>
              </w:rPr>
            </w:pPr>
            <w:r>
              <w:rPr>
                <w:rFonts w:ascii="Courier New" w:cs="Courier New" w:eastAsia="Courier New" w:hAnsi="Courier New"/>
                <w:sz w:val="15"/>
                <w:szCs w:val="15"/>
                <w:color w:val="auto"/>
              </w:rPr>
              <w:t>cancelled</w:t>
            </w:r>
          </w:p>
        </w:tc>
        <w:tc>
          <w:tcPr>
            <w:tcW w:w="13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(244,840)</w:t>
            </w:r>
          </w:p>
        </w:tc>
        <w:tc>
          <w:tcPr>
            <w:tcW w:w="1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$64</w:t>
            </w:r>
          </w:p>
        </w:tc>
      </w:tr>
      <w:tr>
        <w:trPr>
          <w:trHeight w:val="177"/>
        </w:trPr>
        <w:tc>
          <w:tcPr>
            <w:tcW w:w="19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7"/>
        </w:trPr>
        <w:tc>
          <w:tcPr>
            <w:tcW w:w="198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13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7"/>
        </w:trPr>
        <w:tc>
          <w:tcPr>
            <w:tcW w:w="1980" w:type="dxa"/>
            <w:vAlign w:val="bottom"/>
          </w:tcPr>
          <w:p>
            <w:pPr>
              <w:ind w:left="460"/>
              <w:spacing w:after="0"/>
              <w:rPr>
                <w:sz w:val="20"/>
                <w:szCs w:val="20"/>
                <w:color w:val="auto"/>
              </w:rPr>
            </w:pPr>
            <w:r>
              <w:rPr>
                <w:rFonts w:ascii="Courier New" w:cs="Courier New" w:eastAsia="Courier New" w:hAnsi="Courier New"/>
                <w:sz w:val="15"/>
                <w:szCs w:val="15"/>
                <w:color w:val="auto"/>
              </w:rPr>
              <w:t>Dec. 31, 1996</w:t>
            </w:r>
          </w:p>
        </w:tc>
        <w:tc>
          <w:tcPr>
            <w:tcW w:w="13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12,198,398</w:t>
            </w:r>
          </w:p>
        </w:tc>
        <w:tc>
          <w:tcPr>
            <w:tcW w:w="1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$65</w:t>
            </w:r>
          </w:p>
        </w:tc>
      </w:tr>
      <w:tr>
        <w:trPr>
          <w:trHeight w:val="177"/>
        </w:trPr>
        <w:tc>
          <w:tcPr>
            <w:tcW w:w="19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1980" w:type="dxa"/>
            <w:vAlign w:val="bottom"/>
          </w:tcPr>
          <w:p>
            <w:pPr>
              <w:spacing w:after="0"/>
              <w:rPr>
                <w:sz w:val="20"/>
                <w:szCs w:val="20"/>
                <w:color w:val="auto"/>
              </w:rPr>
            </w:pPr>
            <w:r>
              <w:rPr>
                <w:rFonts w:ascii="Courier New" w:cs="Courier New" w:eastAsia="Courier New" w:hAnsi="Courier New"/>
                <w:sz w:val="15"/>
                <w:szCs w:val="15"/>
                <w:color w:val="auto"/>
              </w:rPr>
              <w:t>Exercisable at</w:t>
            </w:r>
          </w:p>
        </w:tc>
        <w:tc>
          <w:tcPr>
            <w:tcW w:w="13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7"/>
        </w:trPr>
        <w:tc>
          <w:tcPr>
            <w:tcW w:w="1980" w:type="dxa"/>
            <w:vAlign w:val="bottom"/>
          </w:tcPr>
          <w:p>
            <w:pPr>
              <w:ind w:left="460"/>
              <w:spacing w:after="0"/>
              <w:rPr>
                <w:sz w:val="20"/>
                <w:szCs w:val="20"/>
                <w:color w:val="auto"/>
              </w:rPr>
            </w:pPr>
            <w:r>
              <w:rPr>
                <w:rFonts w:ascii="Courier New" w:cs="Courier New" w:eastAsia="Courier New" w:hAnsi="Courier New"/>
                <w:sz w:val="15"/>
                <w:szCs w:val="15"/>
                <w:color w:val="auto"/>
              </w:rPr>
              <w:t>Dec. 31, 1995</w:t>
            </w:r>
          </w:p>
        </w:tc>
        <w:tc>
          <w:tcPr>
            <w:tcW w:w="13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6,259,270</w:t>
            </w:r>
          </w:p>
        </w:tc>
        <w:tc>
          <w:tcPr>
            <w:tcW w:w="1700" w:type="dxa"/>
            <w:vAlign w:val="bottom"/>
          </w:tcPr>
          <w:p>
            <w:pPr>
              <w:spacing w:after="0"/>
              <w:rPr>
                <w:sz w:val="15"/>
                <w:szCs w:val="15"/>
                <w:color w:val="auto"/>
              </w:rPr>
            </w:pPr>
          </w:p>
        </w:tc>
      </w:tr>
      <w:tr>
        <w:trPr>
          <w:trHeight w:val="177"/>
        </w:trPr>
        <w:tc>
          <w:tcPr>
            <w:tcW w:w="1980" w:type="dxa"/>
            <w:vAlign w:val="bottom"/>
          </w:tcPr>
          <w:p>
            <w:pPr>
              <w:ind w:left="460"/>
              <w:spacing w:after="0"/>
              <w:rPr>
                <w:sz w:val="20"/>
                <w:szCs w:val="20"/>
                <w:color w:val="auto"/>
              </w:rPr>
            </w:pPr>
            <w:r>
              <w:rPr>
                <w:rFonts w:ascii="Courier New" w:cs="Courier New" w:eastAsia="Courier New" w:hAnsi="Courier New"/>
                <w:sz w:val="15"/>
                <w:szCs w:val="15"/>
                <w:color w:val="auto"/>
              </w:rPr>
              <w:t>Dec. 31, 1996</w:t>
            </w:r>
          </w:p>
        </w:tc>
        <w:tc>
          <w:tcPr>
            <w:tcW w:w="13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4,963,908</w:t>
            </w:r>
          </w:p>
        </w:tc>
        <w:tc>
          <w:tcPr>
            <w:tcW w:w="1700" w:type="dxa"/>
            <w:vAlign w:val="bottom"/>
          </w:tcPr>
          <w:p>
            <w:pPr>
              <w:spacing w:after="0"/>
              <w:rPr>
                <w:sz w:val="15"/>
                <w:szCs w:val="15"/>
                <w:color w:val="auto"/>
              </w:rPr>
            </w:pPr>
          </w:p>
        </w:tc>
      </w:tr>
      <w:tr>
        <w:trPr>
          <w:trHeight w:val="177"/>
        </w:trPr>
        <w:tc>
          <w:tcPr>
            <w:tcW w:w="1980" w:type="dxa"/>
            <w:vAlign w:val="bottom"/>
          </w:tcPr>
          <w:p>
            <w:pPr>
              <w:spacing w:after="0"/>
              <w:rPr>
                <w:sz w:val="20"/>
                <w:szCs w:val="20"/>
                <w:color w:val="auto"/>
              </w:rPr>
            </w:pPr>
            <w:r>
              <w:rPr>
                <w:rFonts w:ascii="Courier New" w:cs="Courier New" w:eastAsia="Courier New" w:hAnsi="Courier New"/>
                <w:sz w:val="15"/>
                <w:szCs w:val="15"/>
                <w:color w:val="auto"/>
              </w:rPr>
              <w:t>Available for grant</w:t>
            </w:r>
          </w:p>
        </w:tc>
        <w:tc>
          <w:tcPr>
            <w:tcW w:w="13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7"/>
        </w:trPr>
        <w:tc>
          <w:tcPr>
            <w:tcW w:w="1980" w:type="dxa"/>
            <w:vAlign w:val="bottom"/>
          </w:tcPr>
          <w:p>
            <w:pPr>
              <w:ind w:left="460"/>
              <w:spacing w:after="0"/>
              <w:rPr>
                <w:sz w:val="20"/>
                <w:szCs w:val="20"/>
                <w:color w:val="auto"/>
              </w:rPr>
            </w:pPr>
            <w:r>
              <w:rPr>
                <w:rFonts w:ascii="Courier New" w:cs="Courier New" w:eastAsia="Courier New" w:hAnsi="Courier New"/>
                <w:sz w:val="15"/>
                <w:szCs w:val="15"/>
                <w:color w:val="auto"/>
              </w:rPr>
              <w:t>Dec. 31, 1995</w:t>
            </w:r>
          </w:p>
        </w:tc>
        <w:tc>
          <w:tcPr>
            <w:tcW w:w="13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9,444,095</w:t>
            </w:r>
          </w:p>
        </w:tc>
        <w:tc>
          <w:tcPr>
            <w:tcW w:w="1700" w:type="dxa"/>
            <w:vAlign w:val="bottom"/>
          </w:tcPr>
          <w:p>
            <w:pPr>
              <w:spacing w:after="0"/>
              <w:rPr>
                <w:sz w:val="15"/>
                <w:szCs w:val="15"/>
                <w:color w:val="auto"/>
              </w:rPr>
            </w:pPr>
          </w:p>
        </w:tc>
      </w:tr>
      <w:tr>
        <w:trPr>
          <w:trHeight w:val="177"/>
        </w:trPr>
        <w:tc>
          <w:tcPr>
            <w:tcW w:w="1980" w:type="dxa"/>
            <w:vAlign w:val="bottom"/>
          </w:tcPr>
          <w:p>
            <w:pPr>
              <w:ind w:left="460"/>
              <w:spacing w:after="0"/>
              <w:rPr>
                <w:sz w:val="20"/>
                <w:szCs w:val="20"/>
                <w:color w:val="auto"/>
              </w:rPr>
            </w:pPr>
            <w:r>
              <w:rPr>
                <w:rFonts w:ascii="Courier New" w:cs="Courier New" w:eastAsia="Courier New" w:hAnsi="Courier New"/>
                <w:sz w:val="15"/>
                <w:szCs w:val="15"/>
                <w:color w:val="auto"/>
              </w:rPr>
              <w:t>Dec. 31, 1996</w:t>
            </w:r>
          </w:p>
        </w:tc>
        <w:tc>
          <w:tcPr>
            <w:tcW w:w="13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5,557,935</w:t>
            </w:r>
          </w:p>
        </w:tc>
        <w:tc>
          <w:tcPr>
            <w:tcW w:w="1700" w:type="dxa"/>
            <w:vAlign w:val="bottom"/>
          </w:tcPr>
          <w:p>
            <w:pPr>
              <w:spacing w:after="0"/>
              <w:rPr>
                <w:sz w:val="15"/>
                <w:szCs w:val="15"/>
                <w:color w:val="auto"/>
              </w:rPr>
            </w:pPr>
          </w:p>
        </w:tc>
      </w:tr>
    </w:tbl>
    <w:p>
      <w:pPr>
        <w:spacing w:after="0" w:line="360" w:lineRule="exact"/>
        <w:rPr>
          <w:sz w:val="20"/>
          <w:szCs w:val="20"/>
          <w:color w:val="auto"/>
        </w:rPr>
      </w:pPr>
    </w:p>
    <w:p>
      <w:pPr>
        <w:ind w:left="5" w:right="2839" w:firstLine="461"/>
        <w:spacing w:after="0" w:line="253" w:lineRule="auto"/>
        <w:rPr>
          <w:sz w:val="20"/>
          <w:szCs w:val="20"/>
          <w:color w:val="auto"/>
        </w:rPr>
      </w:pPr>
      <w:r>
        <w:rPr>
          <w:rFonts w:ascii="Courier New" w:cs="Courier New" w:eastAsia="Courier New" w:hAnsi="Courier New"/>
          <w:sz w:val="15"/>
          <w:szCs w:val="15"/>
          <w:color w:val="auto"/>
        </w:rPr>
        <w:t>The following table summarizes information concerning currently outstanding and exercisable options by two ranges of exercise prices:</w:t>
      </w:r>
    </w:p>
    <w:p>
      <w:pPr>
        <w:spacing w:after="0" w:line="174"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480" w:type="dxa"/>
            <w:vAlign w:val="bottom"/>
          </w:tcPr>
          <w:p>
            <w:pPr>
              <w:spacing w:after="0"/>
              <w:rPr>
                <w:sz w:val="20"/>
                <w:szCs w:val="20"/>
                <w:color w:val="auto"/>
              </w:rPr>
            </w:pPr>
            <w:r>
              <w:rPr>
                <w:rFonts w:ascii="Courier New" w:cs="Courier New" w:eastAsia="Courier New" w:hAnsi="Courier New"/>
                <w:sz w:val="15"/>
                <w:szCs w:val="15"/>
                <w:color w:val="auto"/>
              </w:rPr>
              <w:t>Range of exercise prices</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$29.250 - $64.500</w:t>
            </w:r>
          </w:p>
        </w:tc>
      </w:tr>
    </w:tbl>
    <w:p>
      <w:pPr>
        <w:spacing w:after="0" w:line="5" w:lineRule="exact"/>
        <w:rPr>
          <w:sz w:val="20"/>
          <w:szCs w:val="20"/>
          <w:color w:val="auto"/>
        </w:rPr>
      </w:pPr>
    </w:p>
    <w:p>
      <w:pPr>
        <w:ind w:left="185" w:hanging="185"/>
        <w:spacing w:after="0"/>
        <w:tabs>
          <w:tab w:leader="none" w:pos="18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Number outstanding</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760" w:type="dxa"/>
            <w:vAlign w:val="bottom"/>
          </w:tcPr>
          <w:p>
            <w:pPr>
              <w:ind w:left="460"/>
              <w:spacing w:after="0"/>
              <w:rPr>
                <w:sz w:val="20"/>
                <w:szCs w:val="20"/>
                <w:color w:val="auto"/>
              </w:rPr>
            </w:pPr>
            <w:r>
              <w:rPr>
                <w:rFonts w:ascii="Courier New" w:cs="Courier New" w:eastAsia="Courier New" w:hAnsi="Courier New"/>
                <w:sz w:val="15"/>
                <w:szCs w:val="15"/>
                <w:color w:val="auto"/>
              </w:rPr>
              <w:t>at 12/31/96</w:t>
            </w:r>
          </w:p>
        </w:tc>
        <w:tc>
          <w:tcPr>
            <w:tcW w:w="17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7,343,448</w:t>
            </w:r>
          </w:p>
        </w:tc>
      </w:tr>
      <w:tr>
        <w:trPr>
          <w:trHeight w:val="177"/>
        </w:trPr>
        <w:tc>
          <w:tcPr>
            <w:tcW w:w="2760" w:type="dxa"/>
            <w:vAlign w:val="bottom"/>
          </w:tcPr>
          <w:p>
            <w:pPr>
              <w:spacing w:after="0"/>
              <w:rPr>
                <w:sz w:val="20"/>
                <w:szCs w:val="20"/>
                <w:color w:val="auto"/>
              </w:rPr>
            </w:pPr>
            <w:r>
              <w:rPr>
                <w:rFonts w:ascii="Courier New" w:cs="Courier New" w:eastAsia="Courier New" w:hAnsi="Courier New"/>
                <w:sz w:val="15"/>
                <w:szCs w:val="15"/>
                <w:color w:val="auto"/>
              </w:rPr>
              <w:t>Weighted average remaining</w:t>
            </w:r>
          </w:p>
        </w:tc>
        <w:tc>
          <w:tcPr>
            <w:tcW w:w="1760" w:type="dxa"/>
            <w:vAlign w:val="bottom"/>
          </w:tcPr>
          <w:p>
            <w:pPr>
              <w:spacing w:after="0"/>
              <w:rPr>
                <w:sz w:val="15"/>
                <w:szCs w:val="15"/>
                <w:color w:val="auto"/>
              </w:rPr>
            </w:pPr>
          </w:p>
        </w:tc>
      </w:tr>
      <w:tr>
        <w:trPr>
          <w:trHeight w:val="177"/>
        </w:trPr>
        <w:tc>
          <w:tcPr>
            <w:tcW w:w="2760" w:type="dxa"/>
            <w:vAlign w:val="bottom"/>
          </w:tcPr>
          <w:p>
            <w:pPr>
              <w:ind w:left="460"/>
              <w:spacing w:after="0"/>
              <w:rPr>
                <w:sz w:val="20"/>
                <w:szCs w:val="20"/>
                <w:color w:val="auto"/>
              </w:rPr>
            </w:pPr>
            <w:r>
              <w:rPr>
                <w:rFonts w:ascii="Courier New" w:cs="Courier New" w:eastAsia="Courier New" w:hAnsi="Courier New"/>
                <w:sz w:val="15"/>
                <w:szCs w:val="15"/>
                <w:color w:val="auto"/>
              </w:rPr>
              <w:t>contractual life</w:t>
            </w:r>
          </w:p>
        </w:tc>
        <w:tc>
          <w:tcPr>
            <w:tcW w:w="17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5.93</w:t>
            </w:r>
          </w:p>
        </w:tc>
      </w:tr>
      <w:tr>
        <w:trPr>
          <w:trHeight w:val="177"/>
        </w:trPr>
        <w:tc>
          <w:tcPr>
            <w:tcW w:w="2760" w:type="dxa"/>
            <w:vAlign w:val="bottom"/>
          </w:tcPr>
          <w:p>
            <w:pPr>
              <w:spacing w:after="0"/>
              <w:rPr>
                <w:sz w:val="20"/>
                <w:szCs w:val="20"/>
                <w:color w:val="auto"/>
              </w:rPr>
            </w:pPr>
            <w:r>
              <w:rPr>
                <w:rFonts w:ascii="Courier New" w:cs="Courier New" w:eastAsia="Courier New" w:hAnsi="Courier New"/>
                <w:sz w:val="15"/>
                <w:szCs w:val="15"/>
                <w:color w:val="auto"/>
              </w:rPr>
              <w:t>Weighted average</w:t>
            </w:r>
          </w:p>
        </w:tc>
        <w:tc>
          <w:tcPr>
            <w:tcW w:w="1760" w:type="dxa"/>
            <w:vAlign w:val="bottom"/>
          </w:tcPr>
          <w:p>
            <w:pPr>
              <w:spacing w:after="0"/>
              <w:rPr>
                <w:sz w:val="15"/>
                <w:szCs w:val="15"/>
                <w:color w:val="auto"/>
              </w:rPr>
            </w:pPr>
          </w:p>
        </w:tc>
      </w:tr>
      <w:tr>
        <w:trPr>
          <w:trHeight w:val="177"/>
        </w:trPr>
        <w:tc>
          <w:tcPr>
            <w:tcW w:w="2760" w:type="dxa"/>
            <w:vAlign w:val="bottom"/>
          </w:tcPr>
          <w:p>
            <w:pPr>
              <w:ind w:left="460"/>
              <w:spacing w:after="0"/>
              <w:rPr>
                <w:sz w:val="20"/>
                <w:szCs w:val="20"/>
                <w:color w:val="auto"/>
              </w:rPr>
            </w:pPr>
            <w:r>
              <w:rPr>
                <w:rFonts w:ascii="Courier New" w:cs="Courier New" w:eastAsia="Courier New" w:hAnsi="Courier New"/>
                <w:sz w:val="15"/>
                <w:szCs w:val="15"/>
                <w:color w:val="auto"/>
              </w:rPr>
              <w:t>exercise price</w:t>
            </w:r>
          </w:p>
        </w:tc>
        <w:tc>
          <w:tcPr>
            <w:tcW w:w="17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$58</w:t>
            </w:r>
          </w:p>
        </w:tc>
      </w:tr>
      <w:tr>
        <w:trPr>
          <w:trHeight w:val="177"/>
        </w:trPr>
        <w:tc>
          <w:tcPr>
            <w:tcW w:w="2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760" w:type="dxa"/>
            <w:vAlign w:val="bottom"/>
          </w:tcPr>
          <w:p>
            <w:pPr>
              <w:spacing w:after="0"/>
              <w:rPr>
                <w:sz w:val="20"/>
                <w:szCs w:val="20"/>
                <w:color w:val="auto"/>
              </w:rPr>
            </w:pPr>
            <w:r>
              <w:rPr>
                <w:rFonts w:ascii="Courier New" w:cs="Courier New" w:eastAsia="Courier New" w:hAnsi="Courier New"/>
                <w:sz w:val="15"/>
                <w:szCs w:val="15"/>
                <w:color w:val="auto"/>
              </w:rPr>
              <w:t>Number exercisable</w:t>
            </w:r>
          </w:p>
        </w:tc>
        <w:tc>
          <w:tcPr>
            <w:tcW w:w="1760" w:type="dxa"/>
            <w:vAlign w:val="bottom"/>
          </w:tcPr>
          <w:p>
            <w:pPr>
              <w:spacing w:after="0"/>
              <w:rPr>
                <w:sz w:val="15"/>
                <w:szCs w:val="15"/>
                <w:color w:val="auto"/>
              </w:rPr>
            </w:pPr>
          </w:p>
        </w:tc>
      </w:tr>
      <w:tr>
        <w:trPr>
          <w:trHeight w:val="177"/>
        </w:trPr>
        <w:tc>
          <w:tcPr>
            <w:tcW w:w="2760" w:type="dxa"/>
            <w:vAlign w:val="bottom"/>
          </w:tcPr>
          <w:p>
            <w:pPr>
              <w:ind w:left="460"/>
              <w:spacing w:after="0"/>
              <w:rPr>
                <w:sz w:val="20"/>
                <w:szCs w:val="20"/>
                <w:color w:val="auto"/>
              </w:rPr>
            </w:pPr>
            <w:r>
              <w:rPr>
                <w:rFonts w:ascii="Courier New" w:cs="Courier New" w:eastAsia="Courier New" w:hAnsi="Courier New"/>
                <w:sz w:val="15"/>
                <w:szCs w:val="15"/>
                <w:color w:val="auto"/>
              </w:rPr>
              <w:t>at 12/31/96</w:t>
            </w:r>
          </w:p>
        </w:tc>
        <w:tc>
          <w:tcPr>
            <w:tcW w:w="17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4,494,418</w:t>
            </w:r>
          </w:p>
        </w:tc>
      </w:tr>
      <w:tr>
        <w:trPr>
          <w:trHeight w:val="177"/>
        </w:trPr>
        <w:tc>
          <w:tcPr>
            <w:tcW w:w="2760" w:type="dxa"/>
            <w:vAlign w:val="bottom"/>
          </w:tcPr>
          <w:p>
            <w:pPr>
              <w:spacing w:after="0"/>
              <w:rPr>
                <w:sz w:val="20"/>
                <w:szCs w:val="20"/>
                <w:color w:val="auto"/>
              </w:rPr>
            </w:pPr>
            <w:r>
              <w:rPr>
                <w:rFonts w:ascii="Courier New" w:cs="Courier New" w:eastAsia="Courier New" w:hAnsi="Courier New"/>
                <w:sz w:val="15"/>
                <w:szCs w:val="15"/>
                <w:color w:val="auto"/>
              </w:rPr>
              <w:t>Weighted average</w:t>
            </w:r>
          </w:p>
        </w:tc>
        <w:tc>
          <w:tcPr>
            <w:tcW w:w="1760" w:type="dxa"/>
            <w:vAlign w:val="bottom"/>
          </w:tcPr>
          <w:p>
            <w:pPr>
              <w:spacing w:after="0"/>
              <w:rPr>
                <w:sz w:val="15"/>
                <w:szCs w:val="15"/>
                <w:color w:val="auto"/>
              </w:rPr>
            </w:pPr>
          </w:p>
        </w:tc>
      </w:tr>
      <w:tr>
        <w:trPr>
          <w:trHeight w:val="177"/>
        </w:trPr>
        <w:tc>
          <w:tcPr>
            <w:tcW w:w="2760" w:type="dxa"/>
            <w:vAlign w:val="bottom"/>
          </w:tcPr>
          <w:p>
            <w:pPr>
              <w:ind w:left="460"/>
              <w:spacing w:after="0"/>
              <w:rPr>
                <w:sz w:val="20"/>
                <w:szCs w:val="20"/>
                <w:color w:val="auto"/>
              </w:rPr>
            </w:pPr>
            <w:r>
              <w:rPr>
                <w:rFonts w:ascii="Courier New" w:cs="Courier New" w:eastAsia="Courier New" w:hAnsi="Courier New"/>
                <w:sz w:val="15"/>
                <w:szCs w:val="15"/>
                <w:color w:val="auto"/>
              </w:rPr>
              <w:t>exercise price</w:t>
            </w:r>
          </w:p>
        </w:tc>
        <w:tc>
          <w:tcPr>
            <w:tcW w:w="17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$58</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480" w:type="dxa"/>
            <w:vAlign w:val="bottom"/>
          </w:tcPr>
          <w:p>
            <w:pPr>
              <w:spacing w:after="0"/>
              <w:rPr>
                <w:sz w:val="20"/>
                <w:szCs w:val="20"/>
                <w:color w:val="auto"/>
              </w:rPr>
            </w:pPr>
            <w:r>
              <w:rPr>
                <w:rFonts w:ascii="Courier New" w:cs="Courier New" w:eastAsia="Courier New" w:hAnsi="Courier New"/>
                <w:sz w:val="15"/>
                <w:szCs w:val="15"/>
                <w:color w:val="auto"/>
              </w:rPr>
              <w:t>Range of exercise prices</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$64.813 - $93.625</w:t>
            </w:r>
          </w:p>
        </w:tc>
      </w:tr>
    </w:tbl>
    <w:p>
      <w:pPr>
        <w:spacing w:after="0" w:line="5" w:lineRule="exact"/>
        <w:rPr>
          <w:sz w:val="20"/>
          <w:szCs w:val="20"/>
          <w:color w:val="auto"/>
        </w:rPr>
      </w:pPr>
    </w:p>
    <w:p>
      <w:pPr>
        <w:ind w:left="185" w:hanging="185"/>
        <w:spacing w:after="0"/>
        <w:tabs>
          <w:tab w:leader="none" w:pos="185"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Number outstanding</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760" w:type="dxa"/>
            <w:vAlign w:val="bottom"/>
          </w:tcPr>
          <w:p>
            <w:pPr>
              <w:ind w:left="460"/>
              <w:spacing w:after="0"/>
              <w:rPr>
                <w:sz w:val="20"/>
                <w:szCs w:val="20"/>
                <w:color w:val="auto"/>
              </w:rPr>
            </w:pPr>
            <w:r>
              <w:rPr>
                <w:rFonts w:ascii="Courier New" w:cs="Courier New" w:eastAsia="Courier New" w:hAnsi="Courier New"/>
                <w:sz w:val="15"/>
                <w:szCs w:val="15"/>
                <w:color w:val="auto"/>
              </w:rPr>
              <w:t>at 12/31/96</w:t>
            </w:r>
          </w:p>
        </w:tc>
        <w:tc>
          <w:tcPr>
            <w:tcW w:w="17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4,854,950</w:t>
            </w:r>
          </w:p>
        </w:tc>
      </w:tr>
      <w:tr>
        <w:trPr>
          <w:trHeight w:val="177"/>
        </w:trPr>
        <w:tc>
          <w:tcPr>
            <w:tcW w:w="2760" w:type="dxa"/>
            <w:vAlign w:val="bottom"/>
          </w:tcPr>
          <w:p>
            <w:pPr>
              <w:spacing w:after="0"/>
              <w:rPr>
                <w:sz w:val="20"/>
                <w:szCs w:val="20"/>
                <w:color w:val="auto"/>
              </w:rPr>
            </w:pPr>
            <w:r>
              <w:rPr>
                <w:rFonts w:ascii="Courier New" w:cs="Courier New" w:eastAsia="Courier New" w:hAnsi="Courier New"/>
                <w:sz w:val="15"/>
                <w:szCs w:val="15"/>
                <w:color w:val="auto"/>
              </w:rPr>
              <w:t>Weighted average remaining</w:t>
            </w:r>
          </w:p>
        </w:tc>
        <w:tc>
          <w:tcPr>
            <w:tcW w:w="1760" w:type="dxa"/>
            <w:vAlign w:val="bottom"/>
          </w:tcPr>
          <w:p>
            <w:pPr>
              <w:spacing w:after="0"/>
              <w:rPr>
                <w:sz w:val="15"/>
                <w:szCs w:val="15"/>
                <w:color w:val="auto"/>
              </w:rPr>
            </w:pPr>
          </w:p>
        </w:tc>
      </w:tr>
      <w:tr>
        <w:trPr>
          <w:trHeight w:val="177"/>
        </w:trPr>
        <w:tc>
          <w:tcPr>
            <w:tcW w:w="2760" w:type="dxa"/>
            <w:vAlign w:val="bottom"/>
          </w:tcPr>
          <w:p>
            <w:pPr>
              <w:ind w:left="460"/>
              <w:spacing w:after="0"/>
              <w:rPr>
                <w:sz w:val="20"/>
                <w:szCs w:val="20"/>
                <w:color w:val="auto"/>
              </w:rPr>
            </w:pPr>
            <w:r>
              <w:rPr>
                <w:rFonts w:ascii="Courier New" w:cs="Courier New" w:eastAsia="Courier New" w:hAnsi="Courier New"/>
                <w:sz w:val="15"/>
                <w:szCs w:val="15"/>
                <w:color w:val="auto"/>
              </w:rPr>
              <w:t>contractual life</w:t>
            </w:r>
          </w:p>
        </w:tc>
        <w:tc>
          <w:tcPr>
            <w:tcW w:w="17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8.83</w:t>
            </w:r>
          </w:p>
        </w:tc>
      </w:tr>
      <w:tr>
        <w:trPr>
          <w:trHeight w:val="177"/>
        </w:trPr>
        <w:tc>
          <w:tcPr>
            <w:tcW w:w="2760" w:type="dxa"/>
            <w:vAlign w:val="bottom"/>
          </w:tcPr>
          <w:p>
            <w:pPr>
              <w:spacing w:after="0"/>
              <w:rPr>
                <w:sz w:val="20"/>
                <w:szCs w:val="20"/>
                <w:color w:val="auto"/>
              </w:rPr>
            </w:pPr>
            <w:r>
              <w:rPr>
                <w:rFonts w:ascii="Courier New" w:cs="Courier New" w:eastAsia="Courier New" w:hAnsi="Courier New"/>
                <w:sz w:val="15"/>
                <w:szCs w:val="15"/>
                <w:color w:val="auto"/>
              </w:rPr>
              <w:t>Weighted average</w:t>
            </w:r>
          </w:p>
        </w:tc>
        <w:tc>
          <w:tcPr>
            <w:tcW w:w="1760" w:type="dxa"/>
            <w:vAlign w:val="bottom"/>
          </w:tcPr>
          <w:p>
            <w:pPr>
              <w:spacing w:after="0"/>
              <w:rPr>
                <w:sz w:val="15"/>
                <w:szCs w:val="15"/>
                <w:color w:val="auto"/>
              </w:rPr>
            </w:pPr>
          </w:p>
        </w:tc>
      </w:tr>
      <w:tr>
        <w:trPr>
          <w:trHeight w:val="177"/>
        </w:trPr>
        <w:tc>
          <w:tcPr>
            <w:tcW w:w="2760" w:type="dxa"/>
            <w:vAlign w:val="bottom"/>
          </w:tcPr>
          <w:p>
            <w:pPr>
              <w:ind w:left="460"/>
              <w:spacing w:after="0"/>
              <w:rPr>
                <w:sz w:val="20"/>
                <w:szCs w:val="20"/>
                <w:color w:val="auto"/>
              </w:rPr>
            </w:pPr>
            <w:r>
              <w:rPr>
                <w:rFonts w:ascii="Courier New" w:cs="Courier New" w:eastAsia="Courier New" w:hAnsi="Courier New"/>
                <w:sz w:val="15"/>
                <w:szCs w:val="15"/>
                <w:color w:val="auto"/>
              </w:rPr>
              <w:t>exercise price</w:t>
            </w:r>
          </w:p>
        </w:tc>
        <w:tc>
          <w:tcPr>
            <w:tcW w:w="17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$77</w:t>
            </w:r>
          </w:p>
        </w:tc>
      </w:tr>
      <w:tr>
        <w:trPr>
          <w:trHeight w:val="177"/>
        </w:trPr>
        <w:tc>
          <w:tcPr>
            <w:tcW w:w="2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760" w:type="dxa"/>
            <w:vAlign w:val="bottom"/>
          </w:tcPr>
          <w:p>
            <w:pPr>
              <w:spacing w:after="0"/>
              <w:rPr>
                <w:sz w:val="20"/>
                <w:szCs w:val="20"/>
                <w:color w:val="auto"/>
              </w:rPr>
            </w:pPr>
            <w:r>
              <w:rPr>
                <w:rFonts w:ascii="Courier New" w:cs="Courier New" w:eastAsia="Courier New" w:hAnsi="Courier New"/>
                <w:sz w:val="15"/>
                <w:szCs w:val="15"/>
                <w:color w:val="auto"/>
              </w:rPr>
              <w:t>Number exercisable</w:t>
            </w:r>
          </w:p>
        </w:tc>
        <w:tc>
          <w:tcPr>
            <w:tcW w:w="1760" w:type="dxa"/>
            <w:vAlign w:val="bottom"/>
          </w:tcPr>
          <w:p>
            <w:pPr>
              <w:spacing w:after="0"/>
              <w:rPr>
                <w:sz w:val="15"/>
                <w:szCs w:val="15"/>
                <w:color w:val="auto"/>
              </w:rPr>
            </w:pPr>
          </w:p>
        </w:tc>
      </w:tr>
      <w:tr>
        <w:trPr>
          <w:trHeight w:val="177"/>
        </w:trPr>
        <w:tc>
          <w:tcPr>
            <w:tcW w:w="2760" w:type="dxa"/>
            <w:vAlign w:val="bottom"/>
          </w:tcPr>
          <w:p>
            <w:pPr>
              <w:ind w:left="460"/>
              <w:spacing w:after="0"/>
              <w:rPr>
                <w:sz w:val="20"/>
                <w:szCs w:val="20"/>
                <w:color w:val="auto"/>
              </w:rPr>
            </w:pPr>
            <w:r>
              <w:rPr>
                <w:rFonts w:ascii="Courier New" w:cs="Courier New" w:eastAsia="Courier New" w:hAnsi="Courier New"/>
                <w:sz w:val="15"/>
                <w:szCs w:val="15"/>
                <w:color w:val="auto"/>
              </w:rPr>
              <w:t>at 12/31/96</w:t>
            </w:r>
          </w:p>
        </w:tc>
        <w:tc>
          <w:tcPr>
            <w:tcW w:w="17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469,490</w:t>
            </w:r>
          </w:p>
        </w:tc>
      </w:tr>
      <w:tr>
        <w:trPr>
          <w:trHeight w:val="177"/>
        </w:trPr>
        <w:tc>
          <w:tcPr>
            <w:tcW w:w="2760" w:type="dxa"/>
            <w:vAlign w:val="bottom"/>
          </w:tcPr>
          <w:p>
            <w:pPr>
              <w:spacing w:after="0"/>
              <w:rPr>
                <w:sz w:val="20"/>
                <w:szCs w:val="20"/>
                <w:color w:val="auto"/>
              </w:rPr>
            </w:pPr>
            <w:r>
              <w:rPr>
                <w:rFonts w:ascii="Courier New" w:cs="Courier New" w:eastAsia="Courier New" w:hAnsi="Courier New"/>
                <w:sz w:val="15"/>
                <w:szCs w:val="15"/>
                <w:color w:val="auto"/>
              </w:rPr>
              <w:t>Weighted average</w:t>
            </w:r>
          </w:p>
        </w:tc>
        <w:tc>
          <w:tcPr>
            <w:tcW w:w="1760" w:type="dxa"/>
            <w:vAlign w:val="bottom"/>
          </w:tcPr>
          <w:p>
            <w:pPr>
              <w:spacing w:after="0"/>
              <w:rPr>
                <w:sz w:val="15"/>
                <w:szCs w:val="15"/>
                <w:color w:val="auto"/>
              </w:rPr>
            </w:pPr>
          </w:p>
        </w:tc>
      </w:tr>
      <w:tr>
        <w:trPr>
          <w:trHeight w:val="177"/>
        </w:trPr>
        <w:tc>
          <w:tcPr>
            <w:tcW w:w="2760" w:type="dxa"/>
            <w:vAlign w:val="bottom"/>
          </w:tcPr>
          <w:p>
            <w:pPr>
              <w:ind w:left="460"/>
              <w:spacing w:after="0"/>
              <w:rPr>
                <w:sz w:val="20"/>
                <w:szCs w:val="20"/>
                <w:color w:val="auto"/>
              </w:rPr>
            </w:pPr>
            <w:r>
              <w:rPr>
                <w:rFonts w:ascii="Courier New" w:cs="Courier New" w:eastAsia="Courier New" w:hAnsi="Courier New"/>
                <w:sz w:val="15"/>
                <w:szCs w:val="15"/>
                <w:color w:val="auto"/>
              </w:rPr>
              <w:t>exercise price</w:t>
            </w:r>
          </w:p>
        </w:tc>
        <w:tc>
          <w:tcPr>
            <w:tcW w:w="17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$59</w:t>
            </w:r>
          </w:p>
        </w:tc>
      </w:tr>
      <w:tr>
        <w:trPr>
          <w:trHeight w:val="177"/>
        </w:trPr>
        <w:tc>
          <w:tcPr>
            <w:tcW w:w="2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EMPLOYEE STOCK PURCHASE PLAN</w:t>
      </w:r>
    </w:p>
    <w:p>
      <w:pPr>
        <w:spacing w:after="0" w:line="185"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Under the Schlumberger Discounted Stock Purchase Plan, the Company is authorized to issue up to 8,000,000 shares of Common Stock to its employees. Under the terms of the Plan, employees can choose each year to have up to 10 percent of their annual earnings withheld to purchase the Company's Common Stock. The purchase price of the stock is 85 percent of the lower of its beginning or end of the plan year market price. Under the Plan, the Company sold 741,747 shares and 724,794 shares to employees in 1996 and 1995, respectively. Compensation cost has been computed for the fair value of the employees' purchase rights,</w:t>
      </w:r>
    </w:p>
    <w:p>
      <w:pPr>
        <w:spacing w:after="0" w:line="175"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25"/>
          </w:cols>
          <w:pgMar w:left="235" w:top="650" w:right="1440" w:bottom="1440" w:gutter="0" w:footer="0" w:header="0"/>
        </w:sectPr>
      </w:pPr>
    </w:p>
    <w:bookmarkStart w:id="35" w:name="page36"/>
    <w:bookmarkEnd w:id="35"/>
    <w:p>
      <w:pPr>
        <w:ind w:right="2839"/>
        <w:spacing w:after="0" w:line="251" w:lineRule="auto"/>
        <w:rPr>
          <w:sz w:val="20"/>
          <w:szCs w:val="20"/>
          <w:color w:val="auto"/>
        </w:rPr>
      </w:pPr>
      <w:r>
        <w:rPr>
          <w:rFonts w:ascii="Courier New" w:cs="Courier New" w:eastAsia="Courier New" w:hAnsi="Courier New"/>
          <w:sz w:val="15"/>
          <w:szCs w:val="15"/>
          <w:color w:val="auto"/>
        </w:rPr>
        <w:t>which was estimated using the Black-Scholes model with the following assumptions for 1996 and 1995: dividend yield of 1.5 percent; expected life of one year; expected volatility of 20 percent; and risk-free interest rates of 5.71 percent for 1996 and 5.61 percent for 1995. The weighted-average fair value of those purchase rights granted in 1996 and 1995 is $19.45 and $14.42, respectively.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 Expense</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With increasing profitability and strong outlook in the US, in the third quarter of 1996 the Company recognized 50% of the US income tax benefit related to its US subsidiary's tax loss carryforward and all temporary differences. This resulted in a credit of $360 million.</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Company and its subsidiaries operate in over 100 taxing jurisdictions.</w:t>
      </w:r>
    </w:p>
    <w:p>
      <w:pPr>
        <w:spacing w:after="0" w:line="185" w:lineRule="exact"/>
        <w:rPr>
          <w:sz w:val="20"/>
          <w:szCs w:val="20"/>
          <w:color w:val="auto"/>
        </w:rPr>
      </w:pPr>
    </w:p>
    <w:p>
      <w:pPr>
        <w:ind w:right="3119" w:firstLine="461"/>
        <w:spacing w:after="0" w:line="253" w:lineRule="auto"/>
        <w:rPr>
          <w:sz w:val="20"/>
          <w:szCs w:val="20"/>
          <w:color w:val="auto"/>
        </w:rPr>
      </w:pPr>
      <w:r>
        <w:rPr>
          <w:rFonts w:ascii="Courier New" w:cs="Courier New" w:eastAsia="Courier New" w:hAnsi="Courier New"/>
          <w:sz w:val="15"/>
          <w:szCs w:val="15"/>
          <w:color w:val="auto"/>
        </w:rPr>
        <w:t>At December 31, 1996, the US deferred tax asset was $381 million and the valuation allowance was $53 million.</w:t>
      </w:r>
    </w:p>
    <w:p>
      <w:pPr>
        <w:spacing w:after="0" w:line="174"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Company's US consolidated group has a net operating loss carryforward at December 31, 1996 of $293 million and net deductible temporary differences were $782 million. Significant temporary differences pertain to postretirement medical benefits and fixed assets. Most of the tax loss carryforward will expire in the years 2002 - 2003.</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normal recurring provision for income taxes in 1996 was $206 million; effective tax rate was 20%. In 1995 and 1994, the effective tax rates were 16% and 13%, respectively. The effect of the US operating loss carryforward was a significant reconciling item between the US statutory federal tax rate (35%) and the Company's effective tax rate in each year.</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Company's provision for deferred taxes (excluding the effect of the unusual items) was less than $5 million in each of the three years in the period ended December 31, 1996. The remaining component of income tax expense was the current provision in each year.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Leases and Lease Commitments</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Total rental expense was $232 million in 1996, $206 million in 1995 and $192 million in 1994. Future minimum rental commitments under noncancelable leases for years ending December 31 are: 1997 $90 million; 1998 $72 million; 1999 $58 million; 2000 $40 million; and 2001 $30 million. For the ensuing three five-year periods, these commitments decrease from $35 million to $3 million. The minimum rentals over the remaining terms of the leases aggregate $25 million.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w:t>
      </w:r>
    </w:p>
    <w:p>
      <w:pPr>
        <w:spacing w:after="0" w:line="18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The Company and its subsidiaries comply with government laws and regulations and responsible management practices for the protection of the environment. 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and other factors, it is possible that the ultimate remediation costs may exceed the amounts accrued. However, in the opinion of management, such additional costs are not expected to be material relative to consolidated liquidity, financial position or future results of operations.</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19"/>
          </w:cols>
          <w:pgMar w:left="240" w:top="650" w:right="1440" w:bottom="1440" w:gutter="0" w:footer="0" w:header="0"/>
        </w:sectPr>
      </w:pPr>
    </w:p>
    <w:bookmarkStart w:id="36" w:name="page37"/>
    <w:bookmarkEnd w:id="36"/>
    <w:p>
      <w:pPr>
        <w:ind w:left="5" w:right="2839" w:firstLine="461"/>
        <w:spacing w:after="0" w:line="250" w:lineRule="auto"/>
        <w:rPr>
          <w:sz w:val="20"/>
          <w:szCs w:val="20"/>
          <w:color w:val="auto"/>
        </w:rPr>
      </w:pPr>
      <w:r>
        <w:rPr>
          <w:rFonts w:ascii="Courier New" w:cs="Courier New" w:eastAsia="Courier New" w:hAnsi="Courier New"/>
          <w:sz w:val="15"/>
          <w:szCs w:val="15"/>
          <w:color w:val="auto"/>
        </w:rPr>
        <w:t>In a case in Texas involving the validity of a 1988 settlement and release in connection with an incidental business venture, the trial court, in 1993, rendered a judgment notwithstanding the verdict of the jury, exonerating Schlumberger from any liability. In late 1994, a Texas Court of Appeals reversed the trial court judgment and reinstated the jury award of about $75 million against Schlumberger. The Texas Supreme Court granted the Schlumberger motion to hear the case. Oral argument was held before the Texas Supreme Court on October 11, 1995. Schlumberger and outside counsel believe the decision of the trial court was correct. Consequently, no provision has been made in the consolidated financial statements for this matter.</w:t>
      </w:r>
    </w:p>
    <w:p>
      <w:pPr>
        <w:spacing w:after="0" w:line="182" w:lineRule="exact"/>
        <w:rPr>
          <w:sz w:val="20"/>
          <w:szCs w:val="20"/>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In May 1996, in a case involving a $3 million contract dispute, the trial court in Johnson County, Texas, entered judgment on jury findings adverse to Schlumberger for $23 million in damages, which has been doubled, plus attorneys' fees and interest. The Company and its outside counsel believe the findings and the judgment are not supported by the evidence and law, and have filed an appeal. Accordingly, no provision has been made in the accompanying financial statements for this matter.</w:t>
      </w:r>
    </w:p>
    <w:p>
      <w:pPr>
        <w:spacing w:after="0" w:line="176" w:lineRule="exact"/>
        <w:rPr>
          <w:sz w:val="20"/>
          <w:szCs w:val="20"/>
          <w:color w:val="auto"/>
        </w:rPr>
      </w:pPr>
    </w:p>
    <w:p>
      <w:pPr>
        <w:ind w:left="5" w:right="2839" w:firstLine="461"/>
        <w:spacing w:after="0" w:line="252" w:lineRule="auto"/>
        <w:rPr>
          <w:sz w:val="20"/>
          <w:szCs w:val="20"/>
          <w:color w:val="auto"/>
        </w:rPr>
      </w:pPr>
      <w:r>
        <w:rPr>
          <w:rFonts w:ascii="Courier New" w:cs="Courier New" w:eastAsia="Courier New" w:hAnsi="Courier New"/>
          <w:sz w:val="15"/>
          <w:szCs w:val="15"/>
          <w:color w:val="auto"/>
        </w:rPr>
        <w:t>In addition, the Company and its subsidiaries are party to various other legal proceedings. Although the ultimate disposition of these proceedings is not presently determinable, in the opinion of the Company any liability that might ensue would not be material in relation to the consolidated financial statements.</w:t>
      </w:r>
    </w:p>
    <w:p>
      <w:pPr>
        <w:spacing w:after="0" w:line="351"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Segment Information</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The Company's business comprises three segments: Oilfield Services, Measurement</w:t>
      </w:r>
    </w:p>
    <w:p>
      <w:pPr>
        <w:spacing w:after="0" w:line="8" w:lineRule="exact"/>
        <w:rPr>
          <w:sz w:val="20"/>
          <w:szCs w:val="20"/>
          <w:color w:val="auto"/>
        </w:rPr>
      </w:pPr>
    </w:p>
    <w:p>
      <w:pPr>
        <w:ind w:left="185" w:hanging="185"/>
        <w:spacing w:after="0"/>
        <w:tabs>
          <w:tab w:leader="none" w:pos="185"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Systems and Omnes. Services and products are described in more detail on pages</w:t>
      </w:r>
    </w:p>
    <w:p>
      <w:pPr>
        <w:spacing w:after="0" w:line="7" w:lineRule="exact"/>
        <w:rPr>
          <w:rFonts w:ascii="Courier New" w:cs="Courier New" w:eastAsia="Courier New" w:hAnsi="Courier New"/>
          <w:sz w:val="15"/>
          <w:szCs w:val="15"/>
          <w:color w:val="auto"/>
        </w:rPr>
      </w:pPr>
    </w:p>
    <w:p>
      <w:pPr>
        <w:ind w:left="5" w:right="283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64-65 in this report. Oilfield Services and Measurement &amp; Systems are reportable segments.</w:t>
      </w:r>
    </w:p>
    <w:p>
      <w:pPr>
        <w:spacing w:after="0" w:line="174" w:lineRule="exact"/>
        <w:rPr>
          <w:sz w:val="20"/>
          <w:szCs w:val="20"/>
          <w:color w:val="auto"/>
        </w:rPr>
      </w:pPr>
    </w:p>
    <w:p>
      <w:pPr>
        <w:ind w:left="5" w:right="2939" w:firstLine="461"/>
        <w:spacing w:after="0" w:line="253" w:lineRule="auto"/>
        <w:rPr>
          <w:sz w:val="20"/>
          <w:szCs w:val="20"/>
          <w:color w:val="auto"/>
        </w:rPr>
      </w:pPr>
      <w:r>
        <w:rPr>
          <w:rFonts w:ascii="Courier New" w:cs="Courier New" w:eastAsia="Courier New" w:hAnsi="Courier New"/>
          <w:sz w:val="15"/>
          <w:szCs w:val="15"/>
          <w:color w:val="auto"/>
        </w:rPr>
        <w:t>Financial information for the years ended December 31, 1996, 1995 and 1994 by industry segment and by geographic area is as follows:</w:t>
      </w:r>
    </w:p>
    <w:p>
      <w:pPr>
        <w:spacing w:after="0" w:line="174"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25"/>
          </w:cols>
          <w:pgMar w:left="235" w:top="650"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72"/>
        </w:trPr>
        <w:tc>
          <w:tcPr>
            <w:tcW w:w="4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360" w:type="dxa"/>
            <w:vAlign w:val="bottom"/>
            <w:gridSpan w:val="4"/>
          </w:tcPr>
          <w:p>
            <w:pPr>
              <w:ind w:left="420"/>
              <w:spacing w:after="0"/>
              <w:rPr>
                <w:sz w:val="20"/>
                <w:szCs w:val="20"/>
                <w:color w:val="auto"/>
              </w:rPr>
            </w:pPr>
            <w:r>
              <w:rPr>
                <w:rFonts w:ascii="Courier New" w:cs="Courier New" w:eastAsia="Courier New" w:hAnsi="Courier New"/>
                <w:sz w:val="15"/>
                <w:szCs w:val="15"/>
                <w:color w:val="auto"/>
              </w:rPr>
              <w:t>(Stated in millions)</w:t>
            </w:r>
          </w:p>
        </w:tc>
      </w:tr>
      <w:tr>
        <w:trPr>
          <w:trHeight w:val="177"/>
        </w:trPr>
        <w:tc>
          <w:tcPr>
            <w:tcW w:w="4840" w:type="dxa"/>
            <w:vAlign w:val="bottom"/>
          </w:tcPr>
          <w:p>
            <w:pPr>
              <w:spacing w:after="0"/>
              <w:rPr>
                <w:sz w:val="15"/>
                <w:szCs w:val="15"/>
                <w:color w:val="auto"/>
              </w:rPr>
            </w:pPr>
          </w:p>
        </w:tc>
        <w:tc>
          <w:tcPr>
            <w:tcW w:w="1380" w:type="dxa"/>
            <w:vAlign w:val="bottom"/>
            <w:gridSpan w:val="2"/>
          </w:tcPr>
          <w:p>
            <w:pPr>
              <w:jc w:val="right"/>
              <w:ind w:right="423"/>
              <w:spacing w:after="0"/>
              <w:rPr>
                <w:sz w:val="20"/>
                <w:szCs w:val="20"/>
                <w:color w:val="auto"/>
              </w:rPr>
            </w:pPr>
            <w:r>
              <w:rPr>
                <w:rFonts w:ascii="Courier New" w:cs="Courier New" w:eastAsia="Courier New" w:hAnsi="Courier New"/>
                <w:sz w:val="15"/>
                <w:szCs w:val="15"/>
                <w:color w:val="auto"/>
              </w:rPr>
              <w:t>OILFIELD</w:t>
            </w:r>
          </w:p>
        </w:tc>
        <w:tc>
          <w:tcPr>
            <w:tcW w:w="19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MEASUREMENT</w:t>
            </w:r>
          </w:p>
        </w:tc>
        <w:tc>
          <w:tcPr>
            <w:tcW w:w="138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ADJUST.</w:t>
            </w:r>
          </w:p>
        </w:tc>
        <w:tc>
          <w:tcPr>
            <w:tcW w:w="9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CONSOL-</w:t>
            </w:r>
          </w:p>
        </w:tc>
      </w:tr>
      <w:tr>
        <w:trPr>
          <w:trHeight w:val="177"/>
        </w:trPr>
        <w:tc>
          <w:tcPr>
            <w:tcW w:w="4840" w:type="dxa"/>
            <w:vAlign w:val="bottom"/>
          </w:tcPr>
          <w:p>
            <w:pPr>
              <w:spacing w:after="0"/>
              <w:rPr>
                <w:sz w:val="15"/>
                <w:szCs w:val="15"/>
                <w:color w:val="auto"/>
              </w:rPr>
            </w:pPr>
          </w:p>
        </w:tc>
        <w:tc>
          <w:tcPr>
            <w:tcW w:w="1380" w:type="dxa"/>
            <w:vAlign w:val="bottom"/>
            <w:gridSpan w:val="2"/>
          </w:tcPr>
          <w:p>
            <w:pPr>
              <w:jc w:val="right"/>
              <w:ind w:right="423"/>
              <w:spacing w:after="0"/>
              <w:rPr>
                <w:sz w:val="20"/>
                <w:szCs w:val="20"/>
                <w:color w:val="auto"/>
              </w:rPr>
            </w:pPr>
            <w:r>
              <w:rPr>
                <w:rFonts w:ascii="Courier New" w:cs="Courier New" w:eastAsia="Courier New" w:hAnsi="Courier New"/>
                <w:sz w:val="15"/>
                <w:szCs w:val="15"/>
                <w:color w:val="auto"/>
              </w:rPr>
              <w:t>SERVICES</w:t>
            </w:r>
          </w:p>
        </w:tc>
        <w:tc>
          <w:tcPr>
            <w:tcW w:w="19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&amp; SYSTEMS</w:t>
            </w:r>
          </w:p>
        </w:tc>
        <w:tc>
          <w:tcPr>
            <w:tcW w:w="138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&amp; ELIM.</w:t>
            </w:r>
          </w:p>
        </w:tc>
        <w:tc>
          <w:tcPr>
            <w:tcW w:w="9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IDATED</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4840" w:type="dxa"/>
            <w:vAlign w:val="bottom"/>
          </w:tcPr>
          <w:p>
            <w:pPr>
              <w:spacing w:after="0"/>
              <w:rPr>
                <w:sz w:val="20"/>
                <w:szCs w:val="20"/>
                <w:color w:val="auto"/>
              </w:rPr>
            </w:pPr>
            <w:r>
              <w:rPr>
                <w:rFonts w:ascii="Courier New" w:cs="Courier New" w:eastAsia="Courier New" w:hAnsi="Courier New"/>
                <w:sz w:val="15"/>
                <w:szCs w:val="15"/>
                <w:color w:val="auto"/>
              </w:rPr>
              <w:t>INDUSTRY SEGMENT 1996</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7"/>
        </w:trPr>
        <w:tc>
          <w:tcPr>
            <w:tcW w:w="4840" w:type="dxa"/>
            <w:vAlign w:val="bottom"/>
          </w:tcPr>
          <w:p>
            <w:pPr>
              <w:ind w:left="460"/>
              <w:spacing w:after="0"/>
              <w:rPr>
                <w:sz w:val="20"/>
                <w:szCs w:val="20"/>
                <w:color w:val="auto"/>
              </w:rPr>
            </w:pPr>
            <w:r>
              <w:rPr>
                <w:rFonts w:ascii="Courier New" w:cs="Courier New" w:eastAsia="Courier New" w:hAnsi="Courier New"/>
                <w:sz w:val="15"/>
                <w:szCs w:val="15"/>
                <w:color w:val="auto"/>
              </w:rPr>
              <w:t>Customers</w:t>
            </w:r>
          </w:p>
        </w:tc>
        <w:tc>
          <w:tcPr>
            <w:tcW w:w="1380" w:type="dxa"/>
            <w:vAlign w:val="bottom"/>
            <w:gridSpan w:val="2"/>
          </w:tcPr>
          <w:p>
            <w:pPr>
              <w:jc w:val="right"/>
              <w:ind w:right="423"/>
              <w:spacing w:after="0"/>
              <w:rPr>
                <w:sz w:val="20"/>
                <w:szCs w:val="20"/>
                <w:color w:val="auto"/>
              </w:rPr>
            </w:pPr>
            <w:r>
              <w:rPr>
                <w:rFonts w:ascii="Courier New" w:cs="Courier New" w:eastAsia="Courier New" w:hAnsi="Courier New"/>
                <w:sz w:val="15"/>
                <w:szCs w:val="15"/>
                <w:color w:val="auto"/>
              </w:rPr>
              <w:t>$6,129</w:t>
            </w:r>
          </w:p>
        </w:tc>
        <w:tc>
          <w:tcPr>
            <w:tcW w:w="1940" w:type="dxa"/>
            <w:vAlign w:val="bottom"/>
            <w:gridSpan w:val="2"/>
          </w:tcPr>
          <w:p>
            <w:pPr>
              <w:jc w:val="right"/>
              <w:ind w:right="523"/>
              <w:spacing w:after="0"/>
              <w:rPr>
                <w:sz w:val="20"/>
                <w:szCs w:val="20"/>
                <w:color w:val="auto"/>
              </w:rPr>
            </w:pPr>
            <w:r>
              <w:rPr>
                <w:rFonts w:ascii="Courier New" w:cs="Courier New" w:eastAsia="Courier New" w:hAnsi="Courier New"/>
                <w:sz w:val="15"/>
                <w:szCs w:val="15"/>
                <w:color w:val="auto"/>
              </w:rPr>
              <w:t>$2,827</w:t>
            </w:r>
          </w:p>
        </w:tc>
        <w:tc>
          <w:tcPr>
            <w:tcW w:w="56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$8,956</w:t>
            </w:r>
          </w:p>
        </w:tc>
      </w:tr>
      <w:tr>
        <w:trPr>
          <w:trHeight w:val="177"/>
        </w:trPr>
        <w:tc>
          <w:tcPr>
            <w:tcW w:w="4840" w:type="dxa"/>
            <w:vAlign w:val="bottom"/>
          </w:tcPr>
          <w:p>
            <w:pPr>
              <w:ind w:left="460"/>
              <w:spacing w:after="0"/>
              <w:rPr>
                <w:sz w:val="20"/>
                <w:szCs w:val="20"/>
                <w:color w:val="auto"/>
              </w:rPr>
            </w:pPr>
            <w:r>
              <w:rPr>
                <w:rFonts w:ascii="Courier New" w:cs="Courier New" w:eastAsia="Courier New" w:hAnsi="Courier New"/>
                <w:sz w:val="15"/>
                <w:szCs w:val="15"/>
                <w:color w:val="auto"/>
              </w:rPr>
              <w:t>Inter-segment transfers</w:t>
            </w:r>
          </w:p>
        </w:tc>
        <w:tc>
          <w:tcPr>
            <w:tcW w:w="500" w:type="dxa"/>
            <w:vAlign w:val="bottom"/>
          </w:tcPr>
          <w:p>
            <w:pPr>
              <w:spacing w:after="0"/>
              <w:rPr>
                <w:sz w:val="15"/>
                <w:szCs w:val="15"/>
                <w:color w:val="auto"/>
              </w:rPr>
            </w:pPr>
          </w:p>
        </w:tc>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5"/>
                <w:szCs w:val="15"/>
                <w:color w:val="auto"/>
              </w:rPr>
            </w:pPr>
          </w:p>
        </w:tc>
        <w:tc>
          <w:tcPr>
            <w:tcW w:w="10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7</w:t>
            </w:r>
          </w:p>
        </w:tc>
        <w:tc>
          <w:tcPr>
            <w:tcW w:w="560" w:type="dxa"/>
            <w:vAlign w:val="bottom"/>
          </w:tcPr>
          <w:p>
            <w:pPr>
              <w:spacing w:after="0"/>
              <w:rPr>
                <w:sz w:val="15"/>
                <w:szCs w:val="15"/>
                <w:color w:val="auto"/>
              </w:rPr>
            </w:pP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w:t>
            </w:r>
          </w:p>
        </w:tc>
        <w:tc>
          <w:tcPr>
            <w:tcW w:w="320" w:type="dxa"/>
            <w:vAlign w:val="bottom"/>
          </w:tcPr>
          <w:p>
            <w:pPr>
              <w:spacing w:after="0"/>
              <w:rPr>
                <w:sz w:val="15"/>
                <w:szCs w:val="15"/>
                <w:color w:val="auto"/>
              </w:rPr>
            </w:pPr>
          </w:p>
        </w:tc>
        <w:tc>
          <w:tcPr>
            <w:tcW w:w="6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840" w:type="dxa"/>
            <w:vAlign w:val="bottom"/>
          </w:tcPr>
          <w:p>
            <w:pPr>
              <w:spacing w:after="0"/>
              <w:rPr>
                <w:sz w:val="15"/>
                <w:szCs w:val="15"/>
                <w:color w:val="auto"/>
              </w:rPr>
            </w:pPr>
          </w:p>
        </w:tc>
        <w:tc>
          <w:tcPr>
            <w:tcW w:w="1380" w:type="dxa"/>
            <w:vAlign w:val="bottom"/>
            <w:gridSpan w:val="2"/>
          </w:tcPr>
          <w:p>
            <w:pPr>
              <w:jc w:val="right"/>
              <w:ind w:right="423"/>
              <w:spacing w:after="0"/>
              <w:rPr>
                <w:sz w:val="20"/>
                <w:szCs w:val="20"/>
                <w:color w:val="auto"/>
              </w:rPr>
            </w:pPr>
            <w:r>
              <w:rPr>
                <w:rFonts w:ascii="Courier New" w:cs="Courier New" w:eastAsia="Courier New" w:hAnsi="Courier New"/>
                <w:sz w:val="15"/>
                <w:szCs w:val="15"/>
                <w:color w:val="auto"/>
              </w:rPr>
              <w:t>$6,129</w:t>
            </w:r>
          </w:p>
        </w:tc>
        <w:tc>
          <w:tcPr>
            <w:tcW w:w="1940" w:type="dxa"/>
            <w:vAlign w:val="bottom"/>
            <w:gridSpan w:val="2"/>
          </w:tcPr>
          <w:p>
            <w:pPr>
              <w:jc w:val="right"/>
              <w:ind w:right="523"/>
              <w:spacing w:after="0"/>
              <w:rPr>
                <w:sz w:val="20"/>
                <w:szCs w:val="20"/>
                <w:color w:val="auto"/>
              </w:rPr>
            </w:pPr>
            <w:r>
              <w:rPr>
                <w:rFonts w:ascii="Courier New" w:cs="Courier New" w:eastAsia="Courier New" w:hAnsi="Courier New"/>
                <w:sz w:val="15"/>
                <w:szCs w:val="15"/>
                <w:color w:val="auto"/>
              </w:rPr>
              <w:t>$2,834</w:t>
            </w:r>
          </w:p>
        </w:tc>
        <w:tc>
          <w:tcPr>
            <w:tcW w:w="56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w:t>
            </w:r>
          </w:p>
        </w:tc>
        <w:tc>
          <w:tcPr>
            <w:tcW w:w="9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$8,956</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5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986</w:t>
            </w:r>
          </w:p>
        </w:tc>
        <w:tc>
          <w:tcPr>
            <w:tcW w:w="880" w:type="dxa"/>
            <w:vAlign w:val="bottom"/>
          </w:tcPr>
          <w:p>
            <w:pPr>
              <w:ind w:left="78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124</w:t>
            </w:r>
          </w:p>
        </w:tc>
        <w:tc>
          <w:tcPr>
            <w:tcW w:w="56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(52)</w:t>
            </w:r>
          </w:p>
        </w:tc>
        <w:tc>
          <w:tcPr>
            <w:tcW w:w="9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$1,058</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(72)</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Interest and other income</w:t>
            </w: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70</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Unusual items</w:t>
            </w: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(380)</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Income before taxes</w:t>
            </w: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676</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Depreciation expense</w:t>
            </w:r>
          </w:p>
        </w:tc>
        <w:tc>
          <w:tcPr>
            <w:tcW w:w="5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700</w:t>
            </w:r>
          </w:p>
        </w:tc>
        <w:tc>
          <w:tcPr>
            <w:tcW w:w="880" w:type="dxa"/>
            <w:vAlign w:val="bottom"/>
          </w:tcPr>
          <w:p>
            <w:pPr>
              <w:ind w:left="78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111</w:t>
            </w:r>
          </w:p>
        </w:tc>
        <w:tc>
          <w:tcPr>
            <w:tcW w:w="56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819</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Fixed asset additions</w:t>
            </w:r>
          </w:p>
        </w:tc>
        <w:tc>
          <w:tcPr>
            <w:tcW w:w="1380" w:type="dxa"/>
            <w:vAlign w:val="bottom"/>
            <w:gridSpan w:val="2"/>
          </w:tcPr>
          <w:p>
            <w:pPr>
              <w:jc w:val="right"/>
              <w:ind w:right="423"/>
              <w:spacing w:after="0"/>
              <w:rPr>
                <w:sz w:val="20"/>
                <w:szCs w:val="20"/>
                <w:color w:val="auto"/>
              </w:rPr>
            </w:pPr>
            <w:r>
              <w:rPr>
                <w:rFonts w:ascii="Courier New" w:cs="Courier New" w:eastAsia="Courier New" w:hAnsi="Courier New"/>
                <w:sz w:val="15"/>
                <w:szCs w:val="15"/>
                <w:color w:val="auto"/>
              </w:rPr>
              <w:t>$1,018</w:t>
            </w:r>
          </w:p>
        </w:tc>
        <w:tc>
          <w:tcPr>
            <w:tcW w:w="880" w:type="dxa"/>
            <w:vAlign w:val="bottom"/>
          </w:tcPr>
          <w:p>
            <w:pPr>
              <w:ind w:left="78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131</w:t>
            </w:r>
          </w:p>
        </w:tc>
        <w:tc>
          <w:tcPr>
            <w:tcW w:w="56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9</w:t>
            </w:r>
          </w:p>
        </w:tc>
        <w:tc>
          <w:tcPr>
            <w:tcW w:w="9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$1,158</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At December 31</w:t>
            </w: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7"/>
        </w:trPr>
        <w:tc>
          <w:tcPr>
            <w:tcW w:w="4840" w:type="dxa"/>
            <w:vAlign w:val="bottom"/>
          </w:tcPr>
          <w:p>
            <w:pPr>
              <w:ind w:left="460"/>
              <w:spacing w:after="0"/>
              <w:rPr>
                <w:sz w:val="20"/>
                <w:szCs w:val="20"/>
                <w:color w:val="auto"/>
              </w:rPr>
            </w:pPr>
            <w:r>
              <w:rPr>
                <w:rFonts w:ascii="Courier New" w:cs="Courier New" w:eastAsia="Courier New" w:hAnsi="Courier New"/>
                <w:sz w:val="15"/>
                <w:szCs w:val="15"/>
                <w:color w:val="auto"/>
              </w:rPr>
              <w:t>Identifiable assets</w:t>
            </w:r>
          </w:p>
        </w:tc>
        <w:tc>
          <w:tcPr>
            <w:tcW w:w="1380" w:type="dxa"/>
            <w:vAlign w:val="bottom"/>
            <w:gridSpan w:val="2"/>
          </w:tcPr>
          <w:p>
            <w:pPr>
              <w:jc w:val="right"/>
              <w:ind w:right="423"/>
              <w:spacing w:after="0"/>
              <w:rPr>
                <w:sz w:val="20"/>
                <w:szCs w:val="20"/>
                <w:color w:val="auto"/>
              </w:rPr>
            </w:pPr>
            <w:r>
              <w:rPr>
                <w:rFonts w:ascii="Courier New" w:cs="Courier New" w:eastAsia="Courier New" w:hAnsi="Courier New"/>
                <w:sz w:val="15"/>
                <w:szCs w:val="15"/>
                <w:color w:val="auto"/>
              </w:rPr>
              <w:t>$5,961</w:t>
            </w:r>
          </w:p>
        </w:tc>
        <w:tc>
          <w:tcPr>
            <w:tcW w:w="1940" w:type="dxa"/>
            <w:vAlign w:val="bottom"/>
            <w:gridSpan w:val="2"/>
          </w:tcPr>
          <w:p>
            <w:pPr>
              <w:jc w:val="right"/>
              <w:ind w:right="523"/>
              <w:spacing w:after="0"/>
              <w:rPr>
                <w:sz w:val="20"/>
                <w:szCs w:val="20"/>
                <w:color w:val="auto"/>
              </w:rPr>
            </w:pPr>
            <w:r>
              <w:rPr>
                <w:rFonts w:ascii="Courier New" w:cs="Courier New" w:eastAsia="Courier New" w:hAnsi="Courier New"/>
                <w:sz w:val="15"/>
                <w:szCs w:val="15"/>
                <w:color w:val="auto"/>
              </w:rPr>
              <w:t>$2,518</w:t>
            </w:r>
          </w:p>
        </w:tc>
        <w:tc>
          <w:tcPr>
            <w:tcW w:w="56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(41)</w:t>
            </w:r>
          </w:p>
        </w:tc>
        <w:tc>
          <w:tcPr>
            <w:tcW w:w="9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$8,438</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7"/>
        </w:trPr>
        <w:tc>
          <w:tcPr>
            <w:tcW w:w="4840" w:type="dxa"/>
            <w:vAlign w:val="bottom"/>
          </w:tcPr>
          <w:p>
            <w:pPr>
              <w:ind w:left="460"/>
              <w:spacing w:after="0"/>
              <w:rPr>
                <w:sz w:val="20"/>
                <w:szCs w:val="20"/>
                <w:color w:val="auto"/>
              </w:rPr>
            </w:pPr>
            <w:r>
              <w:rPr>
                <w:rFonts w:ascii="Courier New" w:cs="Courier New" w:eastAsia="Courier New" w:hAnsi="Courier New"/>
                <w:sz w:val="15"/>
                <w:szCs w:val="15"/>
                <w:color w:val="auto"/>
              </w:rPr>
              <w:t>Corporate assets</w:t>
            </w: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7"/>
              </w:rPr>
              <w:t>1,887</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840" w:type="dxa"/>
            <w:vAlign w:val="bottom"/>
          </w:tcPr>
          <w:p>
            <w:pPr>
              <w:ind w:left="460"/>
              <w:spacing w:after="0"/>
              <w:rPr>
                <w:sz w:val="20"/>
                <w:szCs w:val="20"/>
                <w:color w:val="auto"/>
              </w:rPr>
            </w:pPr>
            <w:r>
              <w:rPr>
                <w:rFonts w:ascii="Courier New" w:cs="Courier New" w:eastAsia="Courier New" w:hAnsi="Courier New"/>
                <w:sz w:val="15"/>
                <w:szCs w:val="15"/>
                <w:color w:val="auto"/>
              </w:rPr>
              <w:t>Total assets</w:t>
            </w: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$10,325</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INDUSTRY SEGMENT 1995</w:t>
            </w: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7"/>
        </w:trPr>
        <w:tc>
          <w:tcPr>
            <w:tcW w:w="4840" w:type="dxa"/>
            <w:vAlign w:val="bottom"/>
          </w:tcPr>
          <w:p>
            <w:pPr>
              <w:ind w:left="460"/>
              <w:spacing w:after="0"/>
              <w:rPr>
                <w:sz w:val="20"/>
                <w:szCs w:val="20"/>
                <w:color w:val="auto"/>
              </w:rPr>
            </w:pPr>
            <w:r>
              <w:rPr>
                <w:rFonts w:ascii="Courier New" w:cs="Courier New" w:eastAsia="Courier New" w:hAnsi="Courier New"/>
                <w:sz w:val="15"/>
                <w:szCs w:val="15"/>
                <w:color w:val="auto"/>
              </w:rPr>
              <w:t>Customers</w:t>
            </w:r>
          </w:p>
        </w:tc>
        <w:tc>
          <w:tcPr>
            <w:tcW w:w="1380" w:type="dxa"/>
            <w:vAlign w:val="bottom"/>
            <w:gridSpan w:val="2"/>
          </w:tcPr>
          <w:p>
            <w:pPr>
              <w:jc w:val="right"/>
              <w:ind w:right="423"/>
              <w:spacing w:after="0"/>
              <w:rPr>
                <w:sz w:val="20"/>
                <w:szCs w:val="20"/>
                <w:color w:val="auto"/>
              </w:rPr>
            </w:pPr>
            <w:r>
              <w:rPr>
                <w:rFonts w:ascii="Courier New" w:cs="Courier New" w:eastAsia="Courier New" w:hAnsi="Courier New"/>
                <w:sz w:val="15"/>
                <w:szCs w:val="15"/>
                <w:color w:val="auto"/>
              </w:rPr>
              <w:t>$4,867</w:t>
            </w:r>
          </w:p>
        </w:tc>
        <w:tc>
          <w:tcPr>
            <w:tcW w:w="1940" w:type="dxa"/>
            <w:vAlign w:val="bottom"/>
            <w:gridSpan w:val="2"/>
          </w:tcPr>
          <w:p>
            <w:pPr>
              <w:jc w:val="right"/>
              <w:ind w:right="523"/>
              <w:spacing w:after="0"/>
              <w:rPr>
                <w:sz w:val="20"/>
                <w:szCs w:val="20"/>
                <w:color w:val="auto"/>
              </w:rPr>
            </w:pPr>
            <w:r>
              <w:rPr>
                <w:rFonts w:ascii="Courier New" w:cs="Courier New" w:eastAsia="Courier New" w:hAnsi="Courier New"/>
                <w:sz w:val="15"/>
                <w:szCs w:val="15"/>
                <w:color w:val="auto"/>
              </w:rPr>
              <w:t>$2,755</w:t>
            </w:r>
          </w:p>
        </w:tc>
        <w:tc>
          <w:tcPr>
            <w:tcW w:w="56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$7,622</w:t>
            </w:r>
          </w:p>
        </w:tc>
      </w:tr>
      <w:tr>
        <w:trPr>
          <w:trHeight w:val="177"/>
        </w:trPr>
        <w:tc>
          <w:tcPr>
            <w:tcW w:w="4840" w:type="dxa"/>
            <w:vAlign w:val="bottom"/>
          </w:tcPr>
          <w:p>
            <w:pPr>
              <w:ind w:left="460"/>
              <w:spacing w:after="0"/>
              <w:rPr>
                <w:sz w:val="20"/>
                <w:szCs w:val="20"/>
                <w:color w:val="auto"/>
              </w:rPr>
            </w:pPr>
            <w:r>
              <w:rPr>
                <w:rFonts w:ascii="Courier New" w:cs="Courier New" w:eastAsia="Courier New" w:hAnsi="Courier New"/>
                <w:sz w:val="15"/>
                <w:szCs w:val="15"/>
                <w:color w:val="auto"/>
              </w:rPr>
              <w:t>Inter-segment transfers</w:t>
            </w:r>
          </w:p>
        </w:tc>
        <w:tc>
          <w:tcPr>
            <w:tcW w:w="500" w:type="dxa"/>
            <w:vAlign w:val="bottom"/>
          </w:tcPr>
          <w:p>
            <w:pPr>
              <w:spacing w:after="0"/>
              <w:rPr>
                <w:sz w:val="15"/>
                <w:szCs w:val="15"/>
                <w:color w:val="auto"/>
              </w:rPr>
            </w:pPr>
          </w:p>
        </w:tc>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w:t>
            </w:r>
          </w:p>
        </w:tc>
        <w:tc>
          <w:tcPr>
            <w:tcW w:w="880" w:type="dxa"/>
            <w:vAlign w:val="bottom"/>
          </w:tcPr>
          <w:p>
            <w:pPr>
              <w:spacing w:after="0"/>
              <w:rPr>
                <w:sz w:val="15"/>
                <w:szCs w:val="15"/>
                <w:color w:val="auto"/>
              </w:rPr>
            </w:pPr>
          </w:p>
        </w:tc>
        <w:tc>
          <w:tcPr>
            <w:tcW w:w="10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4</w:t>
            </w:r>
          </w:p>
        </w:tc>
        <w:tc>
          <w:tcPr>
            <w:tcW w:w="560" w:type="dxa"/>
            <w:vAlign w:val="bottom"/>
          </w:tcPr>
          <w:p>
            <w:pPr>
              <w:spacing w:after="0"/>
              <w:rPr>
                <w:sz w:val="15"/>
                <w:szCs w:val="15"/>
                <w:color w:val="auto"/>
              </w:rPr>
            </w:pP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w:t>
            </w:r>
          </w:p>
        </w:tc>
        <w:tc>
          <w:tcPr>
            <w:tcW w:w="320" w:type="dxa"/>
            <w:vAlign w:val="bottom"/>
          </w:tcPr>
          <w:p>
            <w:pPr>
              <w:spacing w:after="0"/>
              <w:rPr>
                <w:sz w:val="15"/>
                <w:szCs w:val="15"/>
                <w:color w:val="auto"/>
              </w:rPr>
            </w:pPr>
          </w:p>
        </w:tc>
        <w:tc>
          <w:tcPr>
            <w:tcW w:w="6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840" w:type="dxa"/>
            <w:vAlign w:val="bottom"/>
          </w:tcPr>
          <w:p>
            <w:pPr>
              <w:spacing w:after="0"/>
              <w:rPr>
                <w:sz w:val="15"/>
                <w:szCs w:val="15"/>
                <w:color w:val="auto"/>
              </w:rPr>
            </w:pPr>
          </w:p>
        </w:tc>
        <w:tc>
          <w:tcPr>
            <w:tcW w:w="1380" w:type="dxa"/>
            <w:vAlign w:val="bottom"/>
            <w:gridSpan w:val="2"/>
          </w:tcPr>
          <w:p>
            <w:pPr>
              <w:jc w:val="right"/>
              <w:ind w:right="423"/>
              <w:spacing w:after="0"/>
              <w:rPr>
                <w:sz w:val="20"/>
                <w:szCs w:val="20"/>
                <w:color w:val="auto"/>
              </w:rPr>
            </w:pPr>
            <w:r>
              <w:rPr>
                <w:rFonts w:ascii="Courier New" w:cs="Courier New" w:eastAsia="Courier New" w:hAnsi="Courier New"/>
                <w:sz w:val="15"/>
                <w:szCs w:val="15"/>
                <w:color w:val="auto"/>
              </w:rPr>
              <w:t>$4,868</w:t>
            </w:r>
          </w:p>
        </w:tc>
        <w:tc>
          <w:tcPr>
            <w:tcW w:w="880" w:type="dxa"/>
            <w:vAlign w:val="bottom"/>
          </w:tcPr>
          <w:p>
            <w:pPr>
              <w:spacing w:after="0"/>
              <w:rPr>
                <w:sz w:val="15"/>
                <w:szCs w:val="15"/>
                <w:color w:val="auto"/>
              </w:rPr>
            </w:pPr>
          </w:p>
        </w:tc>
        <w:tc>
          <w:tcPr>
            <w:tcW w:w="1060" w:type="dxa"/>
            <w:vAlign w:val="bottom"/>
          </w:tcPr>
          <w:p>
            <w:pPr>
              <w:jc w:val="right"/>
              <w:ind w:right="523"/>
              <w:spacing w:after="0"/>
              <w:rPr>
                <w:sz w:val="20"/>
                <w:szCs w:val="20"/>
                <w:color w:val="auto"/>
              </w:rPr>
            </w:pPr>
            <w:r>
              <w:rPr>
                <w:rFonts w:ascii="Courier New" w:cs="Courier New" w:eastAsia="Courier New" w:hAnsi="Courier New"/>
                <w:sz w:val="15"/>
                <w:szCs w:val="15"/>
                <w:color w:val="auto"/>
                <w:w w:val="97"/>
              </w:rPr>
              <w:t>2,759</w:t>
            </w:r>
          </w:p>
        </w:tc>
        <w:tc>
          <w:tcPr>
            <w:tcW w:w="56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w:t>
            </w:r>
          </w:p>
        </w:tc>
        <w:tc>
          <w:tcPr>
            <w:tcW w:w="9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$7,622</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5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627</w:t>
            </w:r>
          </w:p>
        </w:tc>
        <w:tc>
          <w:tcPr>
            <w:tcW w:w="880" w:type="dxa"/>
            <w:vAlign w:val="bottom"/>
          </w:tcPr>
          <w:p>
            <w:pPr>
              <w:ind w:left="78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151</w:t>
            </w:r>
          </w:p>
        </w:tc>
        <w:tc>
          <w:tcPr>
            <w:tcW w:w="56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761</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(82)</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Interest and other income less other charges -$1</w:t>
            </w: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91</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Income before taxes</w:t>
            </w: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770</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Depreciation expense</w:t>
            </w:r>
          </w:p>
        </w:tc>
        <w:tc>
          <w:tcPr>
            <w:tcW w:w="5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650</w:t>
            </w:r>
          </w:p>
        </w:tc>
        <w:tc>
          <w:tcPr>
            <w:tcW w:w="880" w:type="dxa"/>
            <w:vAlign w:val="bottom"/>
          </w:tcPr>
          <w:p>
            <w:pPr>
              <w:ind w:left="78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104</w:t>
            </w:r>
          </w:p>
        </w:tc>
        <w:tc>
          <w:tcPr>
            <w:tcW w:w="56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760</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Fixed asset additions</w:t>
            </w:r>
          </w:p>
        </w:tc>
        <w:tc>
          <w:tcPr>
            <w:tcW w:w="5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800</w:t>
            </w:r>
          </w:p>
        </w:tc>
        <w:tc>
          <w:tcPr>
            <w:tcW w:w="880" w:type="dxa"/>
            <w:vAlign w:val="bottom"/>
          </w:tcPr>
          <w:p>
            <w:pPr>
              <w:ind w:left="78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122</w:t>
            </w:r>
          </w:p>
        </w:tc>
        <w:tc>
          <w:tcPr>
            <w:tcW w:w="56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939</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At December 31</w:t>
            </w: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7"/>
        </w:trPr>
        <w:tc>
          <w:tcPr>
            <w:tcW w:w="4840" w:type="dxa"/>
            <w:vAlign w:val="bottom"/>
          </w:tcPr>
          <w:p>
            <w:pPr>
              <w:ind w:left="460"/>
              <w:spacing w:after="0"/>
              <w:rPr>
                <w:sz w:val="20"/>
                <w:szCs w:val="20"/>
                <w:color w:val="auto"/>
              </w:rPr>
            </w:pPr>
            <w:r>
              <w:rPr>
                <w:rFonts w:ascii="Courier New" w:cs="Courier New" w:eastAsia="Courier New" w:hAnsi="Courier New"/>
                <w:sz w:val="15"/>
                <w:szCs w:val="15"/>
                <w:color w:val="auto"/>
              </w:rPr>
              <w:t>Identifiable assets</w:t>
            </w:r>
          </w:p>
        </w:tc>
        <w:tc>
          <w:tcPr>
            <w:tcW w:w="1380" w:type="dxa"/>
            <w:vAlign w:val="bottom"/>
            <w:gridSpan w:val="2"/>
          </w:tcPr>
          <w:p>
            <w:pPr>
              <w:jc w:val="right"/>
              <w:ind w:right="423"/>
              <w:spacing w:after="0"/>
              <w:rPr>
                <w:sz w:val="20"/>
                <w:szCs w:val="20"/>
                <w:color w:val="auto"/>
              </w:rPr>
            </w:pPr>
            <w:r>
              <w:rPr>
                <w:rFonts w:ascii="Courier New" w:cs="Courier New" w:eastAsia="Courier New" w:hAnsi="Courier New"/>
                <w:sz w:val="15"/>
                <w:szCs w:val="15"/>
                <w:color w:val="auto"/>
              </w:rPr>
              <w:t>$5,192</w:t>
            </w:r>
          </w:p>
        </w:tc>
        <w:tc>
          <w:tcPr>
            <w:tcW w:w="1940" w:type="dxa"/>
            <w:vAlign w:val="bottom"/>
            <w:gridSpan w:val="2"/>
          </w:tcPr>
          <w:p>
            <w:pPr>
              <w:jc w:val="right"/>
              <w:ind w:right="523"/>
              <w:spacing w:after="0"/>
              <w:rPr>
                <w:sz w:val="20"/>
                <w:szCs w:val="20"/>
                <w:color w:val="auto"/>
              </w:rPr>
            </w:pPr>
            <w:r>
              <w:rPr>
                <w:rFonts w:ascii="Courier New" w:cs="Courier New" w:eastAsia="Courier New" w:hAnsi="Courier New"/>
                <w:sz w:val="15"/>
                <w:szCs w:val="15"/>
                <w:color w:val="auto"/>
              </w:rPr>
              <w:t>$2,213</w:t>
            </w:r>
          </w:p>
        </w:tc>
        <w:tc>
          <w:tcPr>
            <w:tcW w:w="56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(29)</w:t>
            </w:r>
          </w:p>
        </w:tc>
        <w:tc>
          <w:tcPr>
            <w:tcW w:w="9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$7,376</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7"/>
        </w:trPr>
        <w:tc>
          <w:tcPr>
            <w:tcW w:w="4840" w:type="dxa"/>
            <w:vAlign w:val="bottom"/>
          </w:tcPr>
          <w:p>
            <w:pPr>
              <w:ind w:left="460"/>
              <w:spacing w:after="0"/>
              <w:rPr>
                <w:sz w:val="20"/>
                <w:szCs w:val="20"/>
                <w:color w:val="auto"/>
              </w:rPr>
            </w:pPr>
            <w:r>
              <w:rPr>
                <w:rFonts w:ascii="Courier New" w:cs="Courier New" w:eastAsia="Courier New" w:hAnsi="Courier New"/>
                <w:sz w:val="15"/>
                <w:szCs w:val="15"/>
                <w:color w:val="auto"/>
              </w:rPr>
              <w:t>Corporate assets</w:t>
            </w: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7"/>
              </w:rPr>
              <w:t>1,534</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840" w:type="dxa"/>
            <w:vAlign w:val="bottom"/>
          </w:tcPr>
          <w:p>
            <w:pPr>
              <w:ind w:left="460"/>
              <w:spacing w:after="0"/>
              <w:rPr>
                <w:sz w:val="20"/>
                <w:szCs w:val="20"/>
                <w:color w:val="auto"/>
              </w:rPr>
            </w:pPr>
            <w:r>
              <w:rPr>
                <w:rFonts w:ascii="Courier New" w:cs="Courier New" w:eastAsia="Courier New" w:hAnsi="Courier New"/>
                <w:sz w:val="15"/>
                <w:szCs w:val="15"/>
                <w:color w:val="auto"/>
              </w:rPr>
              <w:t>Total assets</w:t>
            </w: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$ 8,910</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INDUSTRY SEGMENT 1994</w:t>
            </w: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7"/>
        </w:trPr>
        <w:tc>
          <w:tcPr>
            <w:tcW w:w="4840" w:type="dxa"/>
            <w:vAlign w:val="bottom"/>
          </w:tcPr>
          <w:p>
            <w:pPr>
              <w:ind w:left="460"/>
              <w:spacing w:after="0"/>
              <w:rPr>
                <w:sz w:val="20"/>
                <w:szCs w:val="20"/>
                <w:color w:val="auto"/>
              </w:rPr>
            </w:pPr>
            <w:r>
              <w:rPr>
                <w:rFonts w:ascii="Courier New" w:cs="Courier New" w:eastAsia="Courier New" w:hAnsi="Courier New"/>
                <w:sz w:val="15"/>
                <w:szCs w:val="15"/>
                <w:color w:val="auto"/>
              </w:rPr>
              <w:t>Customers</w:t>
            </w:r>
          </w:p>
        </w:tc>
        <w:tc>
          <w:tcPr>
            <w:tcW w:w="1380" w:type="dxa"/>
            <w:vAlign w:val="bottom"/>
            <w:gridSpan w:val="2"/>
          </w:tcPr>
          <w:p>
            <w:pPr>
              <w:jc w:val="right"/>
              <w:ind w:right="423"/>
              <w:spacing w:after="0"/>
              <w:rPr>
                <w:sz w:val="20"/>
                <w:szCs w:val="20"/>
                <w:color w:val="auto"/>
              </w:rPr>
            </w:pPr>
            <w:r>
              <w:rPr>
                <w:rFonts w:ascii="Courier New" w:cs="Courier New" w:eastAsia="Courier New" w:hAnsi="Courier New"/>
                <w:sz w:val="15"/>
                <w:szCs w:val="15"/>
                <w:color w:val="auto"/>
              </w:rPr>
              <w:t>$4,362</w:t>
            </w:r>
          </w:p>
        </w:tc>
        <w:tc>
          <w:tcPr>
            <w:tcW w:w="1940" w:type="dxa"/>
            <w:vAlign w:val="bottom"/>
            <w:gridSpan w:val="2"/>
          </w:tcPr>
          <w:p>
            <w:pPr>
              <w:jc w:val="right"/>
              <w:ind w:right="523"/>
              <w:spacing w:after="0"/>
              <w:rPr>
                <w:sz w:val="20"/>
                <w:szCs w:val="20"/>
                <w:color w:val="auto"/>
              </w:rPr>
            </w:pPr>
            <w:r>
              <w:rPr>
                <w:rFonts w:ascii="Courier New" w:cs="Courier New" w:eastAsia="Courier New" w:hAnsi="Courier New"/>
                <w:sz w:val="15"/>
                <w:szCs w:val="15"/>
                <w:color w:val="auto"/>
              </w:rPr>
              <w:t>$2,335</w:t>
            </w:r>
          </w:p>
        </w:tc>
        <w:tc>
          <w:tcPr>
            <w:tcW w:w="56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$ 6,697</w:t>
            </w:r>
          </w:p>
        </w:tc>
      </w:tr>
      <w:tr>
        <w:trPr>
          <w:trHeight w:val="177"/>
        </w:trPr>
        <w:tc>
          <w:tcPr>
            <w:tcW w:w="4840" w:type="dxa"/>
            <w:vAlign w:val="bottom"/>
          </w:tcPr>
          <w:p>
            <w:pPr>
              <w:ind w:left="460"/>
              <w:spacing w:after="0"/>
              <w:rPr>
                <w:sz w:val="20"/>
                <w:szCs w:val="20"/>
                <w:color w:val="auto"/>
              </w:rPr>
            </w:pPr>
            <w:r>
              <w:rPr>
                <w:rFonts w:ascii="Courier New" w:cs="Courier New" w:eastAsia="Courier New" w:hAnsi="Courier New"/>
                <w:sz w:val="15"/>
                <w:szCs w:val="15"/>
                <w:color w:val="auto"/>
              </w:rPr>
              <w:t>Inter-segment transfers</w:t>
            </w:r>
          </w:p>
        </w:tc>
        <w:tc>
          <w:tcPr>
            <w:tcW w:w="500" w:type="dxa"/>
            <w:vAlign w:val="bottom"/>
          </w:tcPr>
          <w:p>
            <w:pPr>
              <w:spacing w:after="0"/>
              <w:rPr>
                <w:sz w:val="15"/>
                <w:szCs w:val="15"/>
                <w:color w:val="auto"/>
              </w:rPr>
            </w:pPr>
          </w:p>
        </w:tc>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3</w:t>
            </w:r>
          </w:p>
        </w:tc>
        <w:tc>
          <w:tcPr>
            <w:tcW w:w="880" w:type="dxa"/>
            <w:vAlign w:val="bottom"/>
          </w:tcPr>
          <w:p>
            <w:pPr>
              <w:spacing w:after="0"/>
              <w:rPr>
                <w:sz w:val="15"/>
                <w:szCs w:val="15"/>
                <w:color w:val="auto"/>
              </w:rPr>
            </w:pPr>
          </w:p>
        </w:tc>
        <w:tc>
          <w:tcPr>
            <w:tcW w:w="10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4</w:t>
            </w:r>
          </w:p>
        </w:tc>
        <w:tc>
          <w:tcPr>
            <w:tcW w:w="560" w:type="dxa"/>
            <w:vAlign w:val="bottom"/>
          </w:tcPr>
          <w:p>
            <w:pPr>
              <w:spacing w:after="0"/>
              <w:rPr>
                <w:sz w:val="15"/>
                <w:szCs w:val="15"/>
                <w:color w:val="auto"/>
              </w:rPr>
            </w:pP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w:t>
            </w:r>
          </w:p>
        </w:tc>
        <w:tc>
          <w:tcPr>
            <w:tcW w:w="320" w:type="dxa"/>
            <w:vAlign w:val="bottom"/>
          </w:tcPr>
          <w:p>
            <w:pPr>
              <w:spacing w:after="0"/>
              <w:rPr>
                <w:sz w:val="15"/>
                <w:szCs w:val="15"/>
                <w:color w:val="auto"/>
              </w:rPr>
            </w:pPr>
          </w:p>
        </w:tc>
        <w:tc>
          <w:tcPr>
            <w:tcW w:w="6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840" w:type="dxa"/>
            <w:vAlign w:val="bottom"/>
          </w:tcPr>
          <w:p>
            <w:pPr>
              <w:spacing w:after="0"/>
              <w:rPr>
                <w:sz w:val="15"/>
                <w:szCs w:val="15"/>
                <w:color w:val="auto"/>
              </w:rPr>
            </w:pPr>
          </w:p>
        </w:tc>
        <w:tc>
          <w:tcPr>
            <w:tcW w:w="1380" w:type="dxa"/>
            <w:vAlign w:val="bottom"/>
            <w:gridSpan w:val="2"/>
          </w:tcPr>
          <w:p>
            <w:pPr>
              <w:jc w:val="right"/>
              <w:ind w:right="423"/>
              <w:spacing w:after="0"/>
              <w:rPr>
                <w:sz w:val="20"/>
                <w:szCs w:val="20"/>
                <w:color w:val="auto"/>
              </w:rPr>
            </w:pPr>
            <w:r>
              <w:rPr>
                <w:rFonts w:ascii="Courier New" w:cs="Courier New" w:eastAsia="Courier New" w:hAnsi="Courier New"/>
                <w:sz w:val="15"/>
                <w:szCs w:val="15"/>
                <w:color w:val="auto"/>
              </w:rPr>
              <w:t>$4,365</w:t>
            </w:r>
          </w:p>
        </w:tc>
        <w:tc>
          <w:tcPr>
            <w:tcW w:w="1940" w:type="dxa"/>
            <w:vAlign w:val="bottom"/>
            <w:gridSpan w:val="2"/>
          </w:tcPr>
          <w:p>
            <w:pPr>
              <w:jc w:val="right"/>
              <w:ind w:right="523"/>
              <w:spacing w:after="0"/>
              <w:rPr>
                <w:sz w:val="20"/>
                <w:szCs w:val="20"/>
                <w:color w:val="auto"/>
              </w:rPr>
            </w:pPr>
            <w:r>
              <w:rPr>
                <w:rFonts w:ascii="Courier New" w:cs="Courier New" w:eastAsia="Courier New" w:hAnsi="Courier New"/>
                <w:sz w:val="15"/>
                <w:szCs w:val="15"/>
                <w:color w:val="auto"/>
              </w:rPr>
              <w:t>$2,339</w:t>
            </w:r>
          </w:p>
        </w:tc>
        <w:tc>
          <w:tcPr>
            <w:tcW w:w="56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w:t>
            </w:r>
          </w:p>
        </w:tc>
        <w:tc>
          <w:tcPr>
            <w:tcW w:w="9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$ 6,697</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5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495</w:t>
            </w:r>
          </w:p>
        </w:tc>
        <w:tc>
          <w:tcPr>
            <w:tcW w:w="880" w:type="dxa"/>
            <w:vAlign w:val="bottom"/>
          </w:tcPr>
          <w:p>
            <w:pPr>
              <w:ind w:left="78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121</w:t>
            </w:r>
          </w:p>
        </w:tc>
        <w:tc>
          <w:tcPr>
            <w:tcW w:w="56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(23)</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593</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(63)</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Interest and other income plus other credits -$3</w:t>
            </w: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87</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Income before taxes</w:t>
            </w: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617</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Depreciation expense</w:t>
            </w:r>
          </w:p>
        </w:tc>
        <w:tc>
          <w:tcPr>
            <w:tcW w:w="5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625</w:t>
            </w:r>
          </w:p>
        </w:tc>
        <w:tc>
          <w:tcPr>
            <w:tcW w:w="880" w:type="dxa"/>
            <w:vAlign w:val="bottom"/>
          </w:tcPr>
          <w:p>
            <w:pPr>
              <w:ind w:left="78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92</w:t>
            </w:r>
          </w:p>
        </w:tc>
        <w:tc>
          <w:tcPr>
            <w:tcW w:w="56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722</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Fixed asset additions</w:t>
            </w:r>
          </w:p>
        </w:tc>
        <w:tc>
          <w:tcPr>
            <w:tcW w:w="5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661</w:t>
            </w:r>
          </w:p>
        </w:tc>
        <w:tc>
          <w:tcPr>
            <w:tcW w:w="880" w:type="dxa"/>
            <w:vAlign w:val="bottom"/>
          </w:tcPr>
          <w:p>
            <w:pPr>
              <w:ind w:left="78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91</w:t>
            </w:r>
          </w:p>
        </w:tc>
        <w:tc>
          <w:tcPr>
            <w:tcW w:w="56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31</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783</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At December 31</w:t>
            </w: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7"/>
        </w:trPr>
        <w:tc>
          <w:tcPr>
            <w:tcW w:w="4840" w:type="dxa"/>
            <w:vAlign w:val="bottom"/>
          </w:tcPr>
          <w:p>
            <w:pPr>
              <w:ind w:left="460"/>
              <w:spacing w:after="0"/>
              <w:rPr>
                <w:sz w:val="20"/>
                <w:szCs w:val="20"/>
                <w:color w:val="auto"/>
              </w:rPr>
            </w:pPr>
            <w:r>
              <w:rPr>
                <w:rFonts w:ascii="Courier New" w:cs="Courier New" w:eastAsia="Courier New" w:hAnsi="Courier New"/>
                <w:sz w:val="15"/>
                <w:szCs w:val="15"/>
                <w:color w:val="auto"/>
              </w:rPr>
              <w:t>Identifiable assets</w:t>
            </w:r>
          </w:p>
        </w:tc>
        <w:tc>
          <w:tcPr>
            <w:tcW w:w="1380" w:type="dxa"/>
            <w:vAlign w:val="bottom"/>
            <w:gridSpan w:val="2"/>
          </w:tcPr>
          <w:p>
            <w:pPr>
              <w:jc w:val="right"/>
              <w:ind w:right="423"/>
              <w:spacing w:after="0"/>
              <w:rPr>
                <w:sz w:val="20"/>
                <w:szCs w:val="20"/>
                <w:color w:val="auto"/>
              </w:rPr>
            </w:pPr>
            <w:r>
              <w:rPr>
                <w:rFonts w:ascii="Courier New" w:cs="Courier New" w:eastAsia="Courier New" w:hAnsi="Courier New"/>
                <w:sz w:val="15"/>
                <w:szCs w:val="15"/>
                <w:color w:val="auto"/>
              </w:rPr>
              <w:t>$4,766</w:t>
            </w:r>
          </w:p>
        </w:tc>
        <w:tc>
          <w:tcPr>
            <w:tcW w:w="1940" w:type="dxa"/>
            <w:vAlign w:val="bottom"/>
            <w:gridSpan w:val="2"/>
          </w:tcPr>
          <w:p>
            <w:pPr>
              <w:jc w:val="right"/>
              <w:ind w:right="523"/>
              <w:spacing w:after="0"/>
              <w:rPr>
                <w:sz w:val="20"/>
                <w:szCs w:val="20"/>
                <w:color w:val="auto"/>
              </w:rPr>
            </w:pPr>
            <w:r>
              <w:rPr>
                <w:rFonts w:ascii="Courier New" w:cs="Courier New" w:eastAsia="Courier New" w:hAnsi="Courier New"/>
                <w:sz w:val="15"/>
                <w:szCs w:val="15"/>
                <w:color w:val="auto"/>
              </w:rPr>
              <w:t>$1,936</w:t>
            </w:r>
          </w:p>
        </w:tc>
        <w:tc>
          <w:tcPr>
            <w:tcW w:w="56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(14)</w:t>
            </w:r>
          </w:p>
        </w:tc>
        <w:tc>
          <w:tcPr>
            <w:tcW w:w="9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$ 6,688</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7"/>
        </w:trPr>
        <w:tc>
          <w:tcPr>
            <w:tcW w:w="4840" w:type="dxa"/>
            <w:vAlign w:val="bottom"/>
          </w:tcPr>
          <w:p>
            <w:pPr>
              <w:ind w:left="460"/>
              <w:spacing w:after="0"/>
              <w:rPr>
                <w:sz w:val="20"/>
                <w:szCs w:val="20"/>
                <w:color w:val="auto"/>
              </w:rPr>
            </w:pPr>
            <w:r>
              <w:rPr>
                <w:rFonts w:ascii="Courier New" w:cs="Courier New" w:eastAsia="Courier New" w:hAnsi="Courier New"/>
                <w:sz w:val="15"/>
                <w:szCs w:val="15"/>
                <w:color w:val="auto"/>
              </w:rPr>
              <w:t>Corporate assets</w:t>
            </w: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7"/>
              </w:rPr>
              <w:t>1,634</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840" w:type="dxa"/>
            <w:vAlign w:val="bottom"/>
          </w:tcPr>
          <w:p>
            <w:pPr>
              <w:ind w:left="460"/>
              <w:spacing w:after="0"/>
              <w:rPr>
                <w:sz w:val="20"/>
                <w:szCs w:val="20"/>
                <w:color w:val="auto"/>
              </w:rPr>
            </w:pPr>
            <w:r>
              <w:rPr>
                <w:rFonts w:ascii="Courier New" w:cs="Courier New" w:eastAsia="Courier New" w:hAnsi="Courier New"/>
                <w:sz w:val="15"/>
                <w:szCs w:val="15"/>
                <w:color w:val="auto"/>
              </w:rPr>
              <w:t>Total assets</w:t>
            </w: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$ 8,322</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532"/>
        </w:trPr>
        <w:tc>
          <w:tcPr>
            <w:tcW w:w="4840" w:type="dxa"/>
            <w:vAlign w:val="bottom"/>
          </w:tcPr>
          <w:p>
            <w:pPr>
              <w:ind w:left="3500"/>
              <w:spacing w:after="0"/>
              <w:rPr>
                <w:sz w:val="20"/>
                <w:szCs w:val="20"/>
                <w:color w:val="auto"/>
              </w:rPr>
            </w:pPr>
            <w:r>
              <w:rPr>
                <w:rFonts w:ascii="Courier New" w:cs="Courier New" w:eastAsia="Courier New" w:hAnsi="Courier New"/>
                <w:sz w:val="15"/>
                <w:szCs w:val="15"/>
                <w:color w:val="auto"/>
              </w:rPr>
              <w:t>F-13</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520"/>
          </w:cols>
          <w:pgMar w:left="240" w:top="1005" w:right="1139" w:bottom="369" w:gutter="0" w:footer="0" w:header="0"/>
        </w:sectPr>
      </w:pPr>
    </w:p>
    <w:bookmarkStart w:id="38" w:name="page39"/>
    <w:bookmarkEnd w:id="38"/>
    <w:p>
      <w:pPr>
        <w:jc w:val="both"/>
        <w:ind w:right="3140" w:firstLine="461"/>
        <w:spacing w:after="0" w:line="252" w:lineRule="auto"/>
        <w:rPr>
          <w:sz w:val="20"/>
          <w:szCs w:val="20"/>
          <w:color w:val="auto"/>
        </w:rPr>
      </w:pPr>
      <w:r>
        <w:rPr>
          <w:rFonts w:ascii="Courier New" w:cs="Courier New" w:eastAsia="Courier New" w:hAnsi="Courier New"/>
          <w:sz w:val="15"/>
          <w:szCs w:val="15"/>
          <w:color w:val="auto"/>
        </w:rPr>
        <w:t>Transfers between segments and geographic areas are for the most part made at regular prices available to unaffiliated customers. Certain Oilfield Services segment fixed assets are manufactured within that segment.</w:t>
      </w:r>
    </w:p>
    <w:p>
      <w:pPr>
        <w:spacing w:after="0" w:line="175" w:lineRule="exact"/>
        <w:rPr>
          <w:sz w:val="20"/>
          <w:szCs w:val="20"/>
          <w:color w:val="auto"/>
        </w:rPr>
      </w:pPr>
    </w:p>
    <w:p>
      <w:pPr>
        <w:ind w:right="3320" w:firstLine="461"/>
        <w:spacing w:after="0" w:line="252" w:lineRule="auto"/>
        <w:rPr>
          <w:sz w:val="20"/>
          <w:szCs w:val="20"/>
          <w:color w:val="auto"/>
        </w:rPr>
      </w:pPr>
      <w:r>
        <w:rPr>
          <w:rFonts w:ascii="Courier New" w:cs="Courier New" w:eastAsia="Courier New" w:hAnsi="Courier New"/>
          <w:sz w:val="15"/>
          <w:szCs w:val="15"/>
          <w:color w:val="auto"/>
        </w:rPr>
        <w:t>During the years ended December 31, 1996, 1995 and 1994, neither sales to any government nor sales to any single customer exceeded 10% of consolidated operating revenue.</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Corporate assets largely comprise short-term and long-term investments.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40" w:type="dxa"/>
            <w:vAlign w:val="bottom"/>
            <w:gridSpan w:val="4"/>
          </w:tcPr>
          <w:p>
            <w:pPr>
              <w:jc w:val="right"/>
              <w:ind w:right="123"/>
              <w:spacing w:after="0"/>
              <w:rPr>
                <w:sz w:val="20"/>
                <w:szCs w:val="20"/>
                <w:color w:val="auto"/>
              </w:rPr>
            </w:pPr>
            <w:r>
              <w:rPr>
                <w:rFonts w:ascii="Courier New" w:cs="Courier New" w:eastAsia="Courier New" w:hAnsi="Courier New"/>
                <w:sz w:val="15"/>
                <w:szCs w:val="15"/>
                <w:color w:val="auto"/>
              </w:rPr>
              <w:t>(Stated in millions)</w:t>
            </w:r>
          </w:p>
        </w:tc>
      </w:tr>
      <w:tr>
        <w:trPr>
          <w:trHeight w:val="177"/>
        </w:trPr>
        <w:tc>
          <w:tcPr>
            <w:tcW w:w="3920" w:type="dxa"/>
            <w:vAlign w:val="bottom"/>
          </w:tcPr>
          <w:p>
            <w:pPr>
              <w:spacing w:after="0"/>
              <w:rPr>
                <w:sz w:val="15"/>
                <w:szCs w:val="15"/>
                <w:color w:val="auto"/>
              </w:rPr>
            </w:pPr>
          </w:p>
        </w:tc>
        <w:tc>
          <w:tcPr>
            <w:tcW w:w="2120" w:type="dxa"/>
            <w:vAlign w:val="bottom"/>
            <w:gridSpan w:val="4"/>
          </w:tcPr>
          <w:p>
            <w:pPr>
              <w:jc w:val="right"/>
              <w:ind w:right="343"/>
              <w:spacing w:after="0"/>
              <w:rPr>
                <w:sz w:val="20"/>
                <w:szCs w:val="20"/>
                <w:color w:val="auto"/>
              </w:rPr>
            </w:pPr>
            <w:r>
              <w:rPr>
                <w:rFonts w:ascii="Courier New" w:cs="Courier New" w:eastAsia="Courier New" w:hAnsi="Courier New"/>
                <w:sz w:val="15"/>
                <w:szCs w:val="15"/>
                <w:color w:val="auto"/>
              </w:rPr>
              <w:t>WESTERN HEMISPHERE</w:t>
            </w:r>
          </w:p>
        </w:tc>
        <w:tc>
          <w:tcPr>
            <w:tcW w:w="2440" w:type="dxa"/>
            <w:vAlign w:val="bottom"/>
            <w:gridSpan w:val="4"/>
          </w:tcPr>
          <w:p>
            <w:pPr>
              <w:jc w:val="right"/>
              <w:ind w:right="203"/>
              <w:spacing w:after="0"/>
              <w:rPr>
                <w:sz w:val="20"/>
                <w:szCs w:val="20"/>
                <w:color w:val="auto"/>
              </w:rPr>
            </w:pPr>
            <w:r>
              <w:rPr>
                <w:rFonts w:ascii="Courier New" w:cs="Courier New" w:eastAsia="Courier New" w:hAnsi="Courier New"/>
                <w:sz w:val="15"/>
                <w:szCs w:val="15"/>
                <w:color w:val="auto"/>
              </w:rPr>
              <w:t>EASTERN HEMISPHERE</w:t>
            </w: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392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40" w:type="dxa"/>
            <w:vAlign w:val="bottom"/>
            <w:gridSpan w:val="4"/>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ADJUST.</w:t>
            </w:r>
          </w:p>
        </w:tc>
        <w:tc>
          <w:tcPr>
            <w:tcW w:w="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CONSOL-</w:t>
            </w:r>
          </w:p>
        </w:tc>
      </w:tr>
      <w:tr>
        <w:trPr>
          <w:trHeight w:val="177"/>
        </w:trPr>
        <w:tc>
          <w:tcPr>
            <w:tcW w:w="3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US</w:t>
            </w:r>
          </w:p>
        </w:tc>
        <w:tc>
          <w:tcPr>
            <w:tcW w:w="1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OTHER</w:t>
            </w:r>
          </w:p>
        </w:tc>
        <w:tc>
          <w:tcPr>
            <w:tcW w:w="15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EUROPE</w:t>
            </w:r>
          </w:p>
        </w:tc>
        <w:tc>
          <w:tcPr>
            <w:tcW w:w="180" w:type="dxa"/>
            <w:vAlign w:val="bottom"/>
          </w:tcPr>
          <w:p>
            <w:pPr>
              <w:spacing w:after="0"/>
              <w:rPr>
                <w:sz w:val="15"/>
                <w:szCs w:val="15"/>
                <w:color w:val="auto"/>
              </w:rPr>
            </w:pP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7"/>
              </w:rPr>
              <w:t>OTHER</w:t>
            </w:r>
          </w:p>
        </w:tc>
        <w:tc>
          <w:tcPr>
            <w:tcW w:w="116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&amp; ELIM.</w:t>
            </w:r>
          </w:p>
        </w:tc>
        <w:tc>
          <w:tcPr>
            <w:tcW w:w="140" w:type="dxa"/>
            <w:vAlign w:val="bottom"/>
          </w:tcPr>
          <w:p>
            <w:pPr>
              <w:spacing w:after="0"/>
              <w:rPr>
                <w:sz w:val="15"/>
                <w:szCs w:val="15"/>
                <w:color w:val="auto"/>
              </w:rPr>
            </w:pP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6"/>
              </w:rPr>
              <w:t>IDATED</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920" w:type="dxa"/>
            <w:vAlign w:val="bottom"/>
          </w:tcPr>
          <w:p>
            <w:pPr>
              <w:spacing w:after="0"/>
              <w:rPr>
                <w:sz w:val="20"/>
                <w:szCs w:val="20"/>
                <w:color w:val="auto"/>
              </w:rPr>
            </w:pPr>
            <w:r>
              <w:rPr>
                <w:rFonts w:ascii="Courier New" w:cs="Courier New" w:eastAsia="Courier New" w:hAnsi="Courier New"/>
                <w:sz w:val="15"/>
                <w:szCs w:val="15"/>
                <w:color w:val="auto"/>
              </w:rPr>
              <w:t>GEOGRAPHIC AREA 1996</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3920" w:type="dxa"/>
            <w:vAlign w:val="bottom"/>
          </w:tcPr>
          <w:p>
            <w:pPr>
              <w:ind w:left="460"/>
              <w:spacing w:after="0"/>
              <w:rPr>
                <w:sz w:val="20"/>
                <w:szCs w:val="20"/>
                <w:color w:val="auto"/>
              </w:rPr>
            </w:pPr>
            <w:r>
              <w:rPr>
                <w:rFonts w:ascii="Courier New" w:cs="Courier New" w:eastAsia="Courier New" w:hAnsi="Courier New"/>
                <w:sz w:val="15"/>
                <w:szCs w:val="15"/>
                <w:color w:val="auto"/>
              </w:rPr>
              <w:t>Customers</w:t>
            </w:r>
          </w:p>
        </w:tc>
        <w:tc>
          <w:tcPr>
            <w:tcW w:w="92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$2,103</w:t>
            </w:r>
          </w:p>
        </w:tc>
        <w:tc>
          <w:tcPr>
            <w:tcW w:w="1200" w:type="dxa"/>
            <w:vAlign w:val="bottom"/>
            <w:gridSpan w:val="2"/>
          </w:tcPr>
          <w:p>
            <w:pPr>
              <w:jc w:val="right"/>
              <w:ind w:right="523"/>
              <w:spacing w:after="0"/>
              <w:rPr>
                <w:sz w:val="20"/>
                <w:szCs w:val="20"/>
                <w:color w:val="auto"/>
              </w:rPr>
            </w:pPr>
            <w:r>
              <w:rPr>
                <w:rFonts w:ascii="Courier New" w:cs="Courier New" w:eastAsia="Courier New" w:hAnsi="Courier New"/>
                <w:sz w:val="15"/>
                <w:szCs w:val="15"/>
                <w:color w:val="auto"/>
              </w:rPr>
              <w:t>$1,150</w:t>
            </w:r>
          </w:p>
        </w:tc>
        <w:tc>
          <w:tcPr>
            <w:tcW w:w="15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$3,065</w:t>
            </w:r>
          </w:p>
        </w:tc>
        <w:tc>
          <w:tcPr>
            <w:tcW w:w="9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$ 2,638</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$ 8,956</w:t>
            </w:r>
          </w:p>
        </w:tc>
      </w:tr>
      <w:tr>
        <w:trPr>
          <w:trHeight w:val="177"/>
        </w:trPr>
        <w:tc>
          <w:tcPr>
            <w:tcW w:w="3920" w:type="dxa"/>
            <w:vAlign w:val="bottom"/>
          </w:tcPr>
          <w:p>
            <w:pPr>
              <w:ind w:left="460"/>
              <w:spacing w:after="0"/>
              <w:rPr>
                <w:sz w:val="20"/>
                <w:szCs w:val="20"/>
                <w:color w:val="auto"/>
              </w:rPr>
            </w:pPr>
            <w:r>
              <w:rPr>
                <w:rFonts w:ascii="Courier New" w:cs="Courier New" w:eastAsia="Courier New" w:hAnsi="Courier New"/>
                <w:sz w:val="15"/>
                <w:szCs w:val="15"/>
                <w:color w:val="auto"/>
              </w:rPr>
              <w:t>Inter-area transfers</w:t>
            </w:r>
          </w:p>
        </w:tc>
        <w:tc>
          <w:tcPr>
            <w:tcW w:w="220" w:type="dxa"/>
            <w:vAlign w:val="bottom"/>
          </w:tcPr>
          <w:p>
            <w:pPr>
              <w:spacing w:after="0"/>
              <w:rPr>
                <w:sz w:val="15"/>
                <w:szCs w:val="15"/>
                <w:color w:val="auto"/>
              </w:rPr>
            </w:pPr>
          </w:p>
        </w:tc>
        <w:tc>
          <w:tcPr>
            <w:tcW w:w="7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443</w:t>
            </w:r>
          </w:p>
        </w:tc>
        <w:tc>
          <w:tcPr>
            <w:tcW w:w="180" w:type="dxa"/>
            <w:vAlign w:val="bottom"/>
          </w:tcPr>
          <w:p>
            <w:pPr>
              <w:spacing w:after="0"/>
              <w:rPr>
                <w:sz w:val="15"/>
                <w:szCs w:val="15"/>
                <w:color w:val="auto"/>
              </w:rPr>
            </w:pPr>
          </w:p>
        </w:tc>
        <w:tc>
          <w:tcPr>
            <w:tcW w:w="10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7</w:t>
            </w:r>
          </w:p>
        </w:tc>
        <w:tc>
          <w:tcPr>
            <w:tcW w:w="820" w:type="dxa"/>
            <w:vAlign w:val="bottom"/>
          </w:tcPr>
          <w:p>
            <w:pPr>
              <w:spacing w:after="0"/>
              <w:rPr>
                <w:sz w:val="15"/>
                <w:szCs w:val="15"/>
                <w:color w:val="auto"/>
              </w:rPr>
            </w:pPr>
          </w:p>
        </w:tc>
        <w:tc>
          <w:tcPr>
            <w:tcW w:w="7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169</w:t>
            </w:r>
          </w:p>
        </w:tc>
        <w:tc>
          <w:tcPr>
            <w:tcW w:w="180" w:type="dxa"/>
            <w:vAlign w:val="bottom"/>
          </w:tcPr>
          <w:p>
            <w:pPr>
              <w:spacing w:after="0"/>
              <w:rPr>
                <w:sz w:val="15"/>
                <w:szCs w:val="15"/>
                <w:color w:val="auto"/>
              </w:rPr>
            </w:pP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35</w:t>
            </w:r>
          </w:p>
        </w:tc>
        <w:tc>
          <w:tcPr>
            <w:tcW w:w="560" w:type="dxa"/>
            <w:vAlign w:val="bottom"/>
          </w:tcPr>
          <w:p>
            <w:pPr>
              <w:spacing w:after="0"/>
              <w:rPr>
                <w:sz w:val="15"/>
                <w:szCs w:val="15"/>
                <w:color w:val="auto"/>
              </w:rPr>
            </w:pPr>
          </w:p>
        </w:tc>
        <w:tc>
          <w:tcPr>
            <w:tcW w:w="60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7"/>
              </w:rPr>
              <w:t>(654)</w:t>
            </w:r>
          </w:p>
        </w:tc>
        <w:tc>
          <w:tcPr>
            <w:tcW w:w="140" w:type="dxa"/>
            <w:vAlign w:val="bottom"/>
          </w:tcPr>
          <w:p>
            <w:pPr>
              <w:spacing w:after="0"/>
              <w:rPr>
                <w:sz w:val="15"/>
                <w:szCs w:val="15"/>
                <w:color w:val="auto"/>
              </w:rPr>
            </w:pP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spacing w:after="0"/>
              <w:rPr>
                <w:sz w:val="15"/>
                <w:szCs w:val="15"/>
                <w:color w:val="auto"/>
              </w:rPr>
            </w:pPr>
          </w:p>
        </w:tc>
        <w:tc>
          <w:tcPr>
            <w:tcW w:w="92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$2,546</w:t>
            </w:r>
          </w:p>
        </w:tc>
        <w:tc>
          <w:tcPr>
            <w:tcW w:w="1200" w:type="dxa"/>
            <w:vAlign w:val="bottom"/>
            <w:gridSpan w:val="2"/>
          </w:tcPr>
          <w:p>
            <w:pPr>
              <w:jc w:val="right"/>
              <w:ind w:right="523"/>
              <w:spacing w:after="0"/>
              <w:rPr>
                <w:sz w:val="20"/>
                <w:szCs w:val="20"/>
                <w:color w:val="auto"/>
              </w:rPr>
            </w:pPr>
            <w:r>
              <w:rPr>
                <w:rFonts w:ascii="Courier New" w:cs="Courier New" w:eastAsia="Courier New" w:hAnsi="Courier New"/>
                <w:sz w:val="15"/>
                <w:szCs w:val="15"/>
                <w:color w:val="auto"/>
              </w:rPr>
              <w:t>$1,157</w:t>
            </w:r>
          </w:p>
        </w:tc>
        <w:tc>
          <w:tcPr>
            <w:tcW w:w="15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$3,234</w:t>
            </w:r>
          </w:p>
        </w:tc>
        <w:tc>
          <w:tcPr>
            <w:tcW w:w="9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$ 2,673</w:t>
            </w:r>
          </w:p>
        </w:tc>
        <w:tc>
          <w:tcPr>
            <w:tcW w:w="116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$(654)</w:t>
            </w:r>
          </w:p>
        </w:tc>
        <w:tc>
          <w:tcPr>
            <w:tcW w:w="8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$ 8,956</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195</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166</w:t>
            </w:r>
          </w:p>
        </w:tc>
        <w:tc>
          <w:tcPr>
            <w:tcW w:w="82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243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546</w:t>
            </w:r>
          </w:p>
        </w:tc>
        <w:tc>
          <w:tcPr>
            <w:tcW w:w="116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 (92)</w:t>
            </w:r>
          </w:p>
        </w:tc>
        <w:tc>
          <w:tcPr>
            <w:tcW w:w="8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$ 1,058</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(72)</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Interest and other income</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70</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Unusual items</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(380)</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Income before taxes</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676</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At December 31</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3920" w:type="dxa"/>
            <w:vAlign w:val="bottom"/>
          </w:tcPr>
          <w:p>
            <w:pPr>
              <w:ind w:left="460"/>
              <w:spacing w:after="0"/>
              <w:rPr>
                <w:sz w:val="20"/>
                <w:szCs w:val="20"/>
                <w:color w:val="auto"/>
              </w:rPr>
            </w:pPr>
            <w:r>
              <w:rPr>
                <w:rFonts w:ascii="Courier New" w:cs="Courier New" w:eastAsia="Courier New" w:hAnsi="Courier New"/>
                <w:sz w:val="15"/>
                <w:szCs w:val="15"/>
                <w:color w:val="auto"/>
              </w:rPr>
              <w:t>Identifiable assets</w:t>
            </w:r>
          </w:p>
        </w:tc>
        <w:tc>
          <w:tcPr>
            <w:tcW w:w="92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$2,249</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885</w:t>
            </w:r>
          </w:p>
        </w:tc>
        <w:tc>
          <w:tcPr>
            <w:tcW w:w="15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$3,300</w:t>
            </w:r>
          </w:p>
        </w:tc>
        <w:tc>
          <w:tcPr>
            <w:tcW w:w="9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$ 2,069</w:t>
            </w:r>
          </w:p>
        </w:tc>
        <w:tc>
          <w:tcPr>
            <w:tcW w:w="116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 (65)</w:t>
            </w:r>
          </w:p>
        </w:tc>
        <w:tc>
          <w:tcPr>
            <w:tcW w:w="8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$ 8,438</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3920" w:type="dxa"/>
            <w:vAlign w:val="bottom"/>
          </w:tcPr>
          <w:p>
            <w:pPr>
              <w:ind w:left="460"/>
              <w:spacing w:after="0"/>
              <w:rPr>
                <w:sz w:val="20"/>
                <w:szCs w:val="20"/>
                <w:color w:val="auto"/>
              </w:rPr>
            </w:pPr>
            <w:r>
              <w:rPr>
                <w:rFonts w:ascii="Courier New" w:cs="Courier New" w:eastAsia="Courier New" w:hAnsi="Courier New"/>
                <w:sz w:val="15"/>
                <w:szCs w:val="15"/>
                <w:color w:val="auto"/>
              </w:rPr>
              <w:t>Corporate assets</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1,887</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ind w:left="460"/>
              <w:spacing w:after="0"/>
              <w:rPr>
                <w:sz w:val="20"/>
                <w:szCs w:val="20"/>
                <w:color w:val="auto"/>
              </w:rPr>
            </w:pPr>
            <w:r>
              <w:rPr>
                <w:rFonts w:ascii="Courier New" w:cs="Courier New" w:eastAsia="Courier New" w:hAnsi="Courier New"/>
                <w:sz w:val="15"/>
                <w:szCs w:val="15"/>
                <w:color w:val="auto"/>
              </w:rPr>
              <w:t>Total assets</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$10,325</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GEOGRAPHIC AREA 1995</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3920" w:type="dxa"/>
            <w:vAlign w:val="bottom"/>
          </w:tcPr>
          <w:p>
            <w:pPr>
              <w:ind w:left="460"/>
              <w:spacing w:after="0"/>
              <w:rPr>
                <w:sz w:val="20"/>
                <w:szCs w:val="20"/>
                <w:color w:val="auto"/>
              </w:rPr>
            </w:pPr>
            <w:r>
              <w:rPr>
                <w:rFonts w:ascii="Courier New" w:cs="Courier New" w:eastAsia="Courier New" w:hAnsi="Courier New"/>
                <w:sz w:val="15"/>
                <w:szCs w:val="15"/>
                <w:color w:val="auto"/>
              </w:rPr>
              <w:t>Customers</w:t>
            </w:r>
          </w:p>
        </w:tc>
        <w:tc>
          <w:tcPr>
            <w:tcW w:w="92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$1,826</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905</w:t>
            </w:r>
          </w:p>
        </w:tc>
        <w:tc>
          <w:tcPr>
            <w:tcW w:w="15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$2,779</w:t>
            </w:r>
          </w:p>
        </w:tc>
        <w:tc>
          <w:tcPr>
            <w:tcW w:w="9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$ 2,112</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$ 7,622</w:t>
            </w:r>
          </w:p>
        </w:tc>
      </w:tr>
      <w:tr>
        <w:trPr>
          <w:trHeight w:val="177"/>
        </w:trPr>
        <w:tc>
          <w:tcPr>
            <w:tcW w:w="3920" w:type="dxa"/>
            <w:vAlign w:val="bottom"/>
          </w:tcPr>
          <w:p>
            <w:pPr>
              <w:ind w:left="460"/>
              <w:spacing w:after="0"/>
              <w:rPr>
                <w:sz w:val="20"/>
                <w:szCs w:val="20"/>
                <w:color w:val="auto"/>
              </w:rPr>
            </w:pPr>
            <w:r>
              <w:rPr>
                <w:rFonts w:ascii="Courier New" w:cs="Courier New" w:eastAsia="Courier New" w:hAnsi="Courier New"/>
                <w:sz w:val="15"/>
                <w:szCs w:val="15"/>
                <w:color w:val="auto"/>
              </w:rPr>
              <w:t>Inter-area transfers</w:t>
            </w:r>
          </w:p>
        </w:tc>
        <w:tc>
          <w:tcPr>
            <w:tcW w:w="220" w:type="dxa"/>
            <w:vAlign w:val="bottom"/>
          </w:tcPr>
          <w:p>
            <w:pPr>
              <w:spacing w:after="0"/>
              <w:rPr>
                <w:sz w:val="15"/>
                <w:szCs w:val="15"/>
                <w:color w:val="auto"/>
              </w:rPr>
            </w:pPr>
          </w:p>
        </w:tc>
        <w:tc>
          <w:tcPr>
            <w:tcW w:w="7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358</w:t>
            </w:r>
          </w:p>
        </w:tc>
        <w:tc>
          <w:tcPr>
            <w:tcW w:w="180" w:type="dxa"/>
            <w:vAlign w:val="bottom"/>
          </w:tcPr>
          <w:p>
            <w:pPr>
              <w:spacing w:after="0"/>
              <w:rPr>
                <w:sz w:val="15"/>
                <w:szCs w:val="15"/>
                <w:color w:val="auto"/>
              </w:rPr>
            </w:pPr>
          </w:p>
        </w:tc>
        <w:tc>
          <w:tcPr>
            <w:tcW w:w="10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17</w:t>
            </w:r>
          </w:p>
        </w:tc>
        <w:tc>
          <w:tcPr>
            <w:tcW w:w="820" w:type="dxa"/>
            <w:vAlign w:val="bottom"/>
          </w:tcPr>
          <w:p>
            <w:pPr>
              <w:spacing w:after="0"/>
              <w:rPr>
                <w:sz w:val="15"/>
                <w:szCs w:val="15"/>
                <w:color w:val="auto"/>
              </w:rPr>
            </w:pPr>
          </w:p>
        </w:tc>
        <w:tc>
          <w:tcPr>
            <w:tcW w:w="7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149</w:t>
            </w:r>
          </w:p>
        </w:tc>
        <w:tc>
          <w:tcPr>
            <w:tcW w:w="180" w:type="dxa"/>
            <w:vAlign w:val="bottom"/>
          </w:tcPr>
          <w:p>
            <w:pPr>
              <w:spacing w:after="0"/>
              <w:rPr>
                <w:sz w:val="15"/>
                <w:szCs w:val="15"/>
                <w:color w:val="auto"/>
              </w:rPr>
            </w:pP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30</w:t>
            </w:r>
          </w:p>
        </w:tc>
        <w:tc>
          <w:tcPr>
            <w:tcW w:w="560" w:type="dxa"/>
            <w:vAlign w:val="bottom"/>
          </w:tcPr>
          <w:p>
            <w:pPr>
              <w:spacing w:after="0"/>
              <w:rPr>
                <w:sz w:val="15"/>
                <w:szCs w:val="15"/>
                <w:color w:val="auto"/>
              </w:rPr>
            </w:pPr>
          </w:p>
        </w:tc>
        <w:tc>
          <w:tcPr>
            <w:tcW w:w="60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7"/>
              </w:rPr>
              <w:t>(554)</w:t>
            </w:r>
          </w:p>
        </w:tc>
        <w:tc>
          <w:tcPr>
            <w:tcW w:w="140" w:type="dxa"/>
            <w:vAlign w:val="bottom"/>
          </w:tcPr>
          <w:p>
            <w:pPr>
              <w:spacing w:after="0"/>
              <w:rPr>
                <w:sz w:val="15"/>
                <w:szCs w:val="15"/>
                <w:color w:val="auto"/>
              </w:rPr>
            </w:pP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spacing w:after="0"/>
              <w:rPr>
                <w:sz w:val="15"/>
                <w:szCs w:val="15"/>
                <w:color w:val="auto"/>
              </w:rPr>
            </w:pPr>
          </w:p>
        </w:tc>
        <w:tc>
          <w:tcPr>
            <w:tcW w:w="92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$2,184</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922</w:t>
            </w:r>
          </w:p>
        </w:tc>
        <w:tc>
          <w:tcPr>
            <w:tcW w:w="15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$2,928</w:t>
            </w:r>
          </w:p>
        </w:tc>
        <w:tc>
          <w:tcPr>
            <w:tcW w:w="9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$ 2,142</w:t>
            </w:r>
          </w:p>
        </w:tc>
        <w:tc>
          <w:tcPr>
            <w:tcW w:w="116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$(554)</w:t>
            </w:r>
          </w:p>
        </w:tc>
        <w:tc>
          <w:tcPr>
            <w:tcW w:w="8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$ 7,622</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130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135</w:t>
            </w:r>
          </w:p>
        </w:tc>
        <w:tc>
          <w:tcPr>
            <w:tcW w:w="82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170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367</w:t>
            </w:r>
          </w:p>
        </w:tc>
        <w:tc>
          <w:tcPr>
            <w:tcW w:w="116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 (41)</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761</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(82)</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Interest and other income</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3920" w:type="dxa"/>
            <w:vAlign w:val="bottom"/>
          </w:tcPr>
          <w:p>
            <w:pPr>
              <w:ind w:left="460"/>
              <w:spacing w:after="0"/>
              <w:rPr>
                <w:sz w:val="20"/>
                <w:szCs w:val="20"/>
                <w:color w:val="auto"/>
              </w:rPr>
            </w:pPr>
            <w:r>
              <w:rPr>
                <w:rFonts w:ascii="Courier New" w:cs="Courier New" w:eastAsia="Courier New" w:hAnsi="Courier New"/>
                <w:sz w:val="15"/>
                <w:szCs w:val="15"/>
                <w:color w:val="auto"/>
              </w:rPr>
              <w:t>less other charges - $1</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91</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Income before taxes</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770</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At December 31</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3920" w:type="dxa"/>
            <w:vAlign w:val="bottom"/>
          </w:tcPr>
          <w:p>
            <w:pPr>
              <w:ind w:left="460"/>
              <w:spacing w:after="0"/>
              <w:rPr>
                <w:sz w:val="20"/>
                <w:szCs w:val="20"/>
                <w:color w:val="auto"/>
              </w:rPr>
            </w:pPr>
            <w:r>
              <w:rPr>
                <w:rFonts w:ascii="Courier New" w:cs="Courier New" w:eastAsia="Courier New" w:hAnsi="Courier New"/>
                <w:sz w:val="15"/>
                <w:szCs w:val="15"/>
                <w:color w:val="auto"/>
              </w:rPr>
              <w:t>Identifiable assets</w:t>
            </w:r>
          </w:p>
        </w:tc>
        <w:tc>
          <w:tcPr>
            <w:tcW w:w="92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$1,748</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720</w:t>
            </w:r>
          </w:p>
        </w:tc>
        <w:tc>
          <w:tcPr>
            <w:tcW w:w="15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$2,894</w:t>
            </w:r>
          </w:p>
        </w:tc>
        <w:tc>
          <w:tcPr>
            <w:tcW w:w="9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$ 2,025</w:t>
            </w:r>
          </w:p>
        </w:tc>
        <w:tc>
          <w:tcPr>
            <w:tcW w:w="116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 (11)</w:t>
            </w:r>
          </w:p>
        </w:tc>
        <w:tc>
          <w:tcPr>
            <w:tcW w:w="8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$ 7,376</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3920" w:type="dxa"/>
            <w:vAlign w:val="bottom"/>
          </w:tcPr>
          <w:p>
            <w:pPr>
              <w:ind w:left="460"/>
              <w:spacing w:after="0"/>
              <w:rPr>
                <w:sz w:val="20"/>
                <w:szCs w:val="20"/>
                <w:color w:val="auto"/>
              </w:rPr>
            </w:pPr>
            <w:r>
              <w:rPr>
                <w:rFonts w:ascii="Courier New" w:cs="Courier New" w:eastAsia="Courier New" w:hAnsi="Courier New"/>
                <w:sz w:val="15"/>
                <w:szCs w:val="15"/>
                <w:color w:val="auto"/>
              </w:rPr>
              <w:t>Corporate assets</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1,534</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ind w:left="460"/>
              <w:spacing w:after="0"/>
              <w:rPr>
                <w:sz w:val="20"/>
                <w:szCs w:val="20"/>
                <w:color w:val="auto"/>
              </w:rPr>
            </w:pPr>
            <w:r>
              <w:rPr>
                <w:rFonts w:ascii="Courier New" w:cs="Courier New" w:eastAsia="Courier New" w:hAnsi="Courier New"/>
                <w:sz w:val="15"/>
                <w:szCs w:val="15"/>
                <w:color w:val="auto"/>
              </w:rPr>
              <w:t>Total assets</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$ 8,910</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GEOGRAPHIC AREA 1994</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3920" w:type="dxa"/>
            <w:vAlign w:val="bottom"/>
          </w:tcPr>
          <w:p>
            <w:pPr>
              <w:ind w:left="460"/>
              <w:spacing w:after="0"/>
              <w:rPr>
                <w:sz w:val="20"/>
                <w:szCs w:val="20"/>
                <w:color w:val="auto"/>
              </w:rPr>
            </w:pPr>
            <w:r>
              <w:rPr>
                <w:rFonts w:ascii="Courier New" w:cs="Courier New" w:eastAsia="Courier New" w:hAnsi="Courier New"/>
                <w:sz w:val="15"/>
                <w:szCs w:val="15"/>
                <w:color w:val="auto"/>
              </w:rPr>
              <w:t>Customers</w:t>
            </w:r>
          </w:p>
        </w:tc>
        <w:tc>
          <w:tcPr>
            <w:tcW w:w="92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$1,650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749</w:t>
            </w:r>
          </w:p>
        </w:tc>
        <w:tc>
          <w:tcPr>
            <w:tcW w:w="15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$2,299</w:t>
            </w:r>
          </w:p>
        </w:tc>
        <w:tc>
          <w:tcPr>
            <w:tcW w:w="9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$ 1,999</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$ 6,697</w:t>
            </w:r>
          </w:p>
        </w:tc>
      </w:tr>
      <w:tr>
        <w:trPr>
          <w:trHeight w:val="177"/>
        </w:trPr>
        <w:tc>
          <w:tcPr>
            <w:tcW w:w="3920" w:type="dxa"/>
            <w:vAlign w:val="bottom"/>
          </w:tcPr>
          <w:p>
            <w:pPr>
              <w:ind w:left="460"/>
              <w:spacing w:after="0"/>
              <w:rPr>
                <w:sz w:val="20"/>
                <w:szCs w:val="20"/>
                <w:color w:val="auto"/>
              </w:rPr>
            </w:pPr>
            <w:r>
              <w:rPr>
                <w:rFonts w:ascii="Courier New" w:cs="Courier New" w:eastAsia="Courier New" w:hAnsi="Courier New"/>
                <w:sz w:val="15"/>
                <w:szCs w:val="15"/>
                <w:color w:val="auto"/>
              </w:rPr>
              <w:t>Inter-area transfers</w:t>
            </w:r>
          </w:p>
        </w:tc>
        <w:tc>
          <w:tcPr>
            <w:tcW w:w="220" w:type="dxa"/>
            <w:vAlign w:val="bottom"/>
          </w:tcPr>
          <w:p>
            <w:pPr>
              <w:spacing w:after="0"/>
              <w:rPr>
                <w:sz w:val="15"/>
                <w:szCs w:val="15"/>
                <w:color w:val="auto"/>
              </w:rPr>
            </w:pPr>
          </w:p>
        </w:tc>
        <w:tc>
          <w:tcPr>
            <w:tcW w:w="7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251</w:t>
            </w:r>
          </w:p>
        </w:tc>
        <w:tc>
          <w:tcPr>
            <w:tcW w:w="180" w:type="dxa"/>
            <w:vAlign w:val="bottom"/>
          </w:tcPr>
          <w:p>
            <w:pPr>
              <w:spacing w:after="0"/>
              <w:rPr>
                <w:sz w:val="15"/>
                <w:szCs w:val="15"/>
                <w:color w:val="auto"/>
              </w:rPr>
            </w:pPr>
          </w:p>
        </w:tc>
        <w:tc>
          <w:tcPr>
            <w:tcW w:w="10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10</w:t>
            </w:r>
          </w:p>
        </w:tc>
        <w:tc>
          <w:tcPr>
            <w:tcW w:w="820" w:type="dxa"/>
            <w:vAlign w:val="bottom"/>
          </w:tcPr>
          <w:p>
            <w:pPr>
              <w:spacing w:after="0"/>
              <w:rPr>
                <w:sz w:val="15"/>
                <w:szCs w:val="15"/>
                <w:color w:val="auto"/>
              </w:rPr>
            </w:pPr>
          </w:p>
        </w:tc>
        <w:tc>
          <w:tcPr>
            <w:tcW w:w="7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140</w:t>
            </w:r>
          </w:p>
        </w:tc>
        <w:tc>
          <w:tcPr>
            <w:tcW w:w="180" w:type="dxa"/>
            <w:vAlign w:val="bottom"/>
          </w:tcPr>
          <w:p>
            <w:pPr>
              <w:spacing w:after="0"/>
              <w:rPr>
                <w:sz w:val="15"/>
                <w:szCs w:val="15"/>
                <w:color w:val="auto"/>
              </w:rPr>
            </w:pP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30</w:t>
            </w:r>
          </w:p>
        </w:tc>
        <w:tc>
          <w:tcPr>
            <w:tcW w:w="560" w:type="dxa"/>
            <w:vAlign w:val="bottom"/>
          </w:tcPr>
          <w:p>
            <w:pPr>
              <w:spacing w:after="0"/>
              <w:rPr>
                <w:sz w:val="15"/>
                <w:szCs w:val="15"/>
                <w:color w:val="auto"/>
              </w:rPr>
            </w:pPr>
          </w:p>
        </w:tc>
        <w:tc>
          <w:tcPr>
            <w:tcW w:w="60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7"/>
              </w:rPr>
              <w:t>(431)</w:t>
            </w:r>
          </w:p>
        </w:tc>
        <w:tc>
          <w:tcPr>
            <w:tcW w:w="140" w:type="dxa"/>
            <w:vAlign w:val="bottom"/>
          </w:tcPr>
          <w:p>
            <w:pPr>
              <w:spacing w:after="0"/>
              <w:rPr>
                <w:sz w:val="15"/>
                <w:szCs w:val="15"/>
                <w:color w:val="auto"/>
              </w:rPr>
            </w:pP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spacing w:after="0"/>
              <w:rPr>
                <w:sz w:val="15"/>
                <w:szCs w:val="15"/>
                <w:color w:val="auto"/>
              </w:rPr>
            </w:pPr>
          </w:p>
        </w:tc>
        <w:tc>
          <w:tcPr>
            <w:tcW w:w="92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$1,901</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759</w:t>
            </w:r>
          </w:p>
        </w:tc>
        <w:tc>
          <w:tcPr>
            <w:tcW w:w="15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$2,439</w:t>
            </w:r>
          </w:p>
        </w:tc>
        <w:tc>
          <w:tcPr>
            <w:tcW w:w="9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$ 2,029</w:t>
            </w:r>
          </w:p>
        </w:tc>
        <w:tc>
          <w:tcPr>
            <w:tcW w:w="116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$(431)</w:t>
            </w:r>
          </w:p>
        </w:tc>
        <w:tc>
          <w:tcPr>
            <w:tcW w:w="8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$ 6,697</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177</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106</w:t>
            </w:r>
          </w:p>
        </w:tc>
        <w:tc>
          <w:tcPr>
            <w:tcW w:w="82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304</w:t>
            </w:r>
          </w:p>
        </w:tc>
        <w:tc>
          <w:tcPr>
            <w:tcW w:w="116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 (43)</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593</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(63)</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Interest and other income</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3920" w:type="dxa"/>
            <w:vAlign w:val="bottom"/>
          </w:tcPr>
          <w:p>
            <w:pPr>
              <w:ind w:left="460"/>
              <w:spacing w:after="0"/>
              <w:rPr>
                <w:sz w:val="20"/>
                <w:szCs w:val="20"/>
                <w:color w:val="auto"/>
              </w:rPr>
            </w:pPr>
            <w:r>
              <w:rPr>
                <w:rFonts w:ascii="Courier New" w:cs="Courier New" w:eastAsia="Courier New" w:hAnsi="Courier New"/>
                <w:sz w:val="15"/>
                <w:szCs w:val="15"/>
                <w:color w:val="auto"/>
              </w:rPr>
              <w:t>plus other credits - $3</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87</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Income before taxes</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617</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At December 31</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3920" w:type="dxa"/>
            <w:vAlign w:val="bottom"/>
          </w:tcPr>
          <w:p>
            <w:pPr>
              <w:ind w:left="460"/>
              <w:spacing w:after="0"/>
              <w:rPr>
                <w:sz w:val="20"/>
                <w:szCs w:val="20"/>
                <w:color w:val="auto"/>
              </w:rPr>
            </w:pPr>
            <w:r>
              <w:rPr>
                <w:rFonts w:ascii="Courier New" w:cs="Courier New" w:eastAsia="Courier New" w:hAnsi="Courier New"/>
                <w:sz w:val="15"/>
                <w:szCs w:val="15"/>
                <w:color w:val="auto"/>
              </w:rPr>
              <w:t>Identifiable assets</w:t>
            </w:r>
          </w:p>
        </w:tc>
        <w:tc>
          <w:tcPr>
            <w:tcW w:w="92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$1,660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620</w:t>
            </w:r>
          </w:p>
        </w:tc>
        <w:tc>
          <w:tcPr>
            <w:tcW w:w="15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$2,387</w:t>
            </w:r>
          </w:p>
        </w:tc>
        <w:tc>
          <w:tcPr>
            <w:tcW w:w="9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$ 2,210</w:t>
            </w:r>
          </w:p>
        </w:tc>
        <w:tc>
          <w:tcPr>
            <w:tcW w:w="116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$(189)</w:t>
            </w:r>
          </w:p>
        </w:tc>
        <w:tc>
          <w:tcPr>
            <w:tcW w:w="8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$ 6,688</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3920" w:type="dxa"/>
            <w:vAlign w:val="bottom"/>
          </w:tcPr>
          <w:p>
            <w:pPr>
              <w:ind w:left="460"/>
              <w:spacing w:after="0"/>
              <w:rPr>
                <w:sz w:val="20"/>
                <w:szCs w:val="20"/>
                <w:color w:val="auto"/>
              </w:rPr>
            </w:pPr>
            <w:r>
              <w:rPr>
                <w:rFonts w:ascii="Courier New" w:cs="Courier New" w:eastAsia="Courier New" w:hAnsi="Courier New"/>
                <w:sz w:val="15"/>
                <w:szCs w:val="15"/>
                <w:color w:val="auto"/>
              </w:rPr>
              <w:t>Corporate assets</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1,634</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ind w:left="460"/>
              <w:spacing w:after="0"/>
              <w:rPr>
                <w:sz w:val="20"/>
                <w:szCs w:val="20"/>
                <w:color w:val="auto"/>
              </w:rPr>
            </w:pPr>
            <w:r>
              <w:rPr>
                <w:rFonts w:ascii="Courier New" w:cs="Courier New" w:eastAsia="Courier New" w:hAnsi="Courier New"/>
                <w:sz w:val="15"/>
                <w:szCs w:val="15"/>
                <w:color w:val="auto"/>
              </w:rPr>
              <w:t>Total assets</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6"/>
              </w:rPr>
              <w:t>$8,322</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6"/>
              </w:rPr>
              <w:t>======</w:t>
            </w:r>
          </w:p>
        </w:tc>
      </w:tr>
      <w:tr>
        <w:trPr>
          <w:trHeight w:val="532"/>
        </w:trPr>
        <w:tc>
          <w:tcPr>
            <w:tcW w:w="3920" w:type="dxa"/>
            <w:vAlign w:val="bottom"/>
          </w:tcPr>
          <w:p>
            <w:pPr>
              <w:ind w:left="3500"/>
              <w:spacing w:after="0"/>
              <w:rPr>
                <w:sz w:val="20"/>
                <w:szCs w:val="20"/>
                <w:color w:val="auto"/>
              </w:rPr>
            </w:pPr>
            <w:r>
              <w:rPr>
                <w:rFonts w:ascii="Courier New" w:cs="Courier New" w:eastAsia="Courier New" w:hAnsi="Courier New"/>
                <w:sz w:val="15"/>
                <w:szCs w:val="15"/>
                <w:color w:val="auto"/>
              </w:rPr>
              <w:t>F-14</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520"/>
          </w:cols>
          <w:pgMar w:left="240" w:top="650" w:right="1139" w:bottom="192" w:gutter="0" w:footer="0" w:header="0"/>
        </w:sectPr>
      </w:pPr>
    </w:p>
    <w:bookmarkStart w:id="39" w:name="page40"/>
    <w:bookmarkEnd w:id="39"/>
    <w:p>
      <w:pPr>
        <w:ind w:left="5"/>
        <w:spacing w:after="0"/>
        <w:rPr>
          <w:sz w:val="20"/>
          <w:szCs w:val="20"/>
          <w:color w:val="auto"/>
        </w:rPr>
      </w:pPr>
      <w:r>
        <w:rPr>
          <w:rFonts w:ascii="Courier New" w:cs="Courier New" w:eastAsia="Courier New" w:hAnsi="Courier New"/>
          <w:sz w:val="15"/>
          <w:szCs w:val="15"/>
          <w:color w:val="auto"/>
        </w:rPr>
        <w:t>Pension and Other Benefit Plans</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US PENSION PLANS</w:t>
      </w:r>
    </w:p>
    <w:p>
      <w:pPr>
        <w:spacing w:after="0" w:line="185" w:lineRule="exact"/>
        <w:rPr>
          <w:sz w:val="20"/>
          <w:szCs w:val="20"/>
          <w:color w:val="auto"/>
        </w:rPr>
      </w:pPr>
    </w:p>
    <w:p>
      <w:pPr>
        <w:ind w:left="5" w:right="2939"/>
        <w:spacing w:after="0" w:line="251" w:lineRule="auto"/>
        <w:rPr>
          <w:sz w:val="20"/>
          <w:szCs w:val="20"/>
          <w:color w:val="auto"/>
        </w:rPr>
      </w:pPr>
      <w:r>
        <w:rPr>
          <w:rFonts w:ascii="Courier New" w:cs="Courier New" w:eastAsia="Courier New" w:hAnsi="Courier New"/>
          <w:sz w:val="15"/>
          <w:szCs w:val="15"/>
          <w:color w:val="auto"/>
        </w:rPr>
        <w:t>The Company and its US subsidiary sponsor several defined benefit pension plans that cover substantially all employees. The benefits are based on years of service and compensation on a career-average pay basis. These plans are substantially fully funded with a trustee in respect to past and current service. Charges to expense are based upon costs computed by independent actuaries. The funding policy is to contribute annually amounts that are allowable for federal income tax purposes. These contributions are intended to provide for benefits earned to date and those expected to be earned in the future.</w:t>
      </w:r>
    </w:p>
    <w:p>
      <w:pPr>
        <w:spacing w:after="0" w:line="175" w:lineRule="exact"/>
        <w:rPr>
          <w:sz w:val="20"/>
          <w:szCs w:val="20"/>
          <w:color w:val="auto"/>
        </w:rPr>
      </w:pPr>
    </w:p>
    <w:p>
      <w:pPr>
        <w:ind w:left="5" w:right="2839" w:firstLine="461"/>
        <w:spacing w:after="0" w:line="252" w:lineRule="auto"/>
        <w:rPr>
          <w:sz w:val="20"/>
          <w:szCs w:val="20"/>
          <w:color w:val="auto"/>
        </w:rPr>
      </w:pPr>
      <w:r>
        <w:rPr>
          <w:rFonts w:ascii="Courier New" w:cs="Courier New" w:eastAsia="Courier New" w:hAnsi="Courier New"/>
          <w:sz w:val="15"/>
          <w:szCs w:val="15"/>
          <w:color w:val="auto"/>
        </w:rPr>
        <w:t>The assumed discount rate, compensation increases and return on plan assets used to determine pension expense in all years were 7.5%, 4.5% and 8.5%, respectively.</w:t>
      </w:r>
    </w:p>
    <w:p>
      <w:pPr>
        <w:spacing w:after="0" w:line="175" w:lineRule="exact"/>
        <w:rPr>
          <w:sz w:val="20"/>
          <w:szCs w:val="20"/>
          <w:color w:val="auto"/>
        </w:rPr>
      </w:pPr>
    </w:p>
    <w:p>
      <w:pPr>
        <w:ind w:left="5" w:right="3019" w:firstLine="461"/>
        <w:spacing w:after="0" w:line="253" w:lineRule="auto"/>
        <w:rPr>
          <w:sz w:val="20"/>
          <w:szCs w:val="20"/>
          <w:color w:val="auto"/>
        </w:rPr>
      </w:pPr>
      <w:r>
        <w:rPr>
          <w:rFonts w:ascii="Courier New" w:cs="Courier New" w:eastAsia="Courier New" w:hAnsi="Courier New"/>
          <w:sz w:val="15"/>
          <w:szCs w:val="15"/>
          <w:color w:val="auto"/>
        </w:rPr>
        <w:t>Net pension cost in the US for 1996, 1995 and 1994 included the following components:</w:t>
      </w:r>
    </w:p>
    <w:p>
      <w:pPr>
        <w:spacing w:after="0" w:line="174"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(Stated in millions)</w:t>
      </w:r>
    </w:p>
    <w:p>
      <w:pPr>
        <w:spacing w:after="0" w:line="8" w:lineRule="exact"/>
        <w:rPr>
          <w:sz w:val="20"/>
          <w:szCs w:val="20"/>
          <w:color w:val="auto"/>
        </w:rPr>
      </w:pPr>
    </w:p>
    <w:p>
      <w:pPr>
        <w:ind w:left="3505"/>
        <w:spacing w:after="0"/>
        <w:tabs>
          <w:tab w:leader="none" w:pos="4225" w:val="left"/>
          <w:tab w:leader="none" w:pos="4965" w:val="left"/>
        </w:tabs>
        <w:rPr>
          <w:sz w:val="20"/>
          <w:szCs w:val="20"/>
          <w:color w:val="auto"/>
        </w:rPr>
      </w:pP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p>
    <w:p>
      <w:pPr>
        <w:spacing w:after="0" w:line="8" w:lineRule="exact"/>
        <w:rPr>
          <w:sz w:val="20"/>
          <w:szCs w:val="20"/>
          <w:color w:val="auto"/>
        </w:rPr>
      </w:pPr>
    </w:p>
    <w:p>
      <w:pPr>
        <w:ind w:left="185" w:hanging="185"/>
        <w:spacing w:after="0"/>
        <w:tabs>
          <w:tab w:leader="none" w:pos="18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Service cost - benefits</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360" w:type="dxa"/>
            <w:vAlign w:val="bottom"/>
            <w:gridSpan w:val="3"/>
          </w:tcPr>
          <w:p>
            <w:pPr>
              <w:ind w:left="460"/>
              <w:spacing w:after="0"/>
              <w:rPr>
                <w:sz w:val="20"/>
                <w:szCs w:val="20"/>
                <w:color w:val="auto"/>
              </w:rPr>
            </w:pPr>
            <w:r>
              <w:rPr>
                <w:rFonts w:ascii="Courier New" w:cs="Courier New" w:eastAsia="Courier New" w:hAnsi="Courier New"/>
                <w:sz w:val="15"/>
                <w:szCs w:val="15"/>
                <w:color w:val="auto"/>
              </w:rPr>
              <w:t>earned during the period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25</w:t>
            </w:r>
          </w:p>
        </w:tc>
      </w:tr>
      <w:tr>
        <w:trPr>
          <w:trHeight w:val="177"/>
        </w:trPr>
        <w:tc>
          <w:tcPr>
            <w:tcW w:w="3360" w:type="dxa"/>
            <w:vAlign w:val="bottom"/>
            <w:gridSpan w:val="3"/>
          </w:tcPr>
          <w:p>
            <w:pPr>
              <w:spacing w:after="0"/>
              <w:rPr>
                <w:sz w:val="20"/>
                <w:szCs w:val="20"/>
                <w:color w:val="auto"/>
              </w:rPr>
            </w:pPr>
            <w:r>
              <w:rPr>
                <w:rFonts w:ascii="Courier New" w:cs="Courier New" w:eastAsia="Courier New" w:hAnsi="Courier New"/>
                <w:sz w:val="15"/>
                <w:szCs w:val="15"/>
                <w:color w:val="auto"/>
              </w:rPr>
              <w:t>Interest cost on projected</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7"/>
        </w:trPr>
        <w:tc>
          <w:tcPr>
            <w:tcW w:w="1140" w:type="dxa"/>
            <w:vAlign w:val="bottom"/>
          </w:tcPr>
          <w:p>
            <w:pPr>
              <w:ind w:left="460"/>
              <w:spacing w:after="0"/>
              <w:rPr>
                <w:sz w:val="20"/>
                <w:szCs w:val="20"/>
                <w:color w:val="auto"/>
              </w:rPr>
            </w:pPr>
            <w:r>
              <w:rPr>
                <w:rFonts w:ascii="Courier New" w:cs="Courier New" w:eastAsia="Courier New" w:hAnsi="Courier New"/>
                <w:sz w:val="15"/>
                <w:szCs w:val="15"/>
                <w:color w:val="auto"/>
              </w:rPr>
              <w:t>benefit</w:t>
            </w:r>
          </w:p>
        </w:tc>
        <w:tc>
          <w:tcPr>
            <w:tcW w:w="22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obligation</w:t>
            </w:r>
          </w:p>
        </w:tc>
        <w:tc>
          <w:tcPr>
            <w:tcW w:w="180" w:type="dxa"/>
            <w:vAlign w:val="bottom"/>
          </w:tcPr>
          <w:p>
            <w:pPr>
              <w:spacing w:after="0"/>
              <w:rPr>
                <w:sz w:val="15"/>
                <w:szCs w:val="15"/>
                <w:color w:val="auto"/>
              </w:rPr>
            </w:pPr>
          </w:p>
        </w:tc>
        <w:tc>
          <w:tcPr>
            <w:tcW w:w="5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50</w:t>
            </w:r>
          </w:p>
        </w:tc>
        <w:tc>
          <w:tcPr>
            <w:tcW w:w="180" w:type="dxa"/>
            <w:vAlign w:val="bottom"/>
          </w:tcPr>
          <w:p>
            <w:pPr>
              <w:spacing w:after="0"/>
              <w:rPr>
                <w:sz w:val="15"/>
                <w:szCs w:val="15"/>
                <w:color w:val="auto"/>
              </w:rPr>
            </w:pPr>
          </w:p>
        </w:tc>
        <w:tc>
          <w:tcPr>
            <w:tcW w:w="5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46</w:t>
            </w:r>
          </w:p>
        </w:tc>
        <w:tc>
          <w:tcPr>
            <w:tcW w:w="180" w:type="dxa"/>
            <w:vAlign w:val="bottom"/>
          </w:tcPr>
          <w:p>
            <w:pPr>
              <w:spacing w:after="0"/>
              <w:rPr>
                <w:sz w:val="15"/>
                <w:szCs w:val="15"/>
                <w:color w:val="auto"/>
              </w:rPr>
            </w:pPr>
          </w:p>
        </w:tc>
        <w:tc>
          <w:tcPr>
            <w:tcW w:w="5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44</w:t>
            </w:r>
          </w:p>
        </w:tc>
      </w:tr>
      <w:tr>
        <w:trPr>
          <w:trHeight w:val="177"/>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Expected return</w:t>
            </w:r>
          </w:p>
        </w:tc>
        <w:tc>
          <w:tcPr>
            <w:tcW w:w="1940" w:type="dxa"/>
            <w:vAlign w:val="bottom"/>
          </w:tcPr>
          <w:p>
            <w:pPr>
              <w:ind w:left="60"/>
              <w:spacing w:after="0"/>
              <w:rPr>
                <w:sz w:val="20"/>
                <w:szCs w:val="20"/>
                <w:color w:val="auto"/>
              </w:rPr>
            </w:pPr>
            <w:r>
              <w:rPr>
                <w:rFonts w:ascii="Courier New" w:cs="Courier New" w:eastAsia="Courier New" w:hAnsi="Courier New"/>
                <w:sz w:val="15"/>
                <w:szCs w:val="15"/>
                <w:color w:val="auto"/>
              </w:rPr>
              <w:t>on</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7"/>
        </w:trPr>
        <w:tc>
          <w:tcPr>
            <w:tcW w:w="3360" w:type="dxa"/>
            <w:vAlign w:val="bottom"/>
            <w:gridSpan w:val="3"/>
          </w:tcPr>
          <w:p>
            <w:pPr>
              <w:ind w:left="460"/>
              <w:spacing w:after="0"/>
              <w:rPr>
                <w:sz w:val="20"/>
                <w:szCs w:val="20"/>
                <w:color w:val="auto"/>
              </w:rPr>
            </w:pPr>
            <w:r>
              <w:rPr>
                <w:rFonts w:ascii="Courier New" w:cs="Courier New" w:eastAsia="Courier New" w:hAnsi="Courier New"/>
                <w:sz w:val="15"/>
                <w:szCs w:val="15"/>
                <w:color w:val="auto"/>
              </w:rPr>
              <w:t>plan assets (actual</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7"/>
        </w:trPr>
        <w:tc>
          <w:tcPr>
            <w:tcW w:w="1140" w:type="dxa"/>
            <w:vAlign w:val="bottom"/>
          </w:tcPr>
          <w:p>
            <w:pPr>
              <w:ind w:left="460"/>
              <w:spacing w:after="0"/>
              <w:rPr>
                <w:sz w:val="20"/>
                <w:szCs w:val="20"/>
                <w:color w:val="auto"/>
              </w:rPr>
            </w:pPr>
            <w:r>
              <w:rPr>
                <w:rFonts w:ascii="Courier New" w:cs="Courier New" w:eastAsia="Courier New" w:hAnsi="Courier New"/>
                <w:sz w:val="15"/>
                <w:szCs w:val="15"/>
                <w:color w:val="auto"/>
              </w:rPr>
              <w:t>return:</w:t>
            </w:r>
          </w:p>
        </w:tc>
        <w:tc>
          <w:tcPr>
            <w:tcW w:w="22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1996 $94;</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7"/>
        </w:trPr>
        <w:tc>
          <w:tcPr>
            <w:tcW w:w="14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1995 $137;</w:t>
            </w:r>
          </w:p>
        </w:tc>
        <w:tc>
          <w:tcPr>
            <w:tcW w:w="1940" w:type="dxa"/>
            <w:vAlign w:val="bottom"/>
          </w:tcPr>
          <w:p>
            <w:pPr>
              <w:ind w:left="60"/>
              <w:spacing w:after="0"/>
              <w:rPr>
                <w:sz w:val="20"/>
                <w:szCs w:val="20"/>
                <w:color w:val="auto"/>
              </w:rPr>
            </w:pPr>
            <w:r>
              <w:rPr>
                <w:rFonts w:ascii="Courier New" w:cs="Courier New" w:eastAsia="Courier New" w:hAnsi="Courier New"/>
                <w:sz w:val="15"/>
                <w:szCs w:val="15"/>
                <w:color w:val="auto"/>
              </w:rPr>
              <w:t>1994 $3)</w:t>
            </w:r>
          </w:p>
        </w:tc>
        <w:tc>
          <w:tcPr>
            <w:tcW w:w="180" w:type="dxa"/>
            <w:vAlign w:val="bottom"/>
          </w:tcPr>
          <w:p>
            <w:pPr>
              <w:spacing w:after="0"/>
              <w:rPr>
                <w:sz w:val="15"/>
                <w:szCs w:val="15"/>
                <w:color w:val="auto"/>
              </w:rPr>
            </w:pPr>
          </w:p>
        </w:tc>
        <w:tc>
          <w:tcPr>
            <w:tcW w:w="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(52)</w:t>
            </w:r>
          </w:p>
        </w:tc>
        <w:tc>
          <w:tcPr>
            <w:tcW w:w="180" w:type="dxa"/>
            <w:vAlign w:val="bottom"/>
          </w:tcPr>
          <w:p>
            <w:pPr>
              <w:spacing w:after="0"/>
              <w:rPr>
                <w:sz w:val="15"/>
                <w:szCs w:val="15"/>
                <w:color w:val="auto"/>
              </w:rPr>
            </w:pPr>
          </w:p>
        </w:tc>
        <w:tc>
          <w:tcPr>
            <w:tcW w:w="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(47)</w:t>
            </w:r>
          </w:p>
        </w:tc>
        <w:tc>
          <w:tcPr>
            <w:tcW w:w="180" w:type="dxa"/>
            <w:vAlign w:val="bottom"/>
          </w:tcPr>
          <w:p>
            <w:pPr>
              <w:spacing w:after="0"/>
              <w:rPr>
                <w:sz w:val="15"/>
                <w:szCs w:val="15"/>
                <w:color w:val="auto"/>
              </w:rPr>
            </w:pPr>
          </w:p>
        </w:tc>
        <w:tc>
          <w:tcPr>
            <w:tcW w:w="5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(46)</w:t>
            </w:r>
          </w:p>
        </w:tc>
      </w:tr>
      <w:tr>
        <w:trPr>
          <w:trHeight w:val="177"/>
        </w:trPr>
        <w:tc>
          <w:tcPr>
            <w:tcW w:w="114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of</w:t>
            </w:r>
          </w:p>
        </w:tc>
        <w:tc>
          <w:tcPr>
            <w:tcW w:w="1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7"/>
        </w:trPr>
        <w:tc>
          <w:tcPr>
            <w:tcW w:w="14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transition</w:t>
            </w:r>
          </w:p>
        </w:tc>
        <w:tc>
          <w:tcPr>
            <w:tcW w:w="1940" w:type="dxa"/>
            <w:vAlign w:val="bottom"/>
          </w:tcPr>
          <w:p>
            <w:pPr>
              <w:ind w:left="60"/>
              <w:spacing w:after="0"/>
              <w:rPr>
                <w:sz w:val="20"/>
                <w:szCs w:val="20"/>
                <w:color w:val="auto"/>
              </w:rPr>
            </w:pPr>
            <w:r>
              <w:rPr>
                <w:rFonts w:ascii="Courier New" w:cs="Courier New" w:eastAsia="Courier New" w:hAnsi="Courier New"/>
                <w:sz w:val="15"/>
                <w:szCs w:val="15"/>
                <w:color w:val="auto"/>
              </w:rPr>
              <w:t>asset</w:t>
            </w:r>
          </w:p>
        </w:tc>
        <w:tc>
          <w:tcPr>
            <w:tcW w:w="180" w:type="dxa"/>
            <w:vAlign w:val="bottom"/>
          </w:tcPr>
          <w:p>
            <w:pPr>
              <w:spacing w:after="0"/>
              <w:rPr>
                <w:sz w:val="15"/>
                <w:szCs w:val="15"/>
                <w:color w:val="auto"/>
              </w:rPr>
            </w:pPr>
          </w:p>
        </w:tc>
        <w:tc>
          <w:tcPr>
            <w:tcW w:w="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w:t>
            </w:r>
          </w:p>
        </w:tc>
        <w:tc>
          <w:tcPr>
            <w:tcW w:w="180" w:type="dxa"/>
            <w:vAlign w:val="bottom"/>
          </w:tcPr>
          <w:p>
            <w:pPr>
              <w:spacing w:after="0"/>
              <w:rPr>
                <w:sz w:val="15"/>
                <w:szCs w:val="15"/>
                <w:color w:val="auto"/>
              </w:rPr>
            </w:pPr>
          </w:p>
        </w:tc>
        <w:tc>
          <w:tcPr>
            <w:tcW w:w="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w:t>
            </w:r>
          </w:p>
        </w:tc>
        <w:tc>
          <w:tcPr>
            <w:tcW w:w="180" w:type="dxa"/>
            <w:vAlign w:val="bottom"/>
          </w:tcPr>
          <w:p>
            <w:pPr>
              <w:spacing w:after="0"/>
              <w:rPr>
                <w:sz w:val="15"/>
                <w:szCs w:val="15"/>
                <w:color w:val="auto"/>
              </w:rPr>
            </w:pPr>
          </w:p>
        </w:tc>
        <w:tc>
          <w:tcPr>
            <w:tcW w:w="5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w:t>
            </w:r>
          </w:p>
        </w:tc>
      </w:tr>
      <w:tr>
        <w:trPr>
          <w:trHeight w:val="177"/>
        </w:trPr>
        <w:tc>
          <w:tcPr>
            <w:tcW w:w="114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of</w:t>
            </w:r>
          </w:p>
        </w:tc>
        <w:tc>
          <w:tcPr>
            <w:tcW w:w="1940" w:type="dxa"/>
            <w:vAlign w:val="bottom"/>
          </w:tcPr>
          <w:p>
            <w:pPr>
              <w:ind w:left="60"/>
              <w:spacing w:after="0"/>
              <w:rPr>
                <w:sz w:val="20"/>
                <w:szCs w:val="20"/>
                <w:color w:val="auto"/>
              </w:rPr>
            </w:pPr>
            <w:r>
              <w:rPr>
                <w:rFonts w:ascii="Courier New" w:cs="Courier New" w:eastAsia="Courier New" w:hAnsi="Courier New"/>
                <w:sz w:val="15"/>
                <w:szCs w:val="15"/>
                <w:color w:val="auto"/>
              </w:rPr>
              <w:t>prior</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7"/>
        </w:trPr>
        <w:tc>
          <w:tcPr>
            <w:tcW w:w="1140" w:type="dxa"/>
            <w:vAlign w:val="bottom"/>
          </w:tcPr>
          <w:p>
            <w:pPr>
              <w:ind w:left="460"/>
              <w:spacing w:after="0"/>
              <w:rPr>
                <w:sz w:val="20"/>
                <w:szCs w:val="20"/>
                <w:color w:val="auto"/>
              </w:rPr>
            </w:pPr>
            <w:r>
              <w:rPr>
                <w:rFonts w:ascii="Courier New" w:cs="Courier New" w:eastAsia="Courier New" w:hAnsi="Courier New"/>
                <w:sz w:val="15"/>
                <w:szCs w:val="15"/>
                <w:color w:val="auto"/>
              </w:rPr>
              <w:t>service</w:t>
            </w:r>
          </w:p>
        </w:tc>
        <w:tc>
          <w:tcPr>
            <w:tcW w:w="22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cost/other</w:t>
            </w:r>
          </w:p>
        </w:tc>
        <w:tc>
          <w:tcPr>
            <w:tcW w:w="180" w:type="dxa"/>
            <w:vAlign w:val="bottom"/>
          </w:tcPr>
          <w:p>
            <w:pPr>
              <w:spacing w:after="0"/>
              <w:rPr>
                <w:sz w:val="15"/>
                <w:szCs w:val="15"/>
                <w:color w:val="auto"/>
              </w:rPr>
            </w:pPr>
          </w:p>
        </w:tc>
        <w:tc>
          <w:tcPr>
            <w:tcW w:w="5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w:t>
            </w:r>
          </w:p>
        </w:tc>
        <w:tc>
          <w:tcPr>
            <w:tcW w:w="180" w:type="dxa"/>
            <w:vAlign w:val="bottom"/>
          </w:tcPr>
          <w:p>
            <w:pPr>
              <w:spacing w:after="0"/>
              <w:rPr>
                <w:sz w:val="15"/>
                <w:szCs w:val="15"/>
                <w:color w:val="auto"/>
              </w:rPr>
            </w:pPr>
          </w:p>
        </w:tc>
        <w:tc>
          <w:tcPr>
            <w:tcW w:w="5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w:t>
            </w:r>
          </w:p>
        </w:tc>
        <w:tc>
          <w:tcPr>
            <w:tcW w:w="180" w:type="dxa"/>
            <w:vAlign w:val="bottom"/>
          </w:tcPr>
          <w:p>
            <w:pPr>
              <w:spacing w:after="0"/>
              <w:rPr>
                <w:sz w:val="15"/>
                <w:szCs w:val="15"/>
                <w:color w:val="auto"/>
              </w:rPr>
            </w:pPr>
          </w:p>
        </w:tc>
        <w:tc>
          <w:tcPr>
            <w:tcW w:w="5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w:t>
            </w:r>
          </w:p>
        </w:tc>
      </w:tr>
      <w:tr>
        <w:trPr>
          <w:trHeight w:val="177"/>
        </w:trPr>
        <w:tc>
          <w:tcPr>
            <w:tcW w:w="3360" w:type="dxa"/>
            <w:vAlign w:val="bottom"/>
            <w:gridSpan w:val="3"/>
          </w:tcPr>
          <w:p>
            <w:pPr>
              <w:spacing w:after="0"/>
              <w:rPr>
                <w:sz w:val="20"/>
                <w:szCs w:val="20"/>
                <w:color w:val="auto"/>
              </w:rPr>
            </w:pPr>
            <w:r>
              <w:rPr>
                <w:rFonts w:ascii="Courier New" w:cs="Courier New" w:eastAsia="Courier New" w:hAnsi="Courier New"/>
                <w:sz w:val="15"/>
                <w:szCs w:val="15"/>
                <w:color w:val="auto"/>
              </w:rPr>
              <w:t>- ----------------------------------</w:t>
            </w: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360" w:type="dxa"/>
            <w:vAlign w:val="bottom"/>
            <w:gridSpan w:val="3"/>
          </w:tcPr>
          <w:p>
            <w:pPr>
              <w:ind w:left="460"/>
              <w:spacing w:after="0"/>
              <w:rPr>
                <w:sz w:val="20"/>
                <w:szCs w:val="20"/>
                <w:color w:val="auto"/>
              </w:rPr>
            </w:pPr>
            <w:r>
              <w:rPr>
                <w:rFonts w:ascii="Courier New" w:cs="Courier New" w:eastAsia="Courier New" w:hAnsi="Courier New"/>
                <w:sz w:val="15"/>
                <w:szCs w:val="15"/>
                <w:color w:val="auto"/>
              </w:rPr>
              <w:t>Net pension cost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27</w:t>
            </w:r>
          </w:p>
        </w:tc>
      </w:tr>
      <w:tr>
        <w:trPr>
          <w:trHeight w:val="177"/>
        </w:trPr>
        <w:tc>
          <w:tcPr>
            <w:tcW w:w="3360" w:type="dxa"/>
            <w:vAlign w:val="bottom"/>
            <w:gridSpan w:val="3"/>
          </w:tcPr>
          <w:p>
            <w:pPr>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jc w:val="both"/>
        <w:ind w:left="5" w:right="3019" w:firstLine="461"/>
        <w:spacing w:after="0" w:line="252" w:lineRule="auto"/>
        <w:rPr>
          <w:sz w:val="20"/>
          <w:szCs w:val="20"/>
          <w:color w:val="auto"/>
        </w:rPr>
      </w:pPr>
      <w:r>
        <w:rPr>
          <w:rFonts w:ascii="Courier New" w:cs="Courier New" w:eastAsia="Courier New" w:hAnsi="Courier New"/>
          <w:sz w:val="15"/>
          <w:szCs w:val="15"/>
          <w:color w:val="auto"/>
        </w:rPr>
        <w:t>Effective January 1, 1996, the Company and its subsidiaries amended their pension plans to improve retirement benefits for current employees. The funded status at December 31, 1995, reflects the amendment.</w:t>
      </w:r>
    </w:p>
    <w:p>
      <w:pPr>
        <w:spacing w:after="0" w:line="175"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The funded status of the plans at December 31, 1996 and 1995, was as</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140" w:type="dxa"/>
            <w:vAlign w:val="bottom"/>
          </w:tcPr>
          <w:p>
            <w:pPr>
              <w:spacing w:after="0"/>
              <w:rPr>
                <w:sz w:val="20"/>
                <w:szCs w:val="20"/>
                <w:color w:val="auto"/>
              </w:rPr>
            </w:pPr>
            <w:r>
              <w:rPr>
                <w:rFonts w:ascii="Courier New" w:cs="Courier New" w:eastAsia="Courier New" w:hAnsi="Courier New"/>
                <w:sz w:val="15"/>
                <w:szCs w:val="15"/>
                <w:color w:val="auto"/>
              </w:rPr>
              <w:t>follows:</w:t>
            </w: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7"/>
        </w:trPr>
        <w:tc>
          <w:tcPr>
            <w:tcW w:w="3140" w:type="dxa"/>
            <w:vAlign w:val="bottom"/>
          </w:tcPr>
          <w:p>
            <w:pPr>
              <w:spacing w:after="0"/>
              <w:rPr>
                <w:sz w:val="15"/>
                <w:szCs w:val="15"/>
                <w:color w:val="auto"/>
              </w:rPr>
            </w:pPr>
          </w:p>
        </w:tc>
        <w:tc>
          <w:tcPr>
            <w:tcW w:w="20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(Stated in millions)</w:t>
            </w:r>
          </w:p>
        </w:tc>
      </w:tr>
      <w:tr>
        <w:trPr>
          <w:trHeight w:val="177"/>
        </w:trPr>
        <w:tc>
          <w:tcPr>
            <w:tcW w:w="3140" w:type="dxa"/>
            <w:vAlign w:val="bottom"/>
          </w:tcPr>
          <w:p>
            <w:pPr>
              <w:spacing w:after="0"/>
              <w:rPr>
                <w:sz w:val="15"/>
                <w:szCs w:val="15"/>
                <w:color w:val="auto"/>
              </w:rPr>
            </w:pPr>
          </w:p>
        </w:tc>
        <w:tc>
          <w:tcPr>
            <w:tcW w:w="13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1996</w:t>
            </w:r>
          </w:p>
        </w:tc>
        <w:tc>
          <w:tcPr>
            <w:tcW w:w="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1995</w:t>
            </w: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rPr>
              <w:t>Actuarial present value</w:t>
            </w:r>
          </w:p>
        </w:tc>
        <w:tc>
          <w:tcPr>
            <w:tcW w:w="13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7"/>
        </w:trPr>
        <w:tc>
          <w:tcPr>
            <w:tcW w:w="3140" w:type="dxa"/>
            <w:vAlign w:val="bottom"/>
          </w:tcPr>
          <w:p>
            <w:pPr>
              <w:ind w:left="460"/>
              <w:spacing w:after="0"/>
              <w:rPr>
                <w:sz w:val="20"/>
                <w:szCs w:val="20"/>
                <w:color w:val="auto"/>
              </w:rPr>
            </w:pPr>
            <w:r>
              <w:rPr>
                <w:rFonts w:ascii="Courier New" w:cs="Courier New" w:eastAsia="Courier New" w:hAnsi="Courier New"/>
                <w:sz w:val="15"/>
                <w:szCs w:val="15"/>
                <w:color w:val="auto"/>
              </w:rPr>
              <w:t>of obligations:</w:t>
            </w:r>
          </w:p>
        </w:tc>
        <w:tc>
          <w:tcPr>
            <w:tcW w:w="13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7"/>
        </w:trPr>
        <w:tc>
          <w:tcPr>
            <w:tcW w:w="3140" w:type="dxa"/>
            <w:vAlign w:val="bottom"/>
          </w:tcPr>
          <w:p>
            <w:pPr>
              <w:ind w:left="460"/>
              <w:spacing w:after="0"/>
              <w:rPr>
                <w:sz w:val="20"/>
                <w:szCs w:val="20"/>
                <w:color w:val="auto"/>
              </w:rPr>
            </w:pPr>
            <w:r>
              <w:rPr>
                <w:rFonts w:ascii="Courier New" w:cs="Courier New" w:eastAsia="Courier New" w:hAnsi="Courier New"/>
                <w:sz w:val="15"/>
                <w:szCs w:val="15"/>
                <w:color w:val="auto"/>
              </w:rPr>
              <w:t>Vested benefit obligation</w:t>
            </w:r>
          </w:p>
        </w:tc>
        <w:tc>
          <w:tcPr>
            <w:tcW w:w="13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$ 639</w:t>
            </w:r>
          </w:p>
        </w:tc>
        <w:tc>
          <w:tcPr>
            <w:tcW w:w="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$ 615</w:t>
            </w: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3140" w:type="dxa"/>
            <w:vAlign w:val="bottom"/>
          </w:tcPr>
          <w:p>
            <w:pPr>
              <w:ind w:left="460"/>
              <w:spacing w:after="0"/>
              <w:rPr>
                <w:sz w:val="20"/>
                <w:szCs w:val="20"/>
                <w:color w:val="auto"/>
              </w:rPr>
            </w:pPr>
            <w:r>
              <w:rPr>
                <w:rFonts w:ascii="Courier New" w:cs="Courier New" w:eastAsia="Courier New" w:hAnsi="Courier New"/>
                <w:sz w:val="15"/>
                <w:szCs w:val="15"/>
                <w:color w:val="auto"/>
              </w:rPr>
              <w:t>Accumulated benefit</w:t>
            </w:r>
          </w:p>
        </w:tc>
        <w:tc>
          <w:tcPr>
            <w:tcW w:w="13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7"/>
        </w:trPr>
        <w:tc>
          <w:tcPr>
            <w:tcW w:w="3140" w:type="dxa"/>
            <w:vAlign w:val="bottom"/>
          </w:tcPr>
          <w:p>
            <w:pPr>
              <w:ind w:left="540"/>
              <w:spacing w:after="0"/>
              <w:rPr>
                <w:sz w:val="20"/>
                <w:szCs w:val="20"/>
                <w:color w:val="auto"/>
              </w:rPr>
            </w:pPr>
            <w:r>
              <w:rPr>
                <w:rFonts w:ascii="Courier New" w:cs="Courier New" w:eastAsia="Courier New" w:hAnsi="Courier New"/>
                <w:sz w:val="15"/>
                <w:szCs w:val="15"/>
                <w:color w:val="auto"/>
              </w:rPr>
              <w:t>obligation</w:t>
            </w:r>
          </w:p>
        </w:tc>
        <w:tc>
          <w:tcPr>
            <w:tcW w:w="13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$ 641</w:t>
            </w:r>
          </w:p>
        </w:tc>
        <w:tc>
          <w:tcPr>
            <w:tcW w:w="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$ 617</w:t>
            </w: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3140" w:type="dxa"/>
            <w:vAlign w:val="bottom"/>
          </w:tcPr>
          <w:p>
            <w:pPr>
              <w:ind w:left="460"/>
              <w:spacing w:after="0"/>
              <w:rPr>
                <w:sz w:val="20"/>
                <w:szCs w:val="20"/>
                <w:color w:val="auto"/>
              </w:rPr>
            </w:pPr>
            <w:r>
              <w:rPr>
                <w:rFonts w:ascii="Courier New" w:cs="Courier New" w:eastAsia="Courier New" w:hAnsi="Courier New"/>
                <w:sz w:val="15"/>
                <w:szCs w:val="15"/>
                <w:color w:val="auto"/>
              </w:rPr>
              <w:t>Projected benefit obligation</w:t>
            </w:r>
          </w:p>
        </w:tc>
        <w:tc>
          <w:tcPr>
            <w:tcW w:w="13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$ 700</w:t>
            </w:r>
          </w:p>
        </w:tc>
        <w:tc>
          <w:tcPr>
            <w:tcW w:w="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$ 675</w:t>
            </w: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rPr>
              <w:t>Plan assets at market value</w:t>
            </w:r>
          </w:p>
        </w:tc>
        <w:tc>
          <w:tcPr>
            <w:tcW w:w="13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771</w:t>
            </w:r>
          </w:p>
        </w:tc>
        <w:tc>
          <w:tcPr>
            <w:tcW w:w="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698</w:t>
            </w: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rPr>
              <w:t>Excess of assets over projected</w:t>
            </w:r>
          </w:p>
        </w:tc>
        <w:tc>
          <w:tcPr>
            <w:tcW w:w="13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7"/>
        </w:trPr>
        <w:tc>
          <w:tcPr>
            <w:tcW w:w="3140" w:type="dxa"/>
            <w:vAlign w:val="bottom"/>
          </w:tcPr>
          <w:p>
            <w:pPr>
              <w:ind w:left="460"/>
              <w:spacing w:after="0"/>
              <w:rPr>
                <w:sz w:val="20"/>
                <w:szCs w:val="20"/>
                <w:color w:val="auto"/>
              </w:rPr>
            </w:pPr>
            <w:r>
              <w:rPr>
                <w:rFonts w:ascii="Courier New" w:cs="Courier New" w:eastAsia="Courier New" w:hAnsi="Courier New"/>
                <w:sz w:val="15"/>
                <w:szCs w:val="15"/>
                <w:color w:val="auto"/>
              </w:rPr>
              <w:t>benefit obligation</w:t>
            </w:r>
          </w:p>
        </w:tc>
        <w:tc>
          <w:tcPr>
            <w:tcW w:w="13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71</w:t>
            </w:r>
          </w:p>
        </w:tc>
        <w:tc>
          <w:tcPr>
            <w:tcW w:w="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23</w:t>
            </w: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rPr>
              <w:t>Unrecognized net gain</w:t>
            </w:r>
          </w:p>
        </w:tc>
        <w:tc>
          <w:tcPr>
            <w:tcW w:w="132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(155)</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(96)</w:t>
            </w: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rPr>
              <w:t>Unrecognized prior service cost</w:t>
            </w:r>
          </w:p>
        </w:tc>
        <w:tc>
          <w:tcPr>
            <w:tcW w:w="13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34</w:t>
            </w:r>
          </w:p>
        </w:tc>
        <w:tc>
          <w:tcPr>
            <w:tcW w:w="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39</w:t>
            </w: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rPr>
              <w:t>Unrecognized net asset</w:t>
            </w:r>
          </w:p>
        </w:tc>
        <w:tc>
          <w:tcPr>
            <w:tcW w:w="13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7"/>
        </w:trPr>
        <w:tc>
          <w:tcPr>
            <w:tcW w:w="3140" w:type="dxa"/>
            <w:vAlign w:val="bottom"/>
          </w:tcPr>
          <w:p>
            <w:pPr>
              <w:ind w:left="460"/>
              <w:spacing w:after="0"/>
              <w:rPr>
                <w:sz w:val="20"/>
                <w:szCs w:val="20"/>
                <w:color w:val="auto"/>
              </w:rPr>
            </w:pPr>
            <w:r>
              <w:rPr>
                <w:rFonts w:ascii="Courier New" w:cs="Courier New" w:eastAsia="Courier New" w:hAnsi="Courier New"/>
                <w:sz w:val="15"/>
                <w:szCs w:val="15"/>
                <w:color w:val="auto"/>
              </w:rPr>
              <w:t>at transition date</w:t>
            </w:r>
          </w:p>
        </w:tc>
        <w:tc>
          <w:tcPr>
            <w:tcW w:w="1320" w:type="dxa"/>
            <w:vAlign w:val="bottom"/>
          </w:tcPr>
          <w:p>
            <w:pPr>
              <w:jc w:val="right"/>
              <w:ind w:right="43"/>
              <w:spacing w:after="0"/>
              <w:rPr>
                <w:sz w:val="20"/>
                <w:szCs w:val="20"/>
                <w:color w:val="auto"/>
              </w:rPr>
            </w:pPr>
            <w:r>
              <w:rPr>
                <w:rFonts w:ascii="Courier New" w:cs="Courier New" w:eastAsia="Courier New" w:hAnsi="Courier New"/>
                <w:sz w:val="15"/>
                <w:szCs w:val="15"/>
                <w:color w:val="auto"/>
              </w:rPr>
              <w:t>(7)</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w:t>
            </w: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rPr>
              <w:t>Pension liability</w:t>
            </w:r>
          </w:p>
        </w:tc>
        <w:tc>
          <w:tcPr>
            <w:tcW w:w="1320" w:type="dxa"/>
            <w:vAlign w:val="bottom"/>
          </w:tcPr>
          <w:p>
            <w:pPr>
              <w:jc w:val="right"/>
              <w:ind w:right="43"/>
              <w:spacing w:after="0"/>
              <w:rPr>
                <w:sz w:val="20"/>
                <w:szCs w:val="20"/>
                <w:color w:val="auto"/>
              </w:rPr>
            </w:pPr>
            <w:r>
              <w:rPr>
                <w:rFonts w:ascii="Courier New" w:cs="Courier New" w:eastAsia="Courier New" w:hAnsi="Courier New"/>
                <w:sz w:val="15"/>
                <w:szCs w:val="15"/>
                <w:color w:val="auto"/>
              </w:rPr>
              <w:t>$ (57)</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(43)</w:t>
            </w: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ind w:left="5" w:right="2939" w:firstLine="461"/>
        <w:spacing w:after="0" w:line="251" w:lineRule="auto"/>
        <w:rPr>
          <w:sz w:val="20"/>
          <w:szCs w:val="20"/>
          <w:color w:val="auto"/>
        </w:rPr>
      </w:pPr>
      <w:r>
        <w:rPr>
          <w:rFonts w:ascii="Courier New" w:cs="Courier New" w:eastAsia="Courier New" w:hAnsi="Courier New"/>
          <w:sz w:val="15"/>
          <w:szCs w:val="15"/>
          <w:color w:val="auto"/>
        </w:rPr>
        <w:t>Assumed discount rate and rate of compensation increases used to determine the projected benefit obligations were 8% and 4.5%, respectively; the expected long-term rate of return on plan assets was 8.5%. Plan assets at December 31, 1996, consist of common stocks ($504 million), cash or cash equivalents ($42 million), fixed income investments ($135 million) and other investments ($90 million). Less than 1% of the plan assets at December 31, 1996, represented Schlumberger Limited Common Stock.</w:t>
      </w: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NON-US PENSION PLANS</w:t>
      </w:r>
    </w:p>
    <w:p>
      <w:pPr>
        <w:spacing w:after="0" w:line="185"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Outside of the US, subsidiaries of the Company sponsor several defined benefit and defined contribution plans that cover substantially all employees who are not covered by statutory plans. For defined benefit plans, charges to expense are based upon costs computed by independent actuaries. These plans are substantially fully funded with trustees in respect to past and current service. For all defined benefit plans, pension expense was $16 million, $13 million and $16 million in 1996, 1995 and 1994, respectively. The only significant defined benefit plan is in the UK.</w:t>
      </w:r>
    </w:p>
    <w:p>
      <w:pPr>
        <w:spacing w:after="0" w:line="175"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25"/>
          </w:cols>
          <w:pgMar w:left="235" w:top="650" w:right="1440" w:bottom="0" w:gutter="0" w:footer="0" w:header="0"/>
        </w:sectPr>
      </w:pPr>
    </w:p>
    <w:bookmarkStart w:id="40" w:name="page41"/>
    <w:bookmarkEnd w:id="40"/>
    <w:p>
      <w:pPr>
        <w:ind w:right="2839" w:firstLine="461"/>
        <w:spacing w:after="0" w:line="252" w:lineRule="auto"/>
        <w:rPr>
          <w:sz w:val="20"/>
          <w:szCs w:val="20"/>
          <w:color w:val="auto"/>
        </w:rPr>
      </w:pPr>
      <w:r>
        <w:rPr>
          <w:rFonts w:ascii="Courier New" w:cs="Courier New" w:eastAsia="Courier New" w:hAnsi="Courier New"/>
          <w:sz w:val="15"/>
          <w:szCs w:val="15"/>
          <w:color w:val="auto"/>
        </w:rPr>
        <w:t>The assumed discount rate, compensation increases and return on plan assets used to determine pension expense in all years were 7.5%, 5% and 8.5%, respectively.</w:t>
      </w:r>
    </w:p>
    <w:p>
      <w:pPr>
        <w:spacing w:after="0" w:line="175" w:lineRule="exact"/>
        <w:rPr>
          <w:sz w:val="20"/>
          <w:szCs w:val="20"/>
          <w:color w:val="auto"/>
        </w:rPr>
      </w:pPr>
    </w:p>
    <w:p>
      <w:pPr>
        <w:ind w:right="2839" w:firstLine="461"/>
        <w:spacing w:after="0" w:line="252" w:lineRule="auto"/>
        <w:rPr>
          <w:sz w:val="20"/>
          <w:szCs w:val="20"/>
          <w:color w:val="auto"/>
        </w:rPr>
      </w:pPr>
      <w:r>
        <w:rPr>
          <w:rFonts w:ascii="Courier New" w:cs="Courier New" w:eastAsia="Courier New" w:hAnsi="Courier New"/>
          <w:sz w:val="15"/>
          <w:szCs w:val="15"/>
          <w:color w:val="auto"/>
        </w:rPr>
        <w:t>Net pension cost in the UK plan for 1996, 1995 and 1994 (translated into US dollars at the average exchange rate for the periods) included the following components: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ind w:left="100"/>
              <w:spacing w:after="0"/>
              <w:rPr>
                <w:sz w:val="20"/>
                <w:szCs w:val="20"/>
                <w:color w:val="auto"/>
              </w:rPr>
            </w:pPr>
            <w:r>
              <w:rPr>
                <w:rFonts w:ascii="Courier New" w:cs="Courier New" w:eastAsia="Courier New" w:hAnsi="Courier New"/>
                <w:sz w:val="15"/>
                <w:szCs w:val="15"/>
                <w:color w:val="auto"/>
                <w:w w:val="98"/>
              </w:rPr>
              <w:t>(Stated</w:t>
            </w:r>
          </w:p>
        </w:tc>
        <w:tc>
          <w:tcPr>
            <w:tcW w:w="100" w:type="dxa"/>
            <w:vAlign w:val="bottom"/>
          </w:tcPr>
          <w:p>
            <w:pPr>
              <w:spacing w:after="0"/>
              <w:rPr>
                <w:sz w:val="14"/>
                <w:szCs w:val="14"/>
                <w:color w:val="auto"/>
              </w:rPr>
            </w:pPr>
          </w:p>
        </w:tc>
        <w:tc>
          <w:tcPr>
            <w:tcW w:w="1300" w:type="dxa"/>
            <w:vAlign w:val="bottom"/>
            <w:gridSpan w:val="3"/>
          </w:tcPr>
          <w:p>
            <w:pPr>
              <w:jc w:val="right"/>
              <w:ind w:right="123"/>
              <w:spacing w:after="0"/>
              <w:rPr>
                <w:sz w:val="20"/>
                <w:szCs w:val="20"/>
                <w:color w:val="auto"/>
              </w:rPr>
            </w:pPr>
            <w:r>
              <w:rPr>
                <w:rFonts w:ascii="Courier New" w:cs="Courier New" w:eastAsia="Courier New" w:hAnsi="Courier New"/>
                <w:sz w:val="15"/>
                <w:szCs w:val="15"/>
                <w:color w:val="auto"/>
                <w:w w:val="99"/>
              </w:rPr>
              <w:t>in millions)</w:t>
            </w:r>
          </w:p>
        </w:tc>
      </w:tr>
      <w:tr>
        <w:trPr>
          <w:trHeight w:val="177"/>
        </w:trPr>
        <w:tc>
          <w:tcPr>
            <w:tcW w:w="3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1996</w:t>
            </w:r>
          </w:p>
        </w:tc>
        <w:tc>
          <w:tcPr>
            <w:tcW w:w="100" w:type="dxa"/>
            <w:vAlign w:val="bottom"/>
          </w:tcPr>
          <w:p>
            <w:pPr>
              <w:spacing w:after="0"/>
              <w:rPr>
                <w:sz w:val="15"/>
                <w:szCs w:val="15"/>
                <w:color w:val="auto"/>
              </w:rPr>
            </w:pPr>
          </w:p>
        </w:tc>
        <w:tc>
          <w:tcPr>
            <w:tcW w:w="60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4"/>
              </w:rPr>
              <w:t>1995</w:t>
            </w:r>
          </w:p>
        </w:tc>
        <w:tc>
          <w:tcPr>
            <w:tcW w:w="140" w:type="dxa"/>
            <w:vAlign w:val="bottom"/>
          </w:tcPr>
          <w:p>
            <w:pPr>
              <w:spacing w:after="0"/>
              <w:rPr>
                <w:sz w:val="15"/>
                <w:szCs w:val="15"/>
                <w:color w:val="auto"/>
              </w:rPr>
            </w:pPr>
          </w:p>
        </w:tc>
        <w:tc>
          <w:tcPr>
            <w:tcW w:w="56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4"/>
              </w:rPr>
              <w:t>1994</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40" w:type="dxa"/>
            <w:vAlign w:val="bottom"/>
          </w:tcPr>
          <w:p>
            <w:pPr>
              <w:spacing w:after="0"/>
              <w:rPr>
                <w:sz w:val="15"/>
                <w:szCs w:val="15"/>
                <w:color w:val="auto"/>
              </w:rPr>
            </w:pPr>
          </w:p>
        </w:tc>
        <w:tc>
          <w:tcPr>
            <w:tcW w:w="7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Service cost - benefits</w:t>
            </w: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7"/>
        </w:trPr>
        <w:tc>
          <w:tcPr>
            <w:tcW w:w="3920" w:type="dxa"/>
            <w:vAlign w:val="bottom"/>
          </w:tcPr>
          <w:p>
            <w:pPr>
              <w:ind w:left="460"/>
              <w:spacing w:after="0"/>
              <w:rPr>
                <w:sz w:val="20"/>
                <w:szCs w:val="20"/>
                <w:color w:val="auto"/>
              </w:rPr>
            </w:pPr>
            <w:r>
              <w:rPr>
                <w:rFonts w:ascii="Courier New" w:cs="Courier New" w:eastAsia="Courier New" w:hAnsi="Courier New"/>
                <w:sz w:val="15"/>
                <w:szCs w:val="15"/>
                <w:color w:val="auto"/>
              </w:rPr>
              <w:t>earned during the period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12</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6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10</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Interest cost on projected</w:t>
            </w: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7"/>
        </w:trPr>
        <w:tc>
          <w:tcPr>
            <w:tcW w:w="3920" w:type="dxa"/>
            <w:vAlign w:val="bottom"/>
          </w:tcPr>
          <w:p>
            <w:pPr>
              <w:ind w:left="460"/>
              <w:spacing w:after="0"/>
              <w:rPr>
                <w:sz w:val="20"/>
                <w:szCs w:val="20"/>
                <w:color w:val="auto"/>
              </w:rPr>
            </w:pPr>
            <w:r>
              <w:rPr>
                <w:rFonts w:ascii="Courier New" w:cs="Courier New" w:eastAsia="Courier New" w:hAnsi="Courier New"/>
                <w:sz w:val="15"/>
                <w:szCs w:val="15"/>
                <w:color w:val="auto"/>
              </w:rPr>
              <w:t>benefit obligation</w:t>
            </w:r>
          </w:p>
        </w:tc>
        <w:tc>
          <w:tcPr>
            <w:tcW w:w="1140" w:type="dxa"/>
            <w:vAlign w:val="bottom"/>
          </w:tcPr>
          <w:p>
            <w:pPr>
              <w:spacing w:after="0"/>
              <w:rPr>
                <w:sz w:val="15"/>
                <w:szCs w:val="15"/>
                <w:color w:val="auto"/>
              </w:rPr>
            </w:pP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9</w:t>
            </w:r>
          </w:p>
        </w:tc>
        <w:tc>
          <w:tcPr>
            <w:tcW w:w="100" w:type="dxa"/>
            <w:vAlign w:val="bottom"/>
          </w:tcPr>
          <w:p>
            <w:pPr>
              <w:spacing w:after="0"/>
              <w:rPr>
                <w:sz w:val="15"/>
                <w:szCs w:val="15"/>
                <w:color w:val="auto"/>
              </w:rPr>
            </w:pPr>
          </w:p>
        </w:tc>
        <w:tc>
          <w:tcPr>
            <w:tcW w:w="6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9</w:t>
            </w:r>
          </w:p>
        </w:tc>
        <w:tc>
          <w:tcPr>
            <w:tcW w:w="140" w:type="dxa"/>
            <w:vAlign w:val="bottom"/>
          </w:tcPr>
          <w:p>
            <w:pPr>
              <w:spacing w:after="0"/>
              <w:rPr>
                <w:sz w:val="15"/>
                <w:szCs w:val="15"/>
                <w:color w:val="auto"/>
              </w:rPr>
            </w:pPr>
          </w:p>
        </w:tc>
        <w:tc>
          <w:tcPr>
            <w:tcW w:w="5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10</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Expected return on</w:t>
            </w: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7"/>
        </w:trPr>
        <w:tc>
          <w:tcPr>
            <w:tcW w:w="3920" w:type="dxa"/>
            <w:vAlign w:val="bottom"/>
          </w:tcPr>
          <w:p>
            <w:pPr>
              <w:ind w:left="460"/>
              <w:spacing w:after="0"/>
              <w:rPr>
                <w:sz w:val="20"/>
                <w:szCs w:val="20"/>
                <w:color w:val="auto"/>
              </w:rPr>
            </w:pPr>
            <w:r>
              <w:rPr>
                <w:rFonts w:ascii="Courier New" w:cs="Courier New" w:eastAsia="Courier New" w:hAnsi="Courier New"/>
                <w:sz w:val="15"/>
                <w:szCs w:val="15"/>
                <w:color w:val="auto"/>
              </w:rPr>
              <w:t>plan assets (actual</w:t>
            </w: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7"/>
        </w:trPr>
        <w:tc>
          <w:tcPr>
            <w:tcW w:w="3920" w:type="dxa"/>
            <w:vAlign w:val="bottom"/>
          </w:tcPr>
          <w:p>
            <w:pPr>
              <w:ind w:left="460"/>
              <w:spacing w:after="0"/>
              <w:rPr>
                <w:sz w:val="20"/>
                <w:szCs w:val="20"/>
                <w:color w:val="auto"/>
              </w:rPr>
            </w:pPr>
            <w:r>
              <w:rPr>
                <w:rFonts w:ascii="Courier New" w:cs="Courier New" w:eastAsia="Courier New" w:hAnsi="Courier New"/>
                <w:sz w:val="15"/>
                <w:szCs w:val="15"/>
                <w:color w:val="auto"/>
              </w:rPr>
              <w:t>return: 1996 $36;</w:t>
            </w: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7"/>
        </w:trPr>
        <w:tc>
          <w:tcPr>
            <w:tcW w:w="3920" w:type="dxa"/>
            <w:vAlign w:val="bottom"/>
          </w:tcPr>
          <w:p>
            <w:pPr>
              <w:ind w:left="460"/>
              <w:spacing w:after="0"/>
              <w:rPr>
                <w:sz w:val="20"/>
                <w:szCs w:val="20"/>
                <w:color w:val="auto"/>
              </w:rPr>
            </w:pPr>
            <w:r>
              <w:rPr>
                <w:rFonts w:ascii="Courier New" w:cs="Courier New" w:eastAsia="Courier New" w:hAnsi="Courier New"/>
                <w:sz w:val="15"/>
                <w:szCs w:val="15"/>
                <w:color w:val="auto"/>
              </w:rPr>
              <w:t>1995 $43; 1994 $(11))</w:t>
            </w:r>
          </w:p>
        </w:tc>
        <w:tc>
          <w:tcPr>
            <w:tcW w:w="1140" w:type="dxa"/>
            <w:vAlign w:val="bottom"/>
          </w:tcPr>
          <w:p>
            <w:pPr>
              <w:spacing w:after="0"/>
              <w:rPr>
                <w:sz w:val="15"/>
                <w:szCs w:val="15"/>
                <w:color w:val="auto"/>
              </w:rPr>
            </w:pPr>
          </w:p>
        </w:tc>
        <w:tc>
          <w:tcPr>
            <w:tcW w:w="7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(18)</w:t>
            </w:r>
          </w:p>
        </w:tc>
        <w:tc>
          <w:tcPr>
            <w:tcW w:w="100" w:type="dxa"/>
            <w:vAlign w:val="bottom"/>
          </w:tcPr>
          <w:p>
            <w:pPr>
              <w:spacing w:after="0"/>
              <w:rPr>
                <w:sz w:val="15"/>
                <w:szCs w:val="15"/>
                <w:color w:val="auto"/>
              </w:rPr>
            </w:pPr>
          </w:p>
        </w:tc>
        <w:tc>
          <w:tcPr>
            <w:tcW w:w="6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(16)</w:t>
            </w:r>
          </w:p>
        </w:tc>
        <w:tc>
          <w:tcPr>
            <w:tcW w:w="140" w:type="dxa"/>
            <w:vAlign w:val="bottom"/>
          </w:tcPr>
          <w:p>
            <w:pPr>
              <w:spacing w:after="0"/>
              <w:rPr>
                <w:sz w:val="15"/>
                <w:szCs w:val="15"/>
                <w:color w:val="auto"/>
              </w:rPr>
            </w:pPr>
          </w:p>
        </w:tc>
        <w:tc>
          <w:tcPr>
            <w:tcW w:w="5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(15)</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Amortization of transition</w:t>
            </w: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7"/>
        </w:trPr>
        <w:tc>
          <w:tcPr>
            <w:tcW w:w="3920" w:type="dxa"/>
            <w:vAlign w:val="bottom"/>
          </w:tcPr>
          <w:p>
            <w:pPr>
              <w:ind w:left="460"/>
              <w:spacing w:after="0"/>
              <w:rPr>
                <w:sz w:val="20"/>
                <w:szCs w:val="20"/>
                <w:color w:val="auto"/>
              </w:rPr>
            </w:pPr>
            <w:r>
              <w:rPr>
                <w:rFonts w:ascii="Courier New" w:cs="Courier New" w:eastAsia="Courier New" w:hAnsi="Courier New"/>
                <w:sz w:val="15"/>
                <w:szCs w:val="15"/>
                <w:color w:val="auto"/>
              </w:rPr>
              <w:t>asset and other</w:t>
            </w:r>
          </w:p>
        </w:tc>
        <w:tc>
          <w:tcPr>
            <w:tcW w:w="1140" w:type="dxa"/>
            <w:vAlign w:val="bottom"/>
          </w:tcPr>
          <w:p>
            <w:pPr>
              <w:spacing w:after="0"/>
              <w:rPr>
                <w:sz w:val="15"/>
                <w:szCs w:val="15"/>
                <w:color w:val="auto"/>
              </w:rPr>
            </w:pPr>
          </w:p>
        </w:tc>
        <w:tc>
          <w:tcPr>
            <w:tcW w:w="7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(3)</w:t>
            </w:r>
          </w:p>
        </w:tc>
        <w:tc>
          <w:tcPr>
            <w:tcW w:w="100" w:type="dxa"/>
            <w:vAlign w:val="bottom"/>
          </w:tcPr>
          <w:p>
            <w:pPr>
              <w:spacing w:after="0"/>
              <w:rPr>
                <w:sz w:val="15"/>
                <w:szCs w:val="15"/>
                <w:color w:val="auto"/>
              </w:rPr>
            </w:pPr>
          </w:p>
        </w:tc>
        <w:tc>
          <w:tcPr>
            <w:tcW w:w="6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w:t>
            </w:r>
          </w:p>
        </w:tc>
        <w:tc>
          <w:tcPr>
            <w:tcW w:w="140" w:type="dxa"/>
            <w:vAlign w:val="bottom"/>
          </w:tcPr>
          <w:p>
            <w:pPr>
              <w:spacing w:after="0"/>
              <w:rPr>
                <w:sz w:val="15"/>
                <w:szCs w:val="15"/>
                <w:color w:val="auto"/>
              </w:rPr>
            </w:pPr>
          </w:p>
        </w:tc>
        <w:tc>
          <w:tcPr>
            <w:tcW w:w="5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40" w:type="dxa"/>
            <w:vAlign w:val="bottom"/>
          </w:tcPr>
          <w:p>
            <w:pPr>
              <w:spacing w:after="0"/>
              <w:rPr>
                <w:sz w:val="15"/>
                <w:szCs w:val="15"/>
                <w:color w:val="auto"/>
              </w:rPr>
            </w:pPr>
          </w:p>
        </w:tc>
        <w:tc>
          <w:tcPr>
            <w:tcW w:w="7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ind w:left="460"/>
              <w:spacing w:after="0"/>
              <w:rPr>
                <w:sz w:val="20"/>
                <w:szCs w:val="20"/>
                <w:color w:val="auto"/>
              </w:rPr>
            </w:pPr>
            <w:r>
              <w:rPr>
                <w:rFonts w:ascii="Courier New" w:cs="Courier New" w:eastAsia="Courier New" w:hAnsi="Courier New"/>
                <w:sz w:val="15"/>
                <w:szCs w:val="15"/>
                <w:color w:val="auto"/>
              </w:rPr>
              <w:t>Net pension cost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6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w:t>
            </w: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w w:val="97"/>
              </w:rPr>
              <w:t>=====</w:t>
            </w:r>
          </w:p>
        </w:tc>
        <w:tc>
          <w:tcPr>
            <w:tcW w:w="70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ind w:right="3399" w:firstLine="461"/>
        <w:spacing w:after="0" w:line="253" w:lineRule="auto"/>
        <w:rPr>
          <w:sz w:val="20"/>
          <w:szCs w:val="20"/>
          <w:color w:val="auto"/>
        </w:rPr>
      </w:pPr>
      <w:r>
        <w:rPr>
          <w:rFonts w:ascii="Courier New" w:cs="Courier New" w:eastAsia="Courier New" w:hAnsi="Courier New"/>
          <w:sz w:val="15"/>
          <w:szCs w:val="15"/>
          <w:color w:val="auto"/>
        </w:rPr>
        <w:t>The funded status of the plan (translated into US dollars at year-end exchange rates) was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00" w:type="dxa"/>
            <w:vAlign w:val="bottom"/>
          </w:tcPr>
          <w:p>
            <w:pPr>
              <w:spacing w:after="0"/>
              <w:rPr>
                <w:sz w:val="14"/>
                <w:szCs w:val="14"/>
                <w:color w:val="auto"/>
              </w:rPr>
            </w:pPr>
          </w:p>
        </w:tc>
        <w:tc>
          <w:tcPr>
            <w:tcW w:w="240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(Stated in millions)</w:t>
            </w:r>
          </w:p>
        </w:tc>
      </w:tr>
      <w:tr>
        <w:trPr>
          <w:trHeight w:val="177"/>
        </w:trPr>
        <w:tc>
          <w:tcPr>
            <w:tcW w:w="3600" w:type="dxa"/>
            <w:vAlign w:val="bottom"/>
          </w:tcPr>
          <w:p>
            <w:pPr>
              <w:spacing w:after="0"/>
              <w:rPr>
                <w:sz w:val="15"/>
                <w:szCs w:val="15"/>
                <w:color w:val="auto"/>
              </w:rPr>
            </w:pPr>
          </w:p>
        </w:tc>
        <w:tc>
          <w:tcPr>
            <w:tcW w:w="16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1996</w:t>
            </w: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1995</w:t>
            </w: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Actuarial present value</w:t>
            </w:r>
          </w:p>
        </w:tc>
        <w:tc>
          <w:tcPr>
            <w:tcW w:w="16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3600" w:type="dxa"/>
            <w:vAlign w:val="bottom"/>
          </w:tcPr>
          <w:p>
            <w:pPr>
              <w:ind w:left="460"/>
              <w:spacing w:after="0"/>
              <w:rPr>
                <w:sz w:val="20"/>
                <w:szCs w:val="20"/>
                <w:color w:val="auto"/>
              </w:rPr>
            </w:pPr>
            <w:r>
              <w:rPr>
                <w:rFonts w:ascii="Courier New" w:cs="Courier New" w:eastAsia="Courier New" w:hAnsi="Courier New"/>
                <w:sz w:val="15"/>
                <w:szCs w:val="15"/>
                <w:color w:val="auto"/>
              </w:rPr>
              <w:t>of obligations:</w:t>
            </w:r>
          </w:p>
        </w:tc>
        <w:tc>
          <w:tcPr>
            <w:tcW w:w="16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3600" w:type="dxa"/>
            <w:vAlign w:val="bottom"/>
          </w:tcPr>
          <w:p>
            <w:pPr>
              <w:ind w:left="460"/>
              <w:spacing w:after="0"/>
              <w:rPr>
                <w:sz w:val="20"/>
                <w:szCs w:val="20"/>
                <w:color w:val="auto"/>
              </w:rPr>
            </w:pPr>
            <w:r>
              <w:rPr>
                <w:rFonts w:ascii="Courier New" w:cs="Courier New" w:eastAsia="Courier New" w:hAnsi="Courier New"/>
                <w:sz w:val="15"/>
                <w:szCs w:val="15"/>
                <w:color w:val="auto"/>
              </w:rPr>
              <w:t>Vested benefit obligation</w:t>
            </w:r>
          </w:p>
        </w:tc>
        <w:tc>
          <w:tcPr>
            <w:tcW w:w="16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$ 132</w:t>
            </w: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$ 108</w:t>
            </w: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3600" w:type="dxa"/>
            <w:vAlign w:val="bottom"/>
          </w:tcPr>
          <w:p>
            <w:pPr>
              <w:ind w:left="460"/>
              <w:spacing w:after="0"/>
              <w:rPr>
                <w:sz w:val="20"/>
                <w:szCs w:val="20"/>
                <w:color w:val="auto"/>
              </w:rPr>
            </w:pPr>
            <w:r>
              <w:rPr>
                <w:rFonts w:ascii="Courier New" w:cs="Courier New" w:eastAsia="Courier New" w:hAnsi="Courier New"/>
                <w:sz w:val="15"/>
                <w:szCs w:val="15"/>
                <w:color w:val="auto"/>
              </w:rPr>
              <w:t>Accumulated benefit</w:t>
            </w:r>
          </w:p>
        </w:tc>
        <w:tc>
          <w:tcPr>
            <w:tcW w:w="16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3600" w:type="dxa"/>
            <w:vAlign w:val="bottom"/>
          </w:tcPr>
          <w:p>
            <w:pPr>
              <w:ind w:left="640"/>
              <w:spacing w:after="0"/>
              <w:rPr>
                <w:sz w:val="20"/>
                <w:szCs w:val="20"/>
                <w:color w:val="auto"/>
              </w:rPr>
            </w:pPr>
            <w:r>
              <w:rPr>
                <w:rFonts w:ascii="Courier New" w:cs="Courier New" w:eastAsia="Courier New" w:hAnsi="Courier New"/>
                <w:sz w:val="15"/>
                <w:szCs w:val="15"/>
                <w:color w:val="auto"/>
              </w:rPr>
              <w:t>obligation</w:t>
            </w:r>
          </w:p>
        </w:tc>
        <w:tc>
          <w:tcPr>
            <w:tcW w:w="16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$ 132</w:t>
            </w: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$ 108</w:t>
            </w: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3600" w:type="dxa"/>
            <w:vAlign w:val="bottom"/>
          </w:tcPr>
          <w:p>
            <w:pPr>
              <w:ind w:left="460"/>
              <w:spacing w:after="0"/>
              <w:rPr>
                <w:sz w:val="20"/>
                <w:szCs w:val="20"/>
                <w:color w:val="auto"/>
              </w:rPr>
            </w:pPr>
            <w:r>
              <w:rPr>
                <w:rFonts w:ascii="Courier New" w:cs="Courier New" w:eastAsia="Courier New" w:hAnsi="Courier New"/>
                <w:sz w:val="15"/>
                <w:szCs w:val="15"/>
                <w:color w:val="auto"/>
              </w:rPr>
              <w:t>Projected benefit obligation</w:t>
            </w:r>
          </w:p>
        </w:tc>
        <w:tc>
          <w:tcPr>
            <w:tcW w:w="16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$ 150</w:t>
            </w: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$ 129</w:t>
            </w: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Plan assets at market value</w:t>
            </w:r>
          </w:p>
        </w:tc>
        <w:tc>
          <w:tcPr>
            <w:tcW w:w="16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276</w:t>
            </w: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222</w:t>
            </w: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Excess of assets over</w:t>
            </w:r>
          </w:p>
        </w:tc>
        <w:tc>
          <w:tcPr>
            <w:tcW w:w="16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3600" w:type="dxa"/>
            <w:vAlign w:val="bottom"/>
          </w:tcPr>
          <w:p>
            <w:pPr>
              <w:ind w:left="460"/>
              <w:spacing w:after="0"/>
              <w:rPr>
                <w:sz w:val="20"/>
                <w:szCs w:val="20"/>
                <w:color w:val="auto"/>
              </w:rPr>
            </w:pPr>
            <w:r>
              <w:rPr>
                <w:rFonts w:ascii="Courier New" w:cs="Courier New" w:eastAsia="Courier New" w:hAnsi="Courier New"/>
                <w:sz w:val="15"/>
                <w:szCs w:val="15"/>
                <w:color w:val="auto"/>
              </w:rPr>
              <w:t>projected benefit obligation</w:t>
            </w:r>
          </w:p>
        </w:tc>
        <w:tc>
          <w:tcPr>
            <w:tcW w:w="16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126</w:t>
            </w: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93</w:t>
            </w: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Unrecognized net gain</w:t>
            </w:r>
          </w:p>
        </w:tc>
        <w:tc>
          <w:tcPr>
            <w:tcW w:w="16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(111)</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(85)</w:t>
            </w: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Unrecognized prior service cost</w:t>
            </w:r>
          </w:p>
        </w:tc>
        <w:tc>
          <w:tcPr>
            <w:tcW w:w="16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w:t>
            </w: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w:t>
            </w: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Unrecognized net asset</w:t>
            </w:r>
          </w:p>
        </w:tc>
        <w:tc>
          <w:tcPr>
            <w:tcW w:w="16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3600" w:type="dxa"/>
            <w:vAlign w:val="bottom"/>
          </w:tcPr>
          <w:p>
            <w:pPr>
              <w:ind w:left="460"/>
              <w:spacing w:after="0"/>
              <w:rPr>
                <w:sz w:val="20"/>
                <w:szCs w:val="20"/>
                <w:color w:val="auto"/>
              </w:rPr>
            </w:pPr>
            <w:r>
              <w:rPr>
                <w:rFonts w:ascii="Courier New" w:cs="Courier New" w:eastAsia="Courier New" w:hAnsi="Courier New"/>
                <w:sz w:val="15"/>
                <w:szCs w:val="15"/>
                <w:color w:val="auto"/>
              </w:rPr>
              <w:t>at transition date</w:t>
            </w:r>
          </w:p>
        </w:tc>
        <w:tc>
          <w:tcPr>
            <w:tcW w:w="16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w:t>
            </w: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Pension asset</w:t>
            </w:r>
          </w:p>
        </w:tc>
        <w:tc>
          <w:tcPr>
            <w:tcW w:w="16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15</w:t>
            </w: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   7</w:t>
            </w: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assumed discount rate and rate of compensation increases used to determine the projected benefit obligation were 8% and 5%, respectively; the expected long-term rate of return on plan assets was 8.5%. Plan assets consist of common stocks ($219 million), cash or cash equivalents ($6 million) and fixed income investments ($52 million). None of the plan assets represents Schlumberger Limited Common Stock.</w:t>
      </w:r>
    </w:p>
    <w:p>
      <w:pPr>
        <w:spacing w:after="0" w:line="176" w:lineRule="exact"/>
        <w:rPr>
          <w:sz w:val="20"/>
          <w:szCs w:val="20"/>
          <w:color w:val="auto"/>
        </w:rPr>
      </w:pPr>
    </w:p>
    <w:p>
      <w:pPr>
        <w:ind w:right="2839" w:firstLine="461"/>
        <w:spacing w:after="0" w:line="252" w:lineRule="auto"/>
        <w:rPr>
          <w:sz w:val="20"/>
          <w:szCs w:val="20"/>
          <w:color w:val="auto"/>
        </w:rPr>
      </w:pPr>
      <w:r>
        <w:rPr>
          <w:rFonts w:ascii="Courier New" w:cs="Courier New" w:eastAsia="Courier New" w:hAnsi="Courier New"/>
          <w:sz w:val="15"/>
          <w:szCs w:val="15"/>
          <w:color w:val="auto"/>
        </w:rPr>
        <w:t>For defined contribution plans, funding and cost are generally based upon a predetermined percentage of employee compensation. Charges to expense in 1996, 1995 and 1994 were $15 million, $14 million and $12 million, respectively.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DEFERRED BENEFITS</w:t>
      </w:r>
    </w:p>
    <w:p>
      <w:pPr>
        <w:spacing w:after="0" w:line="185" w:lineRule="exact"/>
        <w:rPr>
          <w:sz w:val="20"/>
          <w:szCs w:val="20"/>
          <w:color w:val="auto"/>
        </w:rPr>
      </w:pPr>
    </w:p>
    <w:p>
      <w:pPr>
        <w:jc w:val="both"/>
        <w:ind w:right="2839"/>
        <w:spacing w:after="0" w:line="252" w:lineRule="auto"/>
        <w:rPr>
          <w:sz w:val="20"/>
          <w:szCs w:val="20"/>
          <w:color w:val="auto"/>
        </w:rPr>
      </w:pPr>
      <w:r>
        <w:rPr>
          <w:rFonts w:ascii="Courier New" w:cs="Courier New" w:eastAsia="Courier New" w:hAnsi="Courier New"/>
          <w:sz w:val="15"/>
          <w:szCs w:val="15"/>
          <w:color w:val="auto"/>
        </w:rPr>
        <w:t>In addition to providing pension benefits, the Company and its subsidiaries have other deferred benefit programs. Expense for these programs was $93 million, $80 million and $71 million in 1996, 1995 and 1994, respectively.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HEALTH CARE BENEFITS</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The Company and its US subsidiary provide health care benefits for certain active employees. The cost of providing these benefits is recognized as expense when incurred and aggregated $38 million, $37 million and $34 million in 1996, 1995 and 1994, respectively. Outside of the United States, such benefits are mostly provided through government-sponsored programs.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POSTRETIREMENT BENEFITS OTHER THAN PENSIONS</w:t>
      </w:r>
    </w:p>
    <w:p>
      <w:pPr>
        <w:spacing w:after="0" w:line="185" w:lineRule="exact"/>
        <w:rPr>
          <w:sz w:val="20"/>
          <w:szCs w:val="20"/>
          <w:color w:val="auto"/>
        </w:rPr>
      </w:pPr>
    </w:p>
    <w:p>
      <w:pPr>
        <w:ind w:right="2839"/>
        <w:spacing w:after="0" w:line="253" w:lineRule="auto"/>
        <w:rPr>
          <w:sz w:val="20"/>
          <w:szCs w:val="20"/>
          <w:color w:val="auto"/>
        </w:rPr>
      </w:pPr>
      <w:r>
        <w:rPr>
          <w:rFonts w:ascii="Courier New" w:cs="Courier New" w:eastAsia="Courier New" w:hAnsi="Courier New"/>
          <w:sz w:val="15"/>
          <w:szCs w:val="15"/>
          <w:color w:val="auto"/>
        </w:rPr>
        <w:t>The Company and its US subsidiary provide certain health care benefits to former employees who have retired under the US pension plans.</w:t>
      </w:r>
    </w:p>
    <w:p>
      <w:pPr>
        <w:spacing w:after="0" w:line="174"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In 1996, service cost and interest cost expenses were $13 million and $26 million, respectively, compared to $12 million and $25 million in 1995. The principal actuarial assumptions used to measure the above-mentioned costs were a discount rate of 7.5% in 1996 and 7.5% in 1995, and a medical cost trend rate of 10% graded to 6% over the next six years and 6% thereafter.</w:t>
      </w:r>
    </w:p>
    <w:p>
      <w:pPr>
        <w:spacing w:after="0" w:line="35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19"/>
          </w:cols>
          <w:pgMar w:left="240" w:top="828" w:right="1440" w:bottom="0" w:gutter="0" w:footer="0" w:header="0"/>
        </w:sectPr>
      </w:pPr>
    </w:p>
    <w:bookmarkStart w:id="41" w:name="page42"/>
    <w:bookmarkEnd w:id="41"/>
    <w:p>
      <w:pPr>
        <w:ind w:left="460"/>
        <w:spacing w:after="0"/>
        <w:rPr>
          <w:sz w:val="20"/>
          <w:szCs w:val="20"/>
          <w:color w:val="auto"/>
        </w:rPr>
      </w:pPr>
      <w:r>
        <w:rPr>
          <w:rFonts w:ascii="Courier New" w:cs="Courier New" w:eastAsia="Courier New" w:hAnsi="Courier New"/>
          <w:sz w:val="15"/>
          <w:szCs w:val="15"/>
          <w:color w:val="auto"/>
        </w:rPr>
        <w:t>The funded status at December 31, 1996 and 1995,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60" w:type="dxa"/>
            <w:vAlign w:val="bottom"/>
          </w:tcPr>
          <w:p>
            <w:pPr>
              <w:spacing w:after="0"/>
              <w:rPr>
                <w:sz w:val="14"/>
                <w:szCs w:val="14"/>
                <w:color w:val="auto"/>
              </w:rPr>
            </w:pPr>
          </w:p>
        </w:tc>
        <w:tc>
          <w:tcPr>
            <w:tcW w:w="2220" w:type="dxa"/>
            <w:vAlign w:val="bottom"/>
            <w:gridSpan w:val="3"/>
          </w:tcPr>
          <w:p>
            <w:pPr>
              <w:jc w:val="right"/>
              <w:ind w:right="103"/>
              <w:spacing w:after="0"/>
              <w:rPr>
                <w:sz w:val="20"/>
                <w:szCs w:val="20"/>
                <w:color w:val="auto"/>
              </w:rPr>
            </w:pPr>
            <w:r>
              <w:rPr>
                <w:rFonts w:ascii="Courier New" w:cs="Courier New" w:eastAsia="Courier New" w:hAnsi="Courier New"/>
                <w:sz w:val="15"/>
                <w:szCs w:val="15"/>
                <w:color w:val="auto"/>
              </w:rPr>
              <w:t>(Stated in millions)</w:t>
            </w:r>
          </w:p>
        </w:tc>
      </w:tr>
      <w:tr>
        <w:trPr>
          <w:trHeight w:val="177"/>
        </w:trPr>
        <w:tc>
          <w:tcPr>
            <w:tcW w:w="3860" w:type="dxa"/>
            <w:vAlign w:val="bottom"/>
          </w:tcPr>
          <w:p>
            <w:pPr>
              <w:spacing w:after="0"/>
              <w:rPr>
                <w:sz w:val="15"/>
                <w:szCs w:val="15"/>
                <w:color w:val="auto"/>
              </w:rPr>
            </w:pPr>
          </w:p>
        </w:tc>
        <w:tc>
          <w:tcPr>
            <w:tcW w:w="15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5"/>
                <w:szCs w:val="15"/>
                <w:color w:val="auto"/>
              </w:rPr>
            </w:pP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4"/>
              </w:rPr>
              <w:t>1995</w:t>
            </w:r>
          </w:p>
        </w:tc>
      </w:tr>
      <w:tr>
        <w:trPr>
          <w:trHeight w:val="177"/>
        </w:trPr>
        <w:tc>
          <w:tcPr>
            <w:tcW w:w="38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860" w:type="dxa"/>
            <w:vAlign w:val="bottom"/>
          </w:tcPr>
          <w:p>
            <w:pPr>
              <w:spacing w:after="0"/>
              <w:rPr>
                <w:sz w:val="20"/>
                <w:szCs w:val="20"/>
                <w:color w:val="auto"/>
              </w:rPr>
            </w:pPr>
            <w:r>
              <w:rPr>
                <w:rFonts w:ascii="Courier New" w:cs="Courier New" w:eastAsia="Courier New" w:hAnsi="Courier New"/>
                <w:sz w:val="15"/>
                <w:szCs w:val="15"/>
                <w:color w:val="auto"/>
              </w:rPr>
              <w:t>Accumulated postretirement</w:t>
            </w: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7"/>
        </w:trPr>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benefit obligation:</w:t>
            </w: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7"/>
        </w:trPr>
        <w:tc>
          <w:tcPr>
            <w:tcW w:w="3860" w:type="dxa"/>
            <w:vAlign w:val="bottom"/>
          </w:tcPr>
          <w:p>
            <w:pPr>
              <w:ind w:left="460"/>
              <w:spacing w:after="0"/>
              <w:rPr>
                <w:sz w:val="20"/>
                <w:szCs w:val="20"/>
                <w:color w:val="auto"/>
              </w:rPr>
            </w:pPr>
            <w:r>
              <w:rPr>
                <w:rFonts w:ascii="Courier New" w:cs="Courier New" w:eastAsia="Courier New" w:hAnsi="Courier New"/>
                <w:sz w:val="15"/>
                <w:szCs w:val="15"/>
                <w:color w:val="auto"/>
              </w:rPr>
              <w:t>Retirees</w:t>
            </w:r>
          </w:p>
        </w:tc>
        <w:tc>
          <w:tcPr>
            <w:tcW w:w="15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$ 143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173</w:t>
            </w:r>
          </w:p>
        </w:tc>
      </w:tr>
      <w:tr>
        <w:trPr>
          <w:trHeight w:val="177"/>
        </w:trPr>
        <w:tc>
          <w:tcPr>
            <w:tcW w:w="3860" w:type="dxa"/>
            <w:vAlign w:val="bottom"/>
          </w:tcPr>
          <w:p>
            <w:pPr>
              <w:ind w:left="460"/>
              <w:spacing w:after="0"/>
              <w:rPr>
                <w:sz w:val="20"/>
                <w:szCs w:val="20"/>
                <w:color w:val="auto"/>
              </w:rPr>
            </w:pPr>
            <w:r>
              <w:rPr>
                <w:rFonts w:ascii="Courier New" w:cs="Courier New" w:eastAsia="Courier New" w:hAnsi="Courier New"/>
                <w:sz w:val="15"/>
                <w:szCs w:val="15"/>
                <w:color w:val="auto"/>
              </w:rPr>
              <w:t>Fully eligible</w:t>
            </w:r>
          </w:p>
        </w:tc>
        <w:tc>
          <w:tcPr>
            <w:tcW w:w="15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8</w:t>
            </w:r>
          </w:p>
        </w:tc>
        <w:tc>
          <w:tcPr>
            <w:tcW w:w="140" w:type="dxa"/>
            <w:vAlign w:val="bottom"/>
          </w:tcPr>
          <w:p>
            <w:pPr>
              <w:spacing w:after="0"/>
              <w:rPr>
                <w:sz w:val="15"/>
                <w:szCs w:val="15"/>
                <w:color w:val="auto"/>
              </w:rPr>
            </w:pP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w:t>
            </w:r>
          </w:p>
        </w:tc>
      </w:tr>
      <w:tr>
        <w:trPr>
          <w:trHeight w:val="177"/>
        </w:trPr>
        <w:tc>
          <w:tcPr>
            <w:tcW w:w="3860" w:type="dxa"/>
            <w:vAlign w:val="bottom"/>
          </w:tcPr>
          <w:p>
            <w:pPr>
              <w:ind w:left="460"/>
              <w:spacing w:after="0"/>
              <w:rPr>
                <w:sz w:val="20"/>
                <w:szCs w:val="20"/>
                <w:color w:val="auto"/>
              </w:rPr>
            </w:pPr>
            <w:r>
              <w:rPr>
                <w:rFonts w:ascii="Courier New" w:cs="Courier New" w:eastAsia="Courier New" w:hAnsi="Courier New"/>
                <w:sz w:val="15"/>
                <w:szCs w:val="15"/>
                <w:color w:val="auto"/>
              </w:rPr>
              <w:t>Actives</w:t>
            </w:r>
          </w:p>
        </w:tc>
        <w:tc>
          <w:tcPr>
            <w:tcW w:w="15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135</w:t>
            </w:r>
          </w:p>
        </w:tc>
        <w:tc>
          <w:tcPr>
            <w:tcW w:w="140" w:type="dxa"/>
            <w:vAlign w:val="bottom"/>
          </w:tcPr>
          <w:p>
            <w:pPr>
              <w:spacing w:after="0"/>
              <w:rPr>
                <w:sz w:val="15"/>
                <w:szCs w:val="15"/>
                <w:color w:val="auto"/>
              </w:rPr>
            </w:pP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181</w:t>
            </w:r>
          </w:p>
        </w:tc>
      </w:tr>
      <w:tr>
        <w:trPr>
          <w:trHeight w:val="177"/>
        </w:trPr>
        <w:tc>
          <w:tcPr>
            <w:tcW w:w="38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860" w:type="dxa"/>
            <w:vAlign w:val="bottom"/>
          </w:tcPr>
          <w:p>
            <w:pPr>
              <w:spacing w:after="0"/>
              <w:rPr>
                <w:sz w:val="15"/>
                <w:szCs w:val="15"/>
                <w:color w:val="auto"/>
              </w:rPr>
            </w:pPr>
          </w:p>
        </w:tc>
        <w:tc>
          <w:tcPr>
            <w:tcW w:w="15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$286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360</w:t>
            </w:r>
          </w:p>
        </w:tc>
      </w:tr>
      <w:tr>
        <w:trPr>
          <w:trHeight w:val="177"/>
        </w:trPr>
        <w:tc>
          <w:tcPr>
            <w:tcW w:w="3860" w:type="dxa"/>
            <w:vAlign w:val="bottom"/>
          </w:tcPr>
          <w:p>
            <w:pPr>
              <w:spacing w:after="0"/>
              <w:rPr>
                <w:sz w:val="20"/>
                <w:szCs w:val="20"/>
                <w:color w:val="auto"/>
              </w:rPr>
            </w:pPr>
            <w:r>
              <w:rPr>
                <w:rFonts w:ascii="Courier New" w:cs="Courier New" w:eastAsia="Courier New" w:hAnsi="Courier New"/>
                <w:sz w:val="15"/>
                <w:szCs w:val="15"/>
                <w:color w:val="auto"/>
              </w:rPr>
              <w:t>Unrecognized net gain (loss)</w:t>
            </w:r>
          </w:p>
        </w:tc>
        <w:tc>
          <w:tcPr>
            <w:tcW w:w="15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92</w:t>
            </w:r>
          </w:p>
        </w:tc>
        <w:tc>
          <w:tcPr>
            <w:tcW w:w="140" w:type="dxa"/>
            <w:vAlign w:val="bottom"/>
          </w:tcPr>
          <w:p>
            <w:pPr>
              <w:spacing w:after="0"/>
              <w:rPr>
                <w:sz w:val="15"/>
                <w:szCs w:val="15"/>
                <w:color w:val="auto"/>
              </w:rPr>
            </w:pPr>
          </w:p>
        </w:tc>
        <w:tc>
          <w:tcPr>
            <w:tcW w:w="540" w:type="dxa"/>
            <w:vAlign w:val="bottom"/>
          </w:tcPr>
          <w:p>
            <w:pPr>
              <w:jc w:val="right"/>
              <w:ind w:right="3"/>
              <w:spacing w:after="0"/>
              <w:rPr>
                <w:sz w:val="20"/>
                <w:szCs w:val="20"/>
                <w:color w:val="auto"/>
              </w:rPr>
            </w:pPr>
            <w:r>
              <w:rPr>
                <w:rFonts w:ascii="Courier New" w:cs="Courier New" w:eastAsia="Courier New" w:hAnsi="Courier New"/>
                <w:sz w:val="15"/>
                <w:szCs w:val="15"/>
                <w:color w:val="auto"/>
              </w:rPr>
              <w:t>(5)</w:t>
            </w:r>
          </w:p>
        </w:tc>
      </w:tr>
      <w:tr>
        <w:trPr>
          <w:trHeight w:val="177"/>
        </w:trPr>
        <w:tc>
          <w:tcPr>
            <w:tcW w:w="3860" w:type="dxa"/>
            <w:vAlign w:val="bottom"/>
          </w:tcPr>
          <w:p>
            <w:pPr>
              <w:spacing w:after="0"/>
              <w:rPr>
                <w:sz w:val="20"/>
                <w:szCs w:val="20"/>
                <w:color w:val="auto"/>
              </w:rPr>
            </w:pPr>
            <w:r>
              <w:rPr>
                <w:rFonts w:ascii="Courier New" w:cs="Courier New" w:eastAsia="Courier New" w:hAnsi="Courier New"/>
                <w:sz w:val="15"/>
                <w:szCs w:val="15"/>
                <w:color w:val="auto"/>
              </w:rPr>
              <w:t>Unrecognized prior service</w:t>
            </w:r>
          </w:p>
        </w:tc>
        <w:tc>
          <w:tcPr>
            <w:tcW w:w="15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w:t>
            </w:r>
          </w:p>
        </w:tc>
        <w:tc>
          <w:tcPr>
            <w:tcW w:w="140" w:type="dxa"/>
            <w:vAlign w:val="bottom"/>
          </w:tcPr>
          <w:p>
            <w:pPr>
              <w:spacing w:after="0"/>
              <w:rPr>
                <w:sz w:val="15"/>
                <w:szCs w:val="15"/>
                <w:color w:val="auto"/>
              </w:rPr>
            </w:pP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38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860" w:type="dxa"/>
            <w:vAlign w:val="bottom"/>
          </w:tcPr>
          <w:p>
            <w:pPr>
              <w:spacing w:after="0"/>
              <w:rPr>
                <w:sz w:val="20"/>
                <w:szCs w:val="20"/>
                <w:color w:val="auto"/>
              </w:rPr>
            </w:pPr>
            <w:r>
              <w:rPr>
                <w:rFonts w:ascii="Courier New" w:cs="Courier New" w:eastAsia="Courier New" w:hAnsi="Courier New"/>
                <w:sz w:val="15"/>
                <w:szCs w:val="15"/>
                <w:color w:val="auto"/>
              </w:rPr>
              <w:t>Postretirement benefit</w:t>
            </w: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7"/>
        </w:trPr>
        <w:tc>
          <w:tcPr>
            <w:tcW w:w="3860" w:type="dxa"/>
            <w:vAlign w:val="bottom"/>
          </w:tcPr>
          <w:p>
            <w:pPr>
              <w:ind w:left="460"/>
              <w:spacing w:after="0"/>
              <w:rPr>
                <w:sz w:val="20"/>
                <w:szCs w:val="20"/>
                <w:color w:val="auto"/>
              </w:rPr>
            </w:pPr>
            <w:r>
              <w:rPr>
                <w:rFonts w:ascii="Courier New" w:cs="Courier New" w:eastAsia="Courier New" w:hAnsi="Courier New"/>
                <w:sz w:val="15"/>
                <w:szCs w:val="15"/>
                <w:color w:val="auto"/>
              </w:rPr>
              <w:t>liability at December 31</w:t>
            </w:r>
          </w:p>
        </w:tc>
        <w:tc>
          <w:tcPr>
            <w:tcW w:w="15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$ 383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355</w:t>
            </w:r>
          </w:p>
        </w:tc>
      </w:tr>
      <w:tr>
        <w:trPr>
          <w:trHeight w:val="177"/>
        </w:trPr>
        <w:tc>
          <w:tcPr>
            <w:tcW w:w="38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 assumed discount rate used to determine the accumulated postretirement benefit obligation was 8% for 1996 and 7.5% in 1995. At December 31, 1996, the medical cost trend rate has been lowered to reflect actual experience over the last four years to 9% graded to 5% over the next six years and 5% thereafter.</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If the assumed medical cost trend rate was increased by one percentage point, health care cost in 1996 would have been $45 million, and the accumulated postretirement benefit obligation would have been $324 million at December 31, 1996.</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Supplementary Information</w:t>
      </w:r>
    </w:p>
    <w:p>
      <w:pPr>
        <w:spacing w:after="0" w:line="185"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5"/>
          <w:szCs w:val="15"/>
          <w:color w:val="auto"/>
        </w:rPr>
        <w:t>Operating revenue and related cost of goods sold and services comprised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80" w:type="dxa"/>
            <w:vAlign w:val="bottom"/>
          </w:tcPr>
          <w:p>
            <w:pPr>
              <w:spacing w:after="0"/>
              <w:rPr>
                <w:sz w:val="14"/>
                <w:szCs w:val="14"/>
                <w:color w:val="auto"/>
              </w:rPr>
            </w:pPr>
          </w:p>
        </w:tc>
        <w:tc>
          <w:tcPr>
            <w:tcW w:w="2860" w:type="dxa"/>
            <w:vAlign w:val="bottom"/>
            <w:gridSpan w:val="3"/>
          </w:tcPr>
          <w:p>
            <w:pPr>
              <w:jc w:val="right"/>
              <w:ind w:right="123"/>
              <w:spacing w:after="0"/>
              <w:rPr>
                <w:sz w:val="20"/>
                <w:szCs w:val="20"/>
                <w:color w:val="auto"/>
              </w:rPr>
            </w:pPr>
            <w:r>
              <w:rPr>
                <w:rFonts w:ascii="Courier New" w:cs="Courier New" w:eastAsia="Courier New" w:hAnsi="Courier New"/>
                <w:sz w:val="15"/>
                <w:szCs w:val="15"/>
                <w:color w:val="auto"/>
              </w:rPr>
              <w:t>(Stated in millions)</w:t>
            </w:r>
          </w:p>
        </w:tc>
      </w:tr>
      <w:tr>
        <w:trPr>
          <w:trHeight w:val="177"/>
        </w:trPr>
        <w:tc>
          <w:tcPr>
            <w:tcW w:w="2680" w:type="dxa"/>
            <w:vAlign w:val="bottom"/>
          </w:tcPr>
          <w:p>
            <w:pPr>
              <w:spacing w:after="0"/>
              <w:rPr>
                <w:sz w:val="20"/>
                <w:szCs w:val="20"/>
                <w:color w:val="auto"/>
              </w:rPr>
            </w:pPr>
            <w:r>
              <w:rPr>
                <w:rFonts w:ascii="Courier New" w:cs="Courier New" w:eastAsia="Courier New" w:hAnsi="Courier New"/>
                <w:sz w:val="15"/>
                <w:szCs w:val="15"/>
                <w:color w:val="auto"/>
              </w:rPr>
              <w:t>Year ended</w:t>
            </w: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7"/>
        </w:trPr>
        <w:tc>
          <w:tcPr>
            <w:tcW w:w="2680" w:type="dxa"/>
            <w:vAlign w:val="bottom"/>
          </w:tcPr>
          <w:p>
            <w:pPr>
              <w:ind w:left="180"/>
              <w:spacing w:after="0"/>
              <w:rPr>
                <w:sz w:val="20"/>
                <w:szCs w:val="20"/>
                <w:color w:val="auto"/>
              </w:rPr>
            </w:pPr>
            <w:r>
              <w:rPr>
                <w:rFonts w:ascii="Courier New" w:cs="Courier New" w:eastAsia="Courier New" w:hAnsi="Courier New"/>
                <w:sz w:val="15"/>
                <w:szCs w:val="15"/>
                <w:color w:val="auto"/>
              </w:rPr>
              <w:t>December 31,</w:t>
            </w:r>
          </w:p>
        </w:tc>
        <w:tc>
          <w:tcPr>
            <w:tcW w:w="12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1996</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1995</w:t>
            </w:r>
          </w:p>
        </w:tc>
        <w:tc>
          <w:tcPr>
            <w:tcW w:w="8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1994</w:t>
            </w:r>
          </w:p>
        </w:tc>
      </w:tr>
      <w:tr>
        <w:trPr>
          <w:trHeight w:val="177"/>
        </w:trPr>
        <w:tc>
          <w:tcPr>
            <w:tcW w:w="26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68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7"/>
        </w:trPr>
        <w:tc>
          <w:tcPr>
            <w:tcW w:w="2680" w:type="dxa"/>
            <w:vAlign w:val="bottom"/>
          </w:tcPr>
          <w:p>
            <w:pPr>
              <w:ind w:left="460"/>
              <w:spacing w:after="0"/>
              <w:rPr>
                <w:sz w:val="20"/>
                <w:szCs w:val="20"/>
                <w:color w:val="auto"/>
              </w:rPr>
            </w:pPr>
            <w:r>
              <w:rPr>
                <w:rFonts w:ascii="Courier New" w:cs="Courier New" w:eastAsia="Courier New" w:hAnsi="Courier New"/>
                <w:sz w:val="15"/>
                <w:szCs w:val="15"/>
                <w:color w:val="auto"/>
              </w:rPr>
              <w:t>Sales</w:t>
            </w:r>
          </w:p>
        </w:tc>
        <w:tc>
          <w:tcPr>
            <w:tcW w:w="12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$2,428</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$2,372</w:t>
            </w:r>
          </w:p>
        </w:tc>
        <w:tc>
          <w:tcPr>
            <w:tcW w:w="8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$2,019</w:t>
            </w:r>
          </w:p>
        </w:tc>
      </w:tr>
      <w:tr>
        <w:trPr>
          <w:trHeight w:val="177"/>
        </w:trPr>
        <w:tc>
          <w:tcPr>
            <w:tcW w:w="2680" w:type="dxa"/>
            <w:vAlign w:val="bottom"/>
          </w:tcPr>
          <w:p>
            <w:pPr>
              <w:ind w:left="460"/>
              <w:spacing w:after="0"/>
              <w:rPr>
                <w:sz w:val="20"/>
                <w:szCs w:val="20"/>
                <w:color w:val="auto"/>
              </w:rPr>
            </w:pPr>
            <w:r>
              <w:rPr>
                <w:rFonts w:ascii="Courier New" w:cs="Courier New" w:eastAsia="Courier New" w:hAnsi="Courier New"/>
                <w:sz w:val="15"/>
                <w:szCs w:val="15"/>
                <w:color w:val="auto"/>
              </w:rPr>
              <w:t>Services</w:t>
            </w:r>
          </w:p>
        </w:tc>
        <w:tc>
          <w:tcPr>
            <w:tcW w:w="12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6,528</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5,250</w:t>
            </w:r>
          </w:p>
        </w:tc>
        <w:tc>
          <w:tcPr>
            <w:tcW w:w="8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4,678</w:t>
            </w:r>
          </w:p>
        </w:tc>
      </w:tr>
      <w:tr>
        <w:trPr>
          <w:trHeight w:val="177"/>
        </w:trPr>
        <w:tc>
          <w:tcPr>
            <w:tcW w:w="26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680" w:type="dxa"/>
            <w:vAlign w:val="bottom"/>
          </w:tcPr>
          <w:p>
            <w:pPr>
              <w:spacing w:after="0"/>
              <w:rPr>
                <w:sz w:val="15"/>
                <w:szCs w:val="15"/>
                <w:color w:val="auto"/>
              </w:rPr>
            </w:pPr>
          </w:p>
        </w:tc>
        <w:tc>
          <w:tcPr>
            <w:tcW w:w="12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$8,956</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$7,622</w:t>
            </w:r>
          </w:p>
        </w:tc>
        <w:tc>
          <w:tcPr>
            <w:tcW w:w="8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$6,697</w:t>
            </w:r>
          </w:p>
        </w:tc>
      </w:tr>
      <w:tr>
        <w:trPr>
          <w:trHeight w:val="177"/>
        </w:trPr>
        <w:tc>
          <w:tcPr>
            <w:tcW w:w="26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2680" w:type="dxa"/>
            <w:vAlign w:val="bottom"/>
          </w:tcPr>
          <w:p>
            <w:pPr>
              <w:spacing w:after="0"/>
              <w:rPr>
                <w:sz w:val="20"/>
                <w:szCs w:val="20"/>
                <w:color w:val="auto"/>
              </w:rPr>
            </w:pPr>
            <w:r>
              <w:rPr>
                <w:rFonts w:ascii="Courier New" w:cs="Courier New" w:eastAsia="Courier New" w:hAnsi="Courier New"/>
                <w:sz w:val="15"/>
                <w:szCs w:val="15"/>
                <w:color w:val="auto"/>
              </w:rPr>
              <w:t>Direct operating costs</w:t>
            </w: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7"/>
        </w:trPr>
        <w:tc>
          <w:tcPr>
            <w:tcW w:w="2680" w:type="dxa"/>
            <w:vAlign w:val="bottom"/>
          </w:tcPr>
          <w:p>
            <w:pPr>
              <w:ind w:left="460"/>
              <w:spacing w:after="0"/>
              <w:rPr>
                <w:sz w:val="20"/>
                <w:szCs w:val="20"/>
                <w:color w:val="auto"/>
              </w:rPr>
            </w:pPr>
            <w:r>
              <w:rPr>
                <w:rFonts w:ascii="Courier New" w:cs="Courier New" w:eastAsia="Courier New" w:hAnsi="Courier New"/>
                <w:sz w:val="15"/>
                <w:szCs w:val="15"/>
                <w:color w:val="auto"/>
              </w:rPr>
              <w:t>Goods sold</w:t>
            </w:r>
          </w:p>
        </w:tc>
        <w:tc>
          <w:tcPr>
            <w:tcW w:w="12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$1,704</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$1,645</w:t>
            </w:r>
          </w:p>
        </w:tc>
        <w:tc>
          <w:tcPr>
            <w:tcW w:w="8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$1,372</w:t>
            </w:r>
          </w:p>
        </w:tc>
      </w:tr>
      <w:tr>
        <w:trPr>
          <w:trHeight w:val="177"/>
        </w:trPr>
        <w:tc>
          <w:tcPr>
            <w:tcW w:w="2680" w:type="dxa"/>
            <w:vAlign w:val="bottom"/>
          </w:tcPr>
          <w:p>
            <w:pPr>
              <w:ind w:left="460"/>
              <w:spacing w:after="0"/>
              <w:rPr>
                <w:sz w:val="20"/>
                <w:szCs w:val="20"/>
                <w:color w:val="auto"/>
              </w:rPr>
            </w:pPr>
            <w:r>
              <w:rPr>
                <w:rFonts w:ascii="Courier New" w:cs="Courier New" w:eastAsia="Courier New" w:hAnsi="Courier New"/>
                <w:sz w:val="15"/>
                <w:szCs w:val="15"/>
                <w:color w:val="auto"/>
              </w:rPr>
              <w:t>Services</w:t>
            </w:r>
          </w:p>
        </w:tc>
        <w:tc>
          <w:tcPr>
            <w:tcW w:w="12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5,131</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4,159</w:t>
            </w:r>
          </w:p>
        </w:tc>
        <w:tc>
          <w:tcPr>
            <w:tcW w:w="8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3,736</w:t>
            </w:r>
          </w:p>
        </w:tc>
      </w:tr>
      <w:tr>
        <w:trPr>
          <w:trHeight w:val="177"/>
        </w:trPr>
        <w:tc>
          <w:tcPr>
            <w:tcW w:w="26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680" w:type="dxa"/>
            <w:vAlign w:val="bottom"/>
          </w:tcPr>
          <w:p>
            <w:pPr>
              <w:spacing w:after="0"/>
              <w:rPr>
                <w:sz w:val="15"/>
                <w:szCs w:val="15"/>
                <w:color w:val="auto"/>
              </w:rPr>
            </w:pPr>
          </w:p>
        </w:tc>
        <w:tc>
          <w:tcPr>
            <w:tcW w:w="12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$6,835</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$5,804</w:t>
            </w:r>
          </w:p>
        </w:tc>
        <w:tc>
          <w:tcPr>
            <w:tcW w:w="8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$5,108</w:t>
            </w:r>
          </w:p>
        </w:tc>
      </w:tr>
      <w:tr>
        <w:trPr>
          <w:trHeight w:val="177"/>
        </w:trPr>
        <w:tc>
          <w:tcPr>
            <w:tcW w:w="26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Cash paid for interest and income taxes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60" w:type="dxa"/>
            <w:vAlign w:val="bottom"/>
            <w:gridSpan w:val="5"/>
          </w:tcPr>
          <w:p>
            <w:pPr>
              <w:jc w:val="right"/>
              <w:ind w:right="123"/>
              <w:spacing w:after="0"/>
              <w:rPr>
                <w:sz w:val="20"/>
                <w:szCs w:val="20"/>
                <w:color w:val="auto"/>
              </w:rPr>
            </w:pPr>
            <w:r>
              <w:rPr>
                <w:rFonts w:ascii="Courier New" w:cs="Courier New" w:eastAsia="Courier New" w:hAnsi="Courier New"/>
                <w:sz w:val="15"/>
                <w:szCs w:val="15"/>
                <w:color w:val="auto"/>
              </w:rPr>
              <w:t>(Stated in millions)</w:t>
            </w:r>
          </w:p>
        </w:tc>
      </w:tr>
      <w:tr>
        <w:trPr>
          <w:trHeight w:val="177"/>
        </w:trPr>
        <w:tc>
          <w:tcPr>
            <w:tcW w:w="2440" w:type="dxa"/>
            <w:vAlign w:val="bottom"/>
          </w:tcPr>
          <w:p>
            <w:pPr>
              <w:spacing w:after="0"/>
              <w:rPr>
                <w:sz w:val="20"/>
                <w:szCs w:val="20"/>
                <w:color w:val="auto"/>
              </w:rPr>
            </w:pPr>
            <w:r>
              <w:rPr>
                <w:rFonts w:ascii="Courier New" w:cs="Courier New" w:eastAsia="Courier New" w:hAnsi="Courier New"/>
                <w:sz w:val="15"/>
                <w:szCs w:val="15"/>
                <w:color w:val="auto"/>
              </w:rPr>
              <w:t>Year ended</w:t>
            </w: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7"/>
        </w:trPr>
        <w:tc>
          <w:tcPr>
            <w:tcW w:w="2440" w:type="dxa"/>
            <w:vAlign w:val="bottom"/>
          </w:tcPr>
          <w:p>
            <w:pPr>
              <w:ind w:left="460"/>
              <w:spacing w:after="0"/>
              <w:rPr>
                <w:sz w:val="20"/>
                <w:szCs w:val="20"/>
                <w:color w:val="auto"/>
              </w:rPr>
            </w:pPr>
            <w:r>
              <w:rPr>
                <w:rFonts w:ascii="Courier New" w:cs="Courier New" w:eastAsia="Courier New" w:hAnsi="Courier New"/>
                <w:sz w:val="15"/>
                <w:szCs w:val="15"/>
                <w:color w:val="auto"/>
              </w:rPr>
              <w:t>December 31,</w:t>
            </w:r>
          </w:p>
        </w:tc>
        <w:tc>
          <w:tcPr>
            <w:tcW w:w="840" w:type="dxa"/>
            <w:vAlign w:val="bottom"/>
          </w:tcPr>
          <w:p>
            <w:pPr>
              <w:spacing w:after="0"/>
              <w:rPr>
                <w:sz w:val="15"/>
                <w:szCs w:val="15"/>
                <w:color w:val="auto"/>
              </w:rPr>
            </w:pPr>
          </w:p>
        </w:tc>
        <w:tc>
          <w:tcPr>
            <w:tcW w:w="6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5"/>
                <w:szCs w:val="15"/>
                <w:color w:val="auto"/>
              </w:rPr>
            </w:pPr>
          </w:p>
        </w:tc>
        <w:tc>
          <w:tcPr>
            <w:tcW w:w="6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1995</w:t>
            </w:r>
          </w:p>
        </w:tc>
        <w:tc>
          <w:tcPr>
            <w:tcW w:w="200" w:type="dxa"/>
            <w:vAlign w:val="bottom"/>
          </w:tcPr>
          <w:p>
            <w:pPr>
              <w:spacing w:after="0"/>
              <w:rPr>
                <w:sz w:val="15"/>
                <w:szCs w:val="15"/>
                <w:color w:val="auto"/>
              </w:rPr>
            </w:pPr>
          </w:p>
        </w:tc>
        <w:tc>
          <w:tcPr>
            <w:tcW w:w="6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1994</w:t>
            </w:r>
          </w:p>
        </w:tc>
      </w:tr>
      <w:tr>
        <w:trPr>
          <w:trHeight w:val="177"/>
        </w:trPr>
        <w:tc>
          <w:tcPr>
            <w:tcW w:w="24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44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81</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64</w:t>
            </w:r>
          </w:p>
        </w:tc>
      </w:tr>
      <w:tr>
        <w:trPr>
          <w:trHeight w:val="177"/>
        </w:trPr>
        <w:tc>
          <w:tcPr>
            <w:tcW w:w="24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44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179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132</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148</w:t>
            </w:r>
          </w:p>
        </w:tc>
      </w:tr>
      <w:tr>
        <w:trPr>
          <w:trHeight w:val="177"/>
        </w:trPr>
        <w:tc>
          <w:tcPr>
            <w:tcW w:w="24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Accounts payable and accrued liabilities are summarized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(Stated</w:t>
            </w:r>
          </w:p>
        </w:tc>
        <w:tc>
          <w:tcPr>
            <w:tcW w:w="1380" w:type="dxa"/>
            <w:vAlign w:val="bottom"/>
            <w:gridSpan w:val="3"/>
          </w:tcPr>
          <w:p>
            <w:pPr>
              <w:jc w:val="right"/>
              <w:ind w:right="103"/>
              <w:spacing w:after="0"/>
              <w:rPr>
                <w:sz w:val="20"/>
                <w:szCs w:val="20"/>
                <w:color w:val="auto"/>
              </w:rPr>
            </w:pPr>
            <w:r>
              <w:rPr>
                <w:rFonts w:ascii="Courier New" w:cs="Courier New" w:eastAsia="Courier New" w:hAnsi="Courier New"/>
                <w:sz w:val="15"/>
                <w:szCs w:val="15"/>
                <w:color w:val="auto"/>
              </w:rPr>
              <w:t>in millions)</w:t>
            </w: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780" w:type="dxa"/>
            <w:vAlign w:val="bottom"/>
          </w:tcPr>
          <w:p>
            <w:pPr>
              <w:spacing w:after="0"/>
              <w:rPr>
                <w:sz w:val="15"/>
                <w:szCs w:val="15"/>
                <w:color w:val="auto"/>
              </w:rPr>
            </w:pPr>
          </w:p>
        </w:tc>
        <w:tc>
          <w:tcPr>
            <w:tcW w:w="60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4"/>
              </w:rPr>
              <w:t>1996</w:t>
            </w:r>
          </w:p>
        </w:tc>
        <w:tc>
          <w:tcPr>
            <w:tcW w:w="140" w:type="dxa"/>
            <w:vAlign w:val="bottom"/>
          </w:tcPr>
          <w:p>
            <w:pPr>
              <w:spacing w:after="0"/>
              <w:rPr>
                <w:sz w:val="15"/>
                <w:szCs w:val="15"/>
                <w:color w:val="auto"/>
              </w:rPr>
            </w:pPr>
          </w:p>
        </w:tc>
        <w:tc>
          <w:tcPr>
            <w:tcW w:w="6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1995</w:t>
            </w: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Payroll, vacation and</w:t>
            </w: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540" w:type="dxa"/>
            <w:vAlign w:val="bottom"/>
          </w:tcPr>
          <w:p>
            <w:pPr>
              <w:ind w:left="460"/>
              <w:spacing w:after="0"/>
              <w:rPr>
                <w:sz w:val="20"/>
                <w:szCs w:val="20"/>
                <w:color w:val="auto"/>
              </w:rPr>
            </w:pPr>
            <w:r>
              <w:rPr>
                <w:rFonts w:ascii="Courier New" w:cs="Courier New" w:eastAsia="Courier New" w:hAnsi="Courier New"/>
                <w:sz w:val="15"/>
                <w:szCs w:val="15"/>
                <w:color w:val="auto"/>
              </w:rPr>
              <w:t>employee benefits</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488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425</w:t>
            </w: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Trade</w:t>
            </w:r>
          </w:p>
        </w:tc>
        <w:tc>
          <w:tcPr>
            <w:tcW w:w="780" w:type="dxa"/>
            <w:vAlign w:val="bottom"/>
          </w:tcPr>
          <w:p>
            <w:pPr>
              <w:spacing w:after="0"/>
              <w:rPr>
                <w:sz w:val="15"/>
                <w:szCs w:val="15"/>
                <w:color w:val="auto"/>
              </w:rPr>
            </w:pPr>
          </w:p>
        </w:tc>
        <w:tc>
          <w:tcPr>
            <w:tcW w:w="6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712</w:t>
            </w:r>
          </w:p>
        </w:tc>
        <w:tc>
          <w:tcPr>
            <w:tcW w:w="140" w:type="dxa"/>
            <w:vAlign w:val="bottom"/>
          </w:tcPr>
          <w:p>
            <w:pPr>
              <w:spacing w:after="0"/>
              <w:rPr>
                <w:sz w:val="15"/>
                <w:szCs w:val="15"/>
                <w:color w:val="auto"/>
              </w:rPr>
            </w:pPr>
          </w:p>
        </w:tc>
        <w:tc>
          <w:tcPr>
            <w:tcW w:w="6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564</w:t>
            </w: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Taxes, other than income</w:t>
            </w:r>
          </w:p>
        </w:tc>
        <w:tc>
          <w:tcPr>
            <w:tcW w:w="780" w:type="dxa"/>
            <w:vAlign w:val="bottom"/>
          </w:tcPr>
          <w:p>
            <w:pPr>
              <w:spacing w:after="0"/>
              <w:rPr>
                <w:sz w:val="15"/>
                <w:szCs w:val="15"/>
                <w:color w:val="auto"/>
              </w:rPr>
            </w:pPr>
          </w:p>
        </w:tc>
        <w:tc>
          <w:tcPr>
            <w:tcW w:w="6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182</w:t>
            </w:r>
          </w:p>
        </w:tc>
        <w:tc>
          <w:tcPr>
            <w:tcW w:w="140" w:type="dxa"/>
            <w:vAlign w:val="bottom"/>
          </w:tcPr>
          <w:p>
            <w:pPr>
              <w:spacing w:after="0"/>
              <w:rPr>
                <w:sz w:val="15"/>
                <w:szCs w:val="15"/>
                <w:color w:val="auto"/>
              </w:rPr>
            </w:pPr>
          </w:p>
        </w:tc>
        <w:tc>
          <w:tcPr>
            <w:tcW w:w="6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156</w:t>
            </w: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780" w:type="dxa"/>
            <w:vAlign w:val="bottom"/>
          </w:tcPr>
          <w:p>
            <w:pPr>
              <w:spacing w:after="0"/>
              <w:rPr>
                <w:sz w:val="15"/>
                <w:szCs w:val="15"/>
                <w:color w:val="auto"/>
              </w:rPr>
            </w:pPr>
          </w:p>
        </w:tc>
        <w:tc>
          <w:tcPr>
            <w:tcW w:w="6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818</w:t>
            </w:r>
          </w:p>
        </w:tc>
        <w:tc>
          <w:tcPr>
            <w:tcW w:w="140" w:type="dxa"/>
            <w:vAlign w:val="bottom"/>
          </w:tcPr>
          <w:p>
            <w:pPr>
              <w:spacing w:after="0"/>
              <w:rPr>
                <w:sz w:val="15"/>
                <w:szCs w:val="15"/>
                <w:color w:val="auto"/>
              </w:rPr>
            </w:pPr>
          </w:p>
        </w:tc>
        <w:tc>
          <w:tcPr>
            <w:tcW w:w="6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629</w:t>
            </w: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540" w:type="dxa"/>
            <w:vAlign w:val="bottom"/>
          </w:tcPr>
          <w:p>
            <w:pPr>
              <w:spacing w:after="0"/>
              <w:rPr>
                <w:sz w:val="15"/>
                <w:szCs w:val="15"/>
                <w:color w:val="auto"/>
              </w:rPr>
            </w:pPr>
          </w:p>
        </w:tc>
        <w:tc>
          <w:tcPr>
            <w:tcW w:w="138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$2,200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7"/>
              </w:rPr>
              <w:t>1,774</w:t>
            </w: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 caption "Interest and other income" includes interest income, principally from short-term and long-term investments, of $73 million, $89 million and $78 million for 1996, 1995 and 1994, respectively, partially offset by the Company's share of the loss of the Omnes joint venture of $5 million in 1996.</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F-17</w:t>
      </w:r>
    </w:p>
    <w:sectPr>
      <w:pgSz w:w="11900" w:h="16838" w:orient="portrait"/>
      <w:cols w:equalWidth="0" w:num="1">
        <w:col w:w="10219"/>
      </w:cols>
      <w:pgMar w:left="240" w:top="828" w:right="1440" w:bottom="72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upperLetter"/>
      <w:start w:val="24"/>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4"/>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6"/>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
      <w:numFmt w:val="bullet"/>
      <w:start w:val="1"/>
    </w:lvl>
    <w:lvl w:ilvl="1">
      <w:lvlJc w:val="left"/>
      <w:lvlText w:val="(%2)"/>
      <w:numFmt w:val="decimal"/>
      <w:start w:val="1"/>
    </w:lvl>
  </w:abstractNum>
  <w:abstractNum w:abstractNumId="10">
    <w:nsid w:val="3F2DBA31"/>
    <w:multiLevelType w:val="hybridMultilevel"/>
    <w:lvl w:ilvl="0">
      <w:lvlJc w:val="left"/>
      <w:lvlText w:val="(%1)"/>
      <w:numFmt w:val="decimal"/>
      <w:start w:val="1"/>
    </w:lvl>
    <w:lvl w:ilvl="1">
      <w:lvlJc w:val="left"/>
      <w:lvlText w:val="(%2)"/>
      <w:numFmt w:val="lowerLetter"/>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65"/>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amp;"/>
      <w:numFmt w:val="bullet"/>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2019-12-13T06:38:10Z</dcterms:created>
  <dcterms:modified xsi:type="dcterms:W3CDTF">2019-12-13T06:38:10Z</dcterms:modified>
</cp:coreProperties>
</file>