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Farrant Simon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02/01/2014</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440"/>
              <w:spacing w:after="0"/>
              <w:rPr>
                <w:sz w:val="20"/>
                <w:szCs w:val="20"/>
                <w:color w:val="auto"/>
              </w:rPr>
            </w:pPr>
            <w:r>
              <w:rPr>
                <w:rFonts w:ascii="Arial" w:cs="Arial" w:eastAsia="Arial" w:hAnsi="Arial"/>
                <w:sz w:val="18"/>
                <w:szCs w:val="18"/>
                <w:color w:val="0000FF"/>
              </w:rPr>
              <w:t>VP Investor Relations</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40" w:type="dxa"/>
            <w:vAlign w:val="bottom"/>
          </w:tcPr>
          <w:p>
            <w:pPr>
              <w:jc w:val="right"/>
              <w:ind w:right="934"/>
              <w:spacing w:after="0"/>
              <w:rPr>
                <w:sz w:val="20"/>
                <w:szCs w:val="20"/>
                <w:color w:val="auto"/>
              </w:rPr>
            </w:pPr>
            <w:r>
              <w:rPr>
                <w:rFonts w:ascii="Arial" w:cs="Arial" w:eastAsia="Arial" w:hAnsi="Arial"/>
                <w:sz w:val="18"/>
                <w:szCs w:val="18"/>
                <w:color w:val="0000FF"/>
              </w:rPr>
              <w:t>4,061</w:t>
            </w:r>
          </w:p>
        </w:tc>
        <w:tc>
          <w:tcPr>
            <w:tcW w:w="700" w:type="dxa"/>
            <w:vAlign w:val="bottom"/>
          </w:tcPr>
          <w:p>
            <w:pPr>
              <w:ind w:left="4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90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4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01/17/2009</w:t>
            </w:r>
            <w:r>
              <w:rPr>
                <w:rFonts w:ascii="Arial" w:cs="Arial" w:eastAsia="Arial" w:hAnsi="Arial"/>
                <w:sz w:val="22"/>
                <w:szCs w:val="22"/>
                <w:color w:val="008000"/>
                <w:w w:val="84"/>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6"/>
              </w:rPr>
              <w:t>674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01/17/2009</w:t>
            </w:r>
            <w:r>
              <w:rPr>
                <w:rFonts w:ascii="Arial" w:cs="Arial" w:eastAsia="Arial" w:hAnsi="Arial"/>
                <w:sz w:val="22"/>
                <w:szCs w:val="22"/>
                <w:color w:val="008000"/>
                <w:w w:val="84"/>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2,326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07/17/2009</w:t>
            </w:r>
            <w:r>
              <w:rPr>
                <w:rFonts w:ascii="Arial" w:cs="Arial" w:eastAsia="Arial" w:hAnsi="Arial"/>
                <w:sz w:val="22"/>
                <w:szCs w:val="22"/>
                <w:color w:val="008000"/>
                <w:w w:val="84"/>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07/17/2018</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3,970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97.225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07/17/2009</w:t>
            </w:r>
            <w:r>
              <w:rPr>
                <w:rFonts w:ascii="Arial" w:cs="Arial" w:eastAsia="Arial" w:hAnsi="Arial"/>
                <w:sz w:val="22"/>
                <w:szCs w:val="22"/>
                <w:color w:val="008000"/>
                <w:w w:val="84"/>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07/17/2018</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1,030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97.225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10/22/2010</w:t>
            </w:r>
            <w:r>
              <w:rPr>
                <w:rFonts w:ascii="Arial" w:cs="Arial" w:eastAsia="Arial" w:hAnsi="Arial"/>
                <w:sz w:val="22"/>
                <w:szCs w:val="22"/>
                <w:color w:val="008000"/>
                <w:w w:val="84"/>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10/22/2019</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1,727</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67.87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04/22/2011</w:t>
            </w:r>
            <w:r>
              <w:rPr>
                <w:rFonts w:ascii="Arial" w:cs="Arial" w:eastAsia="Arial" w:hAnsi="Arial"/>
                <w:sz w:val="22"/>
                <w:szCs w:val="22"/>
                <w:color w:val="008000"/>
                <w:w w:val="84"/>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04/22/2020</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10,521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67.595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09/01/2011</w:t>
            </w:r>
            <w:r>
              <w:rPr>
                <w:rFonts w:ascii="Arial" w:cs="Arial" w:eastAsia="Arial" w:hAnsi="Arial"/>
                <w:sz w:val="22"/>
                <w:szCs w:val="22"/>
                <w:color w:val="008000"/>
                <w:w w:val="84"/>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09/01/2020</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12,000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54.655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01/19/2013</w:t>
            </w:r>
            <w:r>
              <w:rPr>
                <w:rFonts w:ascii="Arial" w:cs="Arial" w:eastAsia="Arial" w:hAnsi="Arial"/>
                <w:sz w:val="22"/>
                <w:szCs w:val="22"/>
                <w:color w:val="008000"/>
                <w:w w:val="84"/>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5,228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10/22/2010</w:t>
            </w:r>
            <w:r>
              <w:rPr>
                <w:rFonts w:ascii="Arial" w:cs="Arial" w:eastAsia="Arial" w:hAnsi="Arial"/>
                <w:sz w:val="22"/>
                <w:szCs w:val="22"/>
                <w:color w:val="008000"/>
                <w:w w:val="84"/>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10/22/2019</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1,473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67.87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01/19/2013</w:t>
            </w:r>
            <w:r>
              <w:rPr>
                <w:rFonts w:ascii="Arial" w:cs="Arial" w:eastAsia="Arial" w:hAnsi="Arial"/>
                <w:sz w:val="22"/>
                <w:szCs w:val="22"/>
                <w:color w:val="008000"/>
                <w:w w:val="84"/>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2,772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04/22/2011</w:t>
            </w:r>
            <w:r>
              <w:rPr>
                <w:rFonts w:ascii="Arial" w:cs="Arial" w:eastAsia="Arial" w:hAnsi="Arial"/>
                <w:sz w:val="22"/>
                <w:szCs w:val="22"/>
                <w:color w:val="008000"/>
                <w:w w:val="84"/>
                <w:vertAlign w:val="superscript"/>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04/22/2020</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1,479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67.595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3"/>
              </w:rPr>
              <w:t>04/19/2015</w:t>
            </w:r>
            <w:r>
              <w:rPr>
                <w:rFonts w:ascii="Arial" w:cs="Arial" w:eastAsia="Arial" w:hAnsi="Arial"/>
                <w:sz w:val="22"/>
                <w:szCs w:val="22"/>
                <w:color w:val="008000"/>
                <w:w w:val="83"/>
                <w:vertAlign w:val="superscript"/>
              </w:rPr>
              <w:t>(10)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04/19/2022</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w w:val="96"/>
              </w:rPr>
              <w:t>NQ Stock Option (right to buy) w/tandem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3"/>
              </w:rPr>
              <w:t>04/18/2014</w:t>
            </w:r>
            <w:r>
              <w:rPr>
                <w:rFonts w:ascii="Arial" w:cs="Arial" w:eastAsia="Arial" w:hAnsi="Arial"/>
                <w:sz w:val="22"/>
                <w:szCs w:val="22"/>
                <w:color w:val="008000"/>
                <w:w w:val="83"/>
                <w:vertAlign w:val="superscript"/>
              </w:rPr>
              <w:t>(11)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04/18/2023</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70.925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3"/>
              </w:rPr>
              <w:t>01/16/2015</w:t>
            </w:r>
            <w:r>
              <w:rPr>
                <w:rFonts w:ascii="Arial" w:cs="Arial" w:eastAsia="Arial" w:hAnsi="Arial"/>
                <w:sz w:val="22"/>
                <w:szCs w:val="22"/>
                <w:color w:val="008000"/>
                <w:w w:val="83"/>
                <w:vertAlign w:val="superscript"/>
              </w:rPr>
              <w:t>(12)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01/16/2024</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2,252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88.765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54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011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2011045"/>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4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50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4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50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buy)w/tandem tax</w:t>
            </w:r>
          </w:p>
        </w:tc>
        <w:tc>
          <w:tcPr>
            <w:tcW w:w="1080" w:type="dxa"/>
            <w:vAlign w:val="bottom"/>
            <w:vMerge w:val="restart"/>
          </w:tcPr>
          <w:p>
            <w:pPr>
              <w:jc w:val="right"/>
              <w:ind w:right="12"/>
              <w:spacing w:after="0"/>
              <w:rPr>
                <w:sz w:val="20"/>
                <w:szCs w:val="20"/>
                <w:color w:val="auto"/>
              </w:rPr>
            </w:pPr>
            <w:r>
              <w:rPr>
                <w:rFonts w:ascii="Arial" w:cs="Arial" w:eastAsia="Arial" w:hAnsi="Arial"/>
                <w:sz w:val="14"/>
                <w:szCs w:val="14"/>
                <w:color w:val="0000FF"/>
              </w:rPr>
              <w:t>01/16/2015</w:t>
            </w:r>
            <w:r>
              <w:rPr>
                <w:rFonts w:ascii="Arial" w:cs="Arial" w:eastAsia="Arial" w:hAnsi="Arial"/>
                <w:sz w:val="22"/>
                <w:szCs w:val="22"/>
                <w:color w:val="008000"/>
                <w:vertAlign w:val="superscript"/>
              </w:rPr>
              <w:t>(13)</w:t>
            </w: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0000FF"/>
                <w:w w:val="96"/>
              </w:rPr>
              <w:t>01/16/2024</w:t>
            </w:r>
          </w:p>
        </w:tc>
        <w:tc>
          <w:tcPr>
            <w:tcW w:w="208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680" w:type="dxa"/>
            <w:vAlign w:val="bottom"/>
            <w:vMerge w:val="restart"/>
          </w:tcPr>
          <w:p>
            <w:pPr>
              <w:jc w:val="right"/>
              <w:ind w:right="72"/>
              <w:spacing w:after="0"/>
              <w:rPr>
                <w:sz w:val="20"/>
                <w:szCs w:val="20"/>
                <w:color w:val="auto"/>
              </w:rPr>
            </w:pPr>
            <w:r>
              <w:rPr>
                <w:rFonts w:ascii="Arial" w:cs="Arial" w:eastAsia="Arial" w:hAnsi="Arial"/>
                <w:sz w:val="18"/>
                <w:szCs w:val="18"/>
                <w:color w:val="0000FF"/>
              </w:rPr>
              <w:t>9,748</w:t>
            </w:r>
          </w:p>
        </w:tc>
        <w:tc>
          <w:tcPr>
            <w:tcW w:w="960" w:type="dxa"/>
            <w:vAlign w:val="bottom"/>
            <w:vMerge w:val="restart"/>
          </w:tcPr>
          <w:p>
            <w:pPr>
              <w:jc w:val="right"/>
              <w:ind w:right="212"/>
              <w:spacing w:after="0"/>
              <w:rPr>
                <w:sz w:val="20"/>
                <w:szCs w:val="20"/>
                <w:color w:val="auto"/>
              </w:rPr>
            </w:pPr>
            <w:r>
              <w:rPr>
                <w:rFonts w:ascii="Arial" w:cs="Arial" w:eastAsia="Arial" w:hAnsi="Arial"/>
                <w:sz w:val="18"/>
                <w:szCs w:val="18"/>
                <w:color w:val="0000FF"/>
              </w:rPr>
              <w:t>88.765</w:t>
            </w:r>
          </w:p>
        </w:tc>
        <w:tc>
          <w:tcPr>
            <w:tcW w:w="238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10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6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080" w:type="dxa"/>
            <w:vAlign w:val="bottom"/>
            <w:vMerge w:val="restart"/>
          </w:tcPr>
          <w:p>
            <w:pPr>
              <w:jc w:val="right"/>
              <w:ind w:right="12"/>
              <w:spacing w:after="0"/>
              <w:rPr>
                <w:sz w:val="20"/>
                <w:szCs w:val="20"/>
                <w:color w:val="auto"/>
              </w:rPr>
            </w:pPr>
            <w:r>
              <w:rPr>
                <w:rFonts w:ascii="Arial" w:cs="Arial" w:eastAsia="Arial" w:hAnsi="Arial"/>
                <w:sz w:val="14"/>
                <w:szCs w:val="14"/>
                <w:color w:val="0000FF"/>
              </w:rPr>
              <w:t>01/16/2017</w:t>
            </w:r>
            <w:r>
              <w:rPr>
                <w:rFonts w:ascii="Arial" w:cs="Arial" w:eastAsia="Arial" w:hAnsi="Arial"/>
                <w:sz w:val="22"/>
                <w:szCs w:val="22"/>
                <w:color w:val="008000"/>
                <w:vertAlign w:val="superscript"/>
              </w:rPr>
              <w:t>(14)</w:t>
            </w: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0000FF"/>
                <w:w w:val="96"/>
              </w:rPr>
              <w:t>01/16/2024</w:t>
            </w:r>
          </w:p>
        </w:tc>
        <w:tc>
          <w:tcPr>
            <w:tcW w:w="208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680" w:type="dxa"/>
            <w:vAlign w:val="bottom"/>
            <w:vMerge w:val="restart"/>
          </w:tcPr>
          <w:p>
            <w:pPr>
              <w:jc w:val="right"/>
              <w:ind w:right="72"/>
              <w:spacing w:after="0"/>
              <w:rPr>
                <w:sz w:val="20"/>
                <w:szCs w:val="20"/>
                <w:color w:val="auto"/>
              </w:rPr>
            </w:pPr>
            <w:r>
              <w:rPr>
                <w:rFonts w:ascii="Arial" w:cs="Arial" w:eastAsia="Arial" w:hAnsi="Arial"/>
                <w:sz w:val="18"/>
                <w:szCs w:val="18"/>
                <w:color w:val="0000FF"/>
              </w:rPr>
              <w:t>4,200</w:t>
            </w:r>
          </w:p>
        </w:tc>
        <w:tc>
          <w:tcPr>
            <w:tcW w:w="960" w:type="dxa"/>
            <w:vAlign w:val="bottom"/>
            <w:vMerge w:val="restart"/>
          </w:tcPr>
          <w:p>
            <w:pPr>
              <w:jc w:val="right"/>
              <w:ind w:right="412"/>
              <w:spacing w:after="0"/>
              <w:rPr>
                <w:sz w:val="20"/>
                <w:szCs w:val="20"/>
                <w:color w:val="auto"/>
              </w:rPr>
            </w:pPr>
            <w:r>
              <w:rPr>
                <w:rFonts w:ascii="Arial" w:cs="Arial" w:eastAsia="Arial" w:hAnsi="Arial"/>
                <w:sz w:val="18"/>
                <w:szCs w:val="18"/>
                <w:color w:val="0000FF"/>
              </w:rPr>
              <w:t>0</w:t>
            </w:r>
          </w:p>
        </w:tc>
        <w:tc>
          <w:tcPr>
            <w:tcW w:w="238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6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380"/>
          </w:cols>
          <w:pgMar w:left="260" w:top="188" w:right="259" w:bottom="1440" w:gutter="0" w:footer="0" w:header="0"/>
        </w:sectPr>
      </w:pP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17, 2009.</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July 17, 2009.</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October 22, 2010.</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April 22, 2011.</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September 1, 2011.</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19, 2013.</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October 22, 2010.</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19, 2013.</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April 22, 2011.</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a 3-year cliff vesting and fully vests on April 19, 2015.</w:t>
      </w:r>
    </w:p>
    <w:p>
      <w:pPr>
        <w:spacing w:after="0" w:line="41" w:lineRule="exact"/>
        <w:rPr>
          <w:rFonts w:ascii="Arial" w:cs="Arial" w:eastAsia="Arial" w:hAnsi="Arial"/>
          <w:sz w:val="14"/>
          <w:szCs w:val="14"/>
          <w:color w:val="008000"/>
        </w:rPr>
      </w:pPr>
    </w:p>
    <w:p>
      <w:pPr>
        <w:ind w:left="220" w:hanging="191"/>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Becomes exercisable in five equal annual installments beginning April 18, 2014.</w:t>
      </w:r>
    </w:p>
    <w:p>
      <w:pPr>
        <w:spacing w:after="0" w:line="64" w:lineRule="exact"/>
        <w:rPr>
          <w:rFonts w:ascii="Arial" w:cs="Arial" w:eastAsia="Arial" w:hAnsi="Arial"/>
          <w:sz w:val="12"/>
          <w:szCs w:val="12"/>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January 16, 2015.</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January 16, 2015.</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a 3-year cliff vesting and fully vests on January 16, 2017.</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Power of Attorney - Simon Farrant</w:t>
      </w:r>
    </w:p>
    <w:p>
      <w:pPr>
        <w:spacing w:after="0" w:line="7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Saul R. Laureles,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52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02/07/2014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60"/>
            <w:col w:w="2240"/>
          </w:cols>
          <w:pgMar w:left="260" w:top="188" w:right="25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80"/>
          </w:cols>
          <w:pgMar w:left="260" w:top="188" w:right="25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firstLine="843"/>
        <w:spacing w:after="0" w:line="270"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Saul R. Laureles and Lynda M. Quagliara, or either of them acting singly, his/her true and lawful attorney-in 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w:t>
      </w:r>
    </w:p>
    <w:p>
      <w:pPr>
        <w:spacing w:after="0" w:line="187" w:lineRule="exact"/>
        <w:rPr>
          <w:sz w:val="20"/>
          <w:szCs w:val="20"/>
          <w:color w:val="auto"/>
        </w:rPr>
      </w:pPr>
    </w:p>
    <w:p>
      <w:pPr>
        <w:ind w:right="34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10" w:lineRule="exact"/>
        <w:rPr>
          <w:sz w:val="20"/>
          <w:szCs w:val="20"/>
          <w:color w:val="auto"/>
        </w:rPr>
      </w:pPr>
    </w:p>
    <w:p>
      <w:pPr>
        <w:ind w:right="3579" w:firstLine="843"/>
        <w:spacing w:after="0" w:line="271" w:lineRule="auto"/>
        <w:rPr>
          <w:sz w:val="20"/>
          <w:szCs w:val="20"/>
          <w:color w:val="auto"/>
        </w:rPr>
      </w:pPr>
      <w:r>
        <w:rPr>
          <w:rFonts w:ascii="Courier New" w:cs="Courier New" w:eastAsia="Courier New" w:hAnsi="Courier New"/>
          <w:sz w:val="16"/>
          <w:szCs w:val="16"/>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219"/>
          </w:cols>
          <w:pgMar w:left="240" w:top="136"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17, 2014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Simon Farrant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Simon Farrant</w:t>
      </w:r>
    </w:p>
    <w:p>
      <w:pPr>
        <w:spacing w:after="0" w:line="1" w:lineRule="exact"/>
        <w:rPr>
          <w:sz w:val="20"/>
          <w:szCs w:val="20"/>
          <w:color w:val="auto"/>
        </w:rPr>
      </w:pPr>
    </w:p>
    <w:p>
      <w:pPr>
        <w:sectPr>
          <w:pgSz w:w="11900" w:h="16838" w:orient="portrait"/>
          <w:cols w:equalWidth="0" w:num="2">
            <w:col w:w="4340" w:space="720"/>
            <w:col w:w="5159"/>
          </w:cols>
          <w:pgMar w:left="240" w:top="136"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rsigned?s</w:t>
      </w:r>
    </w:p>
    <w:p>
      <w:pPr>
        <w:spacing w:after="0" w:line="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holdings of and transactions in securities issued by the Company, unless earlier revoked by the undersigned in a signed writing delivered to the foregoing attorneys-in-fact.</w:t>
      </w:r>
    </w:p>
    <w:p>
      <w:pPr>
        <w:sectPr>
          <w:pgSz w:w="11900" w:h="16838" w:orient="portrait"/>
          <w:cols w:equalWidth="0" w:num="1">
            <w:col w:w="1021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17, 2014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Simon Farrant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Simon Farran</w:t>
      </w:r>
    </w:p>
    <w:sectPr>
      <w:pgSz w:w="11900" w:h="16838" w:orient="portrait"/>
      <w:cols w:equalWidth="0" w:num="2">
        <w:col w:w="4340" w:space="720"/>
        <w:col w:w="51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598234"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2019-12-18T11:29:37Z</dcterms:created>
  <dcterms:modified xsi:type="dcterms:W3CDTF">2019-12-18T11:29:37Z</dcterms:modified>
</cp:coreProperties>
</file>