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7045960" cy="5217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217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3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7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7"/>
                </w:rPr>
                <w:t>Guild Howard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gridSpan w:val="4"/>
            <w:vMerge w:val="restart"/>
          </w:tcPr>
          <w:p>
            <w:pPr>
              <w:ind w:left="16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01/18/2023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71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Accounting Officer</w:t>
      </w:r>
    </w:p>
    <w:p>
      <w:pPr>
        <w:spacing w:after="0" w:line="31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6"/>
            <w:col w:w="3354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5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5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35,994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3,607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01/18/2023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3,607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3,607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3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vMerge w:val="restart"/>
          </w:tcPr>
          <w:p>
            <w:pPr>
              <w:jc w:val="center"/>
              <w:ind w:left="321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right to receive, at settlement, one (1) share of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 award was granted January 18, 2023 and vests 100% on January 18, 2026.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Samantha Blons,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01/20/2023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34072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2023-01-20T16:06:19Z</dcterms:created>
  <dcterms:modified xsi:type="dcterms:W3CDTF">2023-01-20T16:06:19Z</dcterms:modified>
</cp:coreProperties>
</file>