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4"/>
          <w:szCs w:val="24"/>
          <w:color w:val="auto"/>
        </w:rPr>
      </w:pPr>
    </w:p>
    <w:p>
      <w:pPr>
        <w:jc w:val="center"/>
        <w:ind w:right="3250"/>
        <w:spacing w:after="0"/>
        <w:rPr>
          <w:sz w:val="20"/>
          <w:szCs w:val="20"/>
          <w:color w:val="auto"/>
        </w:rPr>
      </w:pPr>
      <w:r>
        <w:rPr>
          <w:rFonts w:ascii="Courier New" w:cs="Courier New" w:eastAsia="Courier New" w:hAnsi="Courier New"/>
          <w:sz w:val="15"/>
          <w:szCs w:val="15"/>
          <w:color w:val="auto"/>
        </w:rPr>
        <w:t>UNITED STATES</w:t>
      </w:r>
    </w:p>
    <w:p>
      <w:pPr>
        <w:jc w:val="center"/>
        <w:ind w:right="3350"/>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350"/>
        <w:spacing w:after="0"/>
        <w:rPr>
          <w:sz w:val="20"/>
          <w:szCs w:val="20"/>
          <w:color w:val="auto"/>
        </w:rPr>
      </w:pPr>
      <w:r>
        <w:rPr>
          <w:rFonts w:ascii="Courier New" w:cs="Courier New" w:eastAsia="Courier New" w:hAnsi="Courier New"/>
          <w:sz w:val="15"/>
          <w:szCs w:val="15"/>
          <w:color w:val="auto"/>
        </w:rPr>
        <w:t>Washington, D.C. 20549</w:t>
      </w:r>
    </w:p>
    <w:p>
      <w:pPr>
        <w:spacing w:after="0" w:line="168" w:lineRule="exact"/>
        <w:rPr>
          <w:sz w:val="24"/>
          <w:szCs w:val="24"/>
          <w:color w:val="auto"/>
        </w:rPr>
      </w:pPr>
    </w:p>
    <w:p>
      <w:pPr>
        <w:ind w:left="2650"/>
        <w:spacing w:after="0"/>
        <w:rPr>
          <w:sz w:val="20"/>
          <w:szCs w:val="20"/>
          <w:color w:val="auto"/>
        </w:rPr>
      </w:pPr>
      <w:r>
        <w:rPr>
          <w:rFonts w:ascii="Courier New" w:cs="Courier New" w:eastAsia="Courier New" w:hAnsi="Courier New"/>
          <w:sz w:val="15"/>
          <w:szCs w:val="15"/>
          <w:color w:val="auto"/>
        </w:rPr>
        <w:t>(Amendment No. 7 to)</w:t>
      </w:r>
    </w:p>
    <w:p>
      <w:pPr>
        <w:spacing w:after="0" w:line="169" w:lineRule="exact"/>
        <w:rPr>
          <w:sz w:val="24"/>
          <w:szCs w:val="24"/>
          <w:color w:val="auto"/>
        </w:rPr>
      </w:pPr>
    </w:p>
    <w:p>
      <w:pPr>
        <w:jc w:val="center"/>
        <w:ind w:right="3250"/>
        <w:spacing w:after="0"/>
        <w:rPr>
          <w:sz w:val="20"/>
          <w:szCs w:val="20"/>
          <w:color w:val="auto"/>
        </w:rPr>
      </w:pPr>
      <w:r>
        <w:rPr>
          <w:rFonts w:ascii="Courier New" w:cs="Courier New" w:eastAsia="Courier New" w:hAnsi="Courier New"/>
          <w:sz w:val="15"/>
          <w:szCs w:val="15"/>
          <w:color w:val="auto"/>
        </w:rPr>
        <w:t>SCHEDULE TO</w:t>
      </w:r>
    </w:p>
    <w:p>
      <w:pPr>
        <w:spacing w:after="0" w:line="169" w:lineRule="exact"/>
        <w:rPr>
          <w:sz w:val="24"/>
          <w:szCs w:val="24"/>
          <w:color w:val="auto"/>
        </w:rPr>
      </w:pPr>
    </w:p>
    <w:p>
      <w:pPr>
        <w:ind w:left="970"/>
        <w:spacing w:after="0"/>
        <w:rPr>
          <w:sz w:val="20"/>
          <w:szCs w:val="20"/>
          <w:color w:val="auto"/>
        </w:rPr>
      </w:pPr>
      <w:r>
        <w:rPr>
          <w:rFonts w:ascii="Courier New" w:cs="Courier New" w:eastAsia="Courier New" w:hAnsi="Courier New"/>
          <w:sz w:val="15"/>
          <w:szCs w:val="15"/>
          <w:color w:val="auto"/>
        </w:rPr>
        <w:t>Tender Offer Statement under Section 14(d)(1) or 13(e)(1)</w:t>
      </w:r>
    </w:p>
    <w:p>
      <w:pPr>
        <w:ind w:left="1770"/>
        <w:spacing w:after="0"/>
        <w:rPr>
          <w:sz w:val="20"/>
          <w:szCs w:val="20"/>
          <w:color w:val="auto"/>
        </w:rPr>
      </w:pPr>
      <w:r>
        <w:rPr>
          <w:rFonts w:ascii="Courier New" w:cs="Courier New" w:eastAsia="Courier New" w:hAnsi="Courier New"/>
          <w:sz w:val="15"/>
          <w:szCs w:val="15"/>
          <w:color w:val="auto"/>
        </w:rPr>
        <w:t>of the Securities Exchange Act of 1934</w:t>
      </w:r>
    </w:p>
    <w:p>
      <w:pPr>
        <w:spacing w:after="0" w:line="338" w:lineRule="exact"/>
        <w:rPr>
          <w:sz w:val="24"/>
          <w:szCs w:val="24"/>
          <w:color w:val="auto"/>
        </w:rPr>
      </w:pPr>
    </w:p>
    <w:p>
      <w:pPr>
        <w:ind w:left="3090"/>
        <w:spacing w:after="0"/>
        <w:rPr>
          <w:sz w:val="20"/>
          <w:szCs w:val="20"/>
          <w:color w:val="auto"/>
        </w:rPr>
      </w:pPr>
      <w:r>
        <w:rPr>
          <w:rFonts w:ascii="Courier New" w:cs="Courier New" w:eastAsia="Courier New" w:hAnsi="Courier New"/>
          <w:sz w:val="15"/>
          <w:szCs w:val="15"/>
          <w:color w:val="auto"/>
        </w:rPr>
        <w:t>Sema plc</w:t>
      </w:r>
    </w:p>
    <w:p>
      <w:pPr>
        <w:spacing w:after="0" w:line="5" w:lineRule="exact"/>
        <w:rPr>
          <w:sz w:val="24"/>
          <w:szCs w:val="24"/>
          <w:color w:val="auto"/>
        </w:rPr>
      </w:pPr>
    </w:p>
    <w:p>
      <w:pPr>
        <w:ind w:left="170" w:hanging="170"/>
        <w:spacing w:after="0"/>
        <w:tabs>
          <w:tab w:leader="none" w:pos="17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93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(Name of Subject Company (issuer))</w:t>
      </w:r>
    </w:p>
    <w:p>
      <w:pPr>
        <w:spacing w:after="0" w:line="169" w:lineRule="exact"/>
        <w:rPr>
          <w:sz w:val="24"/>
          <w:szCs w:val="24"/>
          <w:color w:val="auto"/>
        </w:rPr>
      </w:pPr>
    </w:p>
    <w:p>
      <w:pPr>
        <w:ind w:left="1670"/>
        <w:spacing w:after="0"/>
        <w:rPr>
          <w:sz w:val="20"/>
          <w:szCs w:val="20"/>
          <w:color w:val="auto"/>
        </w:rPr>
      </w:pPr>
      <w:r>
        <w:rPr>
          <w:rFonts w:ascii="Courier New" w:cs="Courier New" w:eastAsia="Courier New" w:hAnsi="Courier New"/>
          <w:sz w:val="15"/>
          <w:szCs w:val="15"/>
          <w:color w:val="auto"/>
        </w:rPr>
        <w:t>Schlumberger N.V. (Schlumberger Limited)</w:t>
      </w:r>
    </w:p>
    <w:p>
      <w:pPr>
        <w:ind w:left="2830"/>
        <w:spacing w:after="0"/>
        <w:rPr>
          <w:sz w:val="20"/>
          <w:szCs w:val="20"/>
          <w:color w:val="auto"/>
        </w:rPr>
      </w:pPr>
      <w:r>
        <w:rPr>
          <w:rFonts w:ascii="Courier New" w:cs="Courier New" w:eastAsia="Courier New" w:hAnsi="Courier New"/>
          <w:sz w:val="15"/>
          <w:szCs w:val="15"/>
          <w:color w:val="auto"/>
        </w:rPr>
        <w:t>Schlumberger BV</w:t>
      </w:r>
    </w:p>
    <w:p>
      <w:pPr>
        <w:ind w:left="2290"/>
        <w:spacing w:after="0"/>
        <w:rPr>
          <w:sz w:val="20"/>
          <w:szCs w:val="20"/>
          <w:color w:val="auto"/>
        </w:rPr>
      </w:pPr>
      <w:r>
        <w:rPr>
          <w:rFonts w:ascii="Courier New" w:cs="Courier New" w:eastAsia="Courier New" w:hAnsi="Courier New"/>
          <w:sz w:val="15"/>
          <w:szCs w:val="15"/>
          <w:color w:val="auto"/>
        </w:rPr>
        <w:t>Schlumberger Industries SA</w:t>
      </w:r>
    </w:p>
    <w:p>
      <w:pPr>
        <w:ind w:left="2390"/>
        <w:spacing w:after="0" w:line="238" w:lineRule="auto"/>
        <w:rPr>
          <w:sz w:val="20"/>
          <w:szCs w:val="20"/>
          <w:color w:val="auto"/>
        </w:rPr>
      </w:pPr>
      <w:r>
        <w:rPr>
          <w:rFonts w:ascii="Courier New" w:cs="Courier New" w:eastAsia="Courier New" w:hAnsi="Courier New"/>
          <w:sz w:val="15"/>
          <w:szCs w:val="15"/>
          <w:color w:val="auto"/>
        </w:rPr>
        <w:t>Schlumberger Investments</w:t>
      </w:r>
    </w:p>
    <w:p>
      <w:pPr>
        <w:spacing w:after="0" w:line="5" w:lineRule="exact"/>
        <w:rPr>
          <w:sz w:val="24"/>
          <w:szCs w:val="24"/>
          <w:color w:val="auto"/>
        </w:rPr>
      </w:pPr>
    </w:p>
    <w:p>
      <w:pPr>
        <w:ind w:left="170" w:hanging="170"/>
        <w:spacing w:after="0"/>
        <w:tabs>
          <w:tab w:leader="none" w:pos="17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93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(Names of Filing Persons--Offeror)</w:t>
      </w:r>
    </w:p>
    <w:p>
      <w:pPr>
        <w:spacing w:after="0" w:line="169" w:lineRule="exact"/>
        <w:rPr>
          <w:sz w:val="24"/>
          <w:szCs w:val="24"/>
          <w:color w:val="auto"/>
        </w:rPr>
      </w:pPr>
    </w:p>
    <w:p>
      <w:pPr>
        <w:ind w:left="2110"/>
        <w:spacing w:after="0"/>
        <w:rPr>
          <w:sz w:val="20"/>
          <w:szCs w:val="20"/>
          <w:color w:val="auto"/>
        </w:rPr>
      </w:pPr>
      <w:r>
        <w:rPr>
          <w:rFonts w:ascii="Courier New" w:cs="Courier New" w:eastAsia="Courier New" w:hAnsi="Courier New"/>
          <w:sz w:val="15"/>
          <w:szCs w:val="15"/>
          <w:color w:val="auto"/>
        </w:rPr>
        <w:t>Ordinary Shares Nominal Value of 10 pence Each</w:t>
      </w:r>
    </w:p>
    <w:p>
      <w:pPr>
        <w:spacing w:after="0" w:line="5" w:lineRule="exact"/>
        <w:rPr>
          <w:sz w:val="24"/>
          <w:szCs w:val="24"/>
          <w:color w:val="auto"/>
        </w:rPr>
      </w:pPr>
    </w:p>
    <w:p>
      <w:pPr>
        <w:ind w:left="170" w:hanging="170"/>
        <w:spacing w:after="0"/>
        <w:tabs>
          <w:tab w:leader="none" w:pos="17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21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(Title of Class of Securities)</w:t>
      </w:r>
    </w:p>
    <w:p>
      <w:pPr>
        <w:spacing w:after="0" w:line="169" w:lineRule="exact"/>
        <w:rPr>
          <w:sz w:val="24"/>
          <w:szCs w:val="24"/>
          <w:color w:val="auto"/>
        </w:rPr>
      </w:pPr>
    </w:p>
    <w:p>
      <w:pPr>
        <w:ind w:left="3090"/>
        <w:spacing w:after="0"/>
        <w:rPr>
          <w:sz w:val="20"/>
          <w:szCs w:val="20"/>
          <w:color w:val="auto"/>
        </w:rPr>
      </w:pPr>
      <w:r>
        <w:rPr>
          <w:rFonts w:ascii="Courier New" w:cs="Courier New" w:eastAsia="Courier New" w:hAnsi="Courier New"/>
          <w:sz w:val="15"/>
          <w:szCs w:val="15"/>
          <w:color w:val="auto"/>
        </w:rPr>
        <w:t>81661R100</w:t>
      </w:r>
    </w:p>
    <w:p>
      <w:pPr>
        <w:spacing w:after="0" w:line="5" w:lineRule="exact"/>
        <w:rPr>
          <w:sz w:val="24"/>
          <w:szCs w:val="24"/>
          <w:color w:val="auto"/>
        </w:rPr>
      </w:pPr>
    </w:p>
    <w:p>
      <w:pPr>
        <w:ind w:left="170" w:hanging="170"/>
        <w:spacing w:after="0"/>
        <w:tabs>
          <w:tab w:leader="none" w:pos="17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85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(CUSIP Number of Class of Securities)</w:t>
      </w: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jc w:val="center"/>
        <w:ind w:right="3350"/>
        <w:spacing w:after="0"/>
        <w:rPr>
          <w:sz w:val="20"/>
          <w:szCs w:val="20"/>
          <w:color w:val="auto"/>
        </w:rPr>
      </w:pPr>
      <w:r>
        <w:rPr>
          <w:rFonts w:ascii="Courier New" w:cs="Courier New" w:eastAsia="Courier New" w:hAnsi="Courier New"/>
          <w:sz w:val="15"/>
          <w:szCs w:val="15"/>
          <w:color w:val="auto"/>
        </w:rPr>
        <w:t>COPY TO:</w:t>
      </w:r>
    </w:p>
    <w:p>
      <w:pPr>
        <w:spacing w:after="0" w:line="169" w:lineRule="exact"/>
        <w:rPr>
          <w:sz w:val="24"/>
          <w:szCs w:val="24"/>
          <w:color w:val="auto"/>
        </w:rPr>
      </w:pPr>
    </w:p>
    <w:p>
      <w:pPr>
        <w:ind w:left="2650"/>
        <w:spacing w:after="0"/>
        <w:rPr>
          <w:sz w:val="20"/>
          <w:szCs w:val="20"/>
          <w:color w:val="auto"/>
        </w:rPr>
      </w:pPr>
      <w:r>
        <w:rPr>
          <w:rFonts w:ascii="Courier New" w:cs="Courier New" w:eastAsia="Courier New" w:hAnsi="Courier New"/>
          <w:sz w:val="15"/>
          <w:szCs w:val="15"/>
          <w:color w:val="auto"/>
        </w:rPr>
        <w:t>Sarah Murphy, Esq.</w:t>
      </w:r>
    </w:p>
    <w:p>
      <w:pPr>
        <w:ind w:left="2110"/>
        <w:spacing w:after="0"/>
        <w:rPr>
          <w:sz w:val="20"/>
          <w:szCs w:val="20"/>
          <w:color w:val="auto"/>
        </w:rPr>
      </w:pPr>
      <w:r>
        <w:rPr>
          <w:rFonts w:ascii="Courier New" w:cs="Courier New" w:eastAsia="Courier New" w:hAnsi="Courier New"/>
          <w:sz w:val="15"/>
          <w:szCs w:val="15"/>
          <w:color w:val="auto"/>
        </w:rPr>
        <w:t>Freshfields Bruckhaus Deringer</w:t>
      </w:r>
    </w:p>
    <w:p>
      <w:pPr>
        <w:ind w:left="2830"/>
        <w:spacing w:after="0"/>
        <w:rPr>
          <w:sz w:val="20"/>
          <w:szCs w:val="20"/>
          <w:color w:val="auto"/>
        </w:rPr>
      </w:pPr>
      <w:r>
        <w:rPr>
          <w:rFonts w:ascii="Courier New" w:cs="Courier New" w:eastAsia="Courier New" w:hAnsi="Courier New"/>
          <w:sz w:val="15"/>
          <w:szCs w:val="15"/>
          <w:color w:val="auto"/>
        </w:rPr>
        <w:t>65 Fleet Street</w:t>
      </w:r>
    </w:p>
    <w:p>
      <w:pPr>
        <w:ind w:left="2830"/>
        <w:spacing w:after="0" w:line="238" w:lineRule="auto"/>
        <w:rPr>
          <w:sz w:val="20"/>
          <w:szCs w:val="20"/>
          <w:color w:val="auto"/>
        </w:rPr>
      </w:pPr>
      <w:r>
        <w:rPr>
          <w:rFonts w:ascii="Courier New" w:cs="Courier New" w:eastAsia="Courier New" w:hAnsi="Courier New"/>
          <w:sz w:val="15"/>
          <w:szCs w:val="15"/>
          <w:color w:val="auto"/>
        </w:rPr>
        <w:t>London EC4Y 1HS</w:t>
      </w:r>
    </w:p>
    <w:p>
      <w:pPr>
        <w:ind w:left="2650"/>
        <w:spacing w:after="0"/>
        <w:rPr>
          <w:sz w:val="20"/>
          <w:szCs w:val="20"/>
          <w:color w:val="auto"/>
        </w:rPr>
      </w:pPr>
      <w:r>
        <w:rPr>
          <w:rFonts w:ascii="Courier New" w:cs="Courier New" w:eastAsia="Courier New" w:hAnsi="Courier New"/>
          <w:sz w:val="15"/>
          <w:szCs w:val="15"/>
          <w:color w:val="auto"/>
        </w:rPr>
        <w:t>+44 (20) 7832-7429</w:t>
      </w:r>
    </w:p>
    <w:p>
      <w:pPr>
        <w:spacing w:after="0" w:line="174" w:lineRule="exact"/>
        <w:rPr>
          <w:sz w:val="24"/>
          <w:szCs w:val="24"/>
          <w:color w:val="auto"/>
        </w:rPr>
      </w:pPr>
    </w:p>
    <w:p>
      <w:pPr>
        <w:ind w:left="170" w:hanging="170"/>
        <w:spacing w:after="0"/>
        <w:tabs>
          <w:tab w:leader="none" w:pos="17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89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(Name, address, and telephone numbers of person authorized</w:t>
      </w:r>
    </w:p>
    <w:p>
      <w:pPr>
        <w:ind w:left="530"/>
        <w:spacing w:after="0"/>
        <w:rPr>
          <w:sz w:val="20"/>
          <w:szCs w:val="20"/>
          <w:color w:val="auto"/>
        </w:rPr>
      </w:pPr>
      <w:r>
        <w:rPr>
          <w:rFonts w:ascii="Courier New" w:cs="Courier New" w:eastAsia="Courier New" w:hAnsi="Courier New"/>
          <w:sz w:val="15"/>
          <w:szCs w:val="15"/>
          <w:color w:val="auto"/>
        </w:rPr>
        <w:t>to receive notices and communications on behalf of filing persons)</w:t>
      </w:r>
    </w:p>
    <w:p>
      <w:pPr>
        <w:spacing w:after="0" w:line="338" w:lineRule="exact"/>
        <w:rPr>
          <w:sz w:val="24"/>
          <w:szCs w:val="24"/>
          <w:color w:val="auto"/>
        </w:rPr>
      </w:pPr>
    </w:p>
    <w:p>
      <w:pPr>
        <w:jc w:val="center"/>
        <w:ind w:right="3250"/>
        <w:spacing w:after="0"/>
        <w:rPr>
          <w:sz w:val="20"/>
          <w:szCs w:val="20"/>
          <w:color w:val="auto"/>
        </w:rPr>
      </w:pPr>
      <w:r>
        <w:rPr>
          <w:rFonts w:ascii="Courier New" w:cs="Courier New" w:eastAsia="Courier New" w:hAnsi="Courier New"/>
          <w:sz w:val="15"/>
          <w:szCs w:val="15"/>
          <w:color w:val="auto"/>
        </w:rPr>
        <w:t>CALCULATION OF FILING FEE</w:t>
      </w:r>
    </w:p>
    <w:p>
      <w:pPr>
        <w:spacing w:after="0" w:line="169"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9"/>
          </w:cols>
          <w:pgMar w:left="230" w:top="571" w:right="1440" w:bottom="0" w:gutter="0" w:footer="0" w:header="0"/>
        </w:sectPr>
      </w:pPr>
    </w:p>
    <w:p>
      <w:pPr>
        <w:spacing w:after="0" w:line="175" w:lineRule="exact"/>
        <w:rPr>
          <w:sz w:val="24"/>
          <w:szCs w:val="24"/>
          <w:color w:val="auto"/>
        </w:rPr>
      </w:pPr>
    </w:p>
    <w:p>
      <w:pPr>
        <w:ind w:left="710"/>
        <w:spacing w:after="0"/>
        <w:rPr>
          <w:sz w:val="20"/>
          <w:szCs w:val="20"/>
          <w:color w:val="auto"/>
        </w:rPr>
      </w:pPr>
      <w:r>
        <w:rPr>
          <w:rFonts w:ascii="Courier New" w:cs="Courier New" w:eastAsia="Courier New" w:hAnsi="Courier New"/>
          <w:sz w:val="14"/>
          <w:szCs w:val="14"/>
          <w:color w:val="auto"/>
        </w:rPr>
        <w:t>Transaction valuation</w:t>
      </w:r>
    </w:p>
    <w:p>
      <w:pPr>
        <w:spacing w:after="0" w:line="5" w:lineRule="exact"/>
        <w:rPr>
          <w:sz w:val="24"/>
          <w:szCs w:val="24"/>
          <w:color w:val="auto"/>
        </w:rPr>
      </w:pPr>
    </w:p>
    <w:p>
      <w:pPr>
        <w:ind w:left="710"/>
        <w:spacing w:after="0"/>
        <w:rPr>
          <w:sz w:val="20"/>
          <w:szCs w:val="20"/>
          <w:color w:val="auto"/>
        </w:rPr>
      </w:pPr>
      <w:r>
        <w:rPr>
          <w:rFonts w:ascii="Courier New" w:cs="Courier New" w:eastAsia="Courier New" w:hAnsi="Courier New"/>
          <w:sz w:val="15"/>
          <w:szCs w:val="15"/>
          <w:color w:val="auto"/>
        </w:rPr>
        <w:t>$788,047,972.60(1)</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Amount of filing fee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$157,609.59(1)(2)</w:t>
      </w:r>
    </w:p>
    <w:p>
      <w:pPr>
        <w:spacing w:after="0" w:line="175" w:lineRule="exact"/>
        <w:rPr>
          <w:sz w:val="24"/>
          <w:szCs w:val="24"/>
          <w:color w:val="auto"/>
        </w:rPr>
      </w:pPr>
    </w:p>
    <w:p>
      <w:pPr>
        <w:sectPr>
          <w:pgSz w:w="11900" w:h="16838" w:orient="portrait"/>
          <w:cols w:equalWidth="0" w:num="2">
            <w:col w:w="3770" w:space="720"/>
            <w:col w:w="5739"/>
          </w:cols>
          <w:pgMar w:left="230" w:top="571" w:right="1440" w:bottom="0" w:gutter="0" w:footer="0" w:header="0"/>
          <w:type w:val="continuous"/>
        </w:sectPr>
      </w:pPr>
    </w:p>
    <w:p>
      <w:pPr>
        <w:ind w:left="10"/>
        <w:spacing w:after="0"/>
        <w:rPr>
          <w:sz w:val="20"/>
          <w:szCs w:val="20"/>
          <w:color w:val="auto"/>
        </w:rPr>
      </w:pPr>
      <w:r>
        <w:rPr>
          <w:rFonts w:ascii="Courier New" w:cs="Courier New" w:eastAsia="Courier New" w:hAnsi="Courier New"/>
          <w:sz w:val="14"/>
          <w:szCs w:val="14"/>
          <w:color w:val="auto"/>
        </w:rPr>
        <w:t>================================================================================</w:t>
      </w:r>
    </w:p>
    <w:p>
      <w:pPr>
        <w:spacing w:after="0" w:line="11" w:lineRule="exact"/>
        <w:rPr>
          <w:sz w:val="24"/>
          <w:szCs w:val="24"/>
          <w:color w:val="auto"/>
        </w:rPr>
      </w:pPr>
    </w:p>
    <w:p>
      <w:pPr>
        <w:ind w:left="10" w:right="3179" w:hanging="10"/>
        <w:spacing w:after="0" w:line="256" w:lineRule="auto"/>
        <w:tabs>
          <w:tab w:leader="none" w:pos="803"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calculating the filing fee pursuant to Rule 0-11(d), the transaction value of the Sema Shares (including Sema Shares represented by Sema ADSs) to be received by the Purchaser, assuming full acceptance of the Offer by holders in the United States, is calculated as follows: 97,325,439 Sema Shares (including Sema Shares represented by Sema ADSs) multiplied by 560 pence per Sema Share, the cash consideration being offered per Sema Share, which yields (Pounds)545,022,458.4, converted at the exchange rate on February 19,</w:t>
      </w:r>
    </w:p>
    <w:p>
      <w:pPr>
        <w:spacing w:after="0" w:line="2" w:lineRule="exact"/>
        <w:rPr>
          <w:rFonts w:ascii="Courier New" w:cs="Courier New" w:eastAsia="Courier New" w:hAnsi="Courier New"/>
          <w:sz w:val="14"/>
          <w:szCs w:val="14"/>
          <w:color w:val="auto"/>
        </w:rPr>
      </w:pPr>
    </w:p>
    <w:p>
      <w:pPr>
        <w:ind w:left="10" w:right="325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2001 of (Pounds)1=$1.4459, which yields $788,047,972.60, multiplied by 1/50/th/ of 1%, which yields $157,609.59.</w:t>
      </w:r>
    </w:p>
    <w:p>
      <w:pPr>
        <w:spacing w:after="0" w:line="170" w:lineRule="exact"/>
        <w:rPr>
          <w:rFonts w:ascii="Courier New" w:cs="Courier New" w:eastAsia="Courier New" w:hAnsi="Courier New"/>
          <w:sz w:val="14"/>
          <w:szCs w:val="14"/>
          <w:color w:val="auto"/>
        </w:rPr>
      </w:pPr>
    </w:p>
    <w:p>
      <w:pPr>
        <w:ind w:left="450" w:hanging="450"/>
        <w:spacing w:after="0"/>
        <w:tabs>
          <w:tab w:leader="none" w:pos="45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Sent by wire transfer to the SEC on February 21, 2001.</w:t>
      </w:r>
    </w:p>
    <w:p>
      <w:pPr>
        <w:spacing w:after="0" w:line="169" w:lineRule="exact"/>
        <w:rPr>
          <w:sz w:val="24"/>
          <w:szCs w:val="24"/>
          <w:color w:val="auto"/>
        </w:rPr>
      </w:pPr>
    </w:p>
    <w:p>
      <w:pPr>
        <w:ind w:left="10"/>
        <w:spacing w:after="0"/>
        <w:tabs>
          <w:tab w:leader="none" w:pos="769" w:val="left"/>
        </w:tabs>
        <w:rPr>
          <w:sz w:val="20"/>
          <w:szCs w:val="20"/>
          <w:color w:val="auto"/>
        </w:rPr>
      </w:pPr>
      <w:r>
        <w:rPr>
          <w:rFonts w:ascii="Courier New" w:cs="Courier New" w:eastAsia="Courier New" w:hAnsi="Courier New"/>
          <w:sz w:val="15"/>
          <w:szCs w:val="15"/>
          <w:color w:val="auto"/>
        </w:rPr>
        <w:t>[_]</w:t>
      </w:r>
      <w:r>
        <w:rPr>
          <w:sz w:val="20"/>
          <w:szCs w:val="20"/>
          <w:color w:val="auto"/>
        </w:rPr>
        <w:tab/>
      </w:r>
      <w:r>
        <w:rPr>
          <w:rFonts w:ascii="Courier New" w:cs="Courier New" w:eastAsia="Courier New" w:hAnsi="Courier New"/>
          <w:sz w:val="14"/>
          <w:szCs w:val="14"/>
          <w:color w:val="auto"/>
        </w:rPr>
        <w:t>Check the box if any part of the fee is offset as provided by Rule 0-11</w:t>
      </w:r>
    </w:p>
    <w:p>
      <w:pPr>
        <w:spacing w:after="0" w:line="5" w:lineRule="exact"/>
        <w:rPr>
          <w:sz w:val="24"/>
          <w:szCs w:val="24"/>
          <w:color w:val="auto"/>
        </w:rPr>
      </w:pPr>
    </w:p>
    <w:p>
      <w:pPr>
        <w:ind w:left="790" w:right="3179" w:firstLine="4"/>
        <w:spacing w:after="0" w:line="237" w:lineRule="auto"/>
        <w:tabs>
          <w:tab w:leader="none" w:pos="1142"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(2) and identify the filing with which the offsetting fee was previously paid. Identify the previous filing by registration statement number, or the Form or Schedule and the date of its filing.</w:t>
      </w:r>
    </w:p>
    <w:p>
      <w:pPr>
        <w:sectPr>
          <w:pgSz w:w="11900" w:h="16838" w:orient="portrait"/>
          <w:cols w:equalWidth="0" w:num="1">
            <w:col w:w="10229"/>
          </w:cols>
          <w:pgMar w:left="230" w:top="571" w:right="1440" w:bottom="0" w:gutter="0" w:footer="0" w:header="0"/>
          <w:type w:val="continuous"/>
        </w:sectPr>
      </w:pPr>
    </w:p>
    <w:p>
      <w:pPr>
        <w:spacing w:after="0" w:line="175" w:lineRule="exact"/>
        <w:rPr>
          <w:sz w:val="24"/>
          <w:szCs w:val="24"/>
          <w:color w:val="auto"/>
        </w:rPr>
      </w:pPr>
    </w:p>
    <w:p>
      <w:pPr>
        <w:ind w:left="790"/>
        <w:spacing w:after="0"/>
        <w:rPr>
          <w:sz w:val="20"/>
          <w:szCs w:val="20"/>
          <w:color w:val="auto"/>
        </w:rPr>
      </w:pPr>
      <w:r>
        <w:rPr>
          <w:rFonts w:ascii="Courier New" w:cs="Courier New" w:eastAsia="Courier New" w:hAnsi="Courier New"/>
          <w:sz w:val="14"/>
          <w:szCs w:val="14"/>
          <w:color w:val="auto"/>
        </w:rPr>
        <w:t>Amount Previously Paid:</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N/A</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Filing Party:</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N/A</w:t>
      </w:r>
    </w:p>
    <w:p>
      <w:pPr>
        <w:spacing w:after="0" w:line="174" w:lineRule="exact"/>
        <w:rPr>
          <w:sz w:val="24"/>
          <w:szCs w:val="24"/>
          <w:color w:val="auto"/>
        </w:rPr>
      </w:pPr>
    </w:p>
    <w:p>
      <w:pPr>
        <w:sectPr>
          <w:pgSz w:w="11900" w:h="16838" w:orient="portrait"/>
          <w:cols w:equalWidth="0" w:num="4">
            <w:col w:w="2830" w:space="600"/>
            <w:col w:w="280" w:space="700"/>
            <w:col w:w="1140" w:space="540"/>
            <w:col w:w="4139"/>
          </w:cols>
          <w:pgMar w:left="230" w:top="571" w:right="1440" w:bottom="0" w:gutter="0" w:footer="0" w:header="0"/>
          <w:type w:val="continuous"/>
        </w:sectPr>
      </w:pPr>
    </w:p>
    <w:p>
      <w:pPr>
        <w:spacing w:after="0" w:line="6" w:lineRule="exact"/>
        <w:rPr>
          <w:sz w:val="24"/>
          <w:szCs w:val="24"/>
          <w:color w:val="auto"/>
        </w:rPr>
      </w:pPr>
    </w:p>
    <w:p>
      <w:pPr>
        <w:ind w:left="790"/>
        <w:spacing w:after="0"/>
        <w:rPr>
          <w:sz w:val="20"/>
          <w:szCs w:val="20"/>
          <w:color w:val="auto"/>
        </w:rPr>
      </w:pPr>
      <w:r>
        <w:rPr>
          <w:rFonts w:ascii="Courier New" w:cs="Courier New" w:eastAsia="Courier New" w:hAnsi="Courier New"/>
          <w:sz w:val="14"/>
          <w:szCs w:val="14"/>
          <w:color w:val="auto"/>
        </w:rPr>
        <w:t>Form of Registration No: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N/A</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Courier New" w:cs="Courier New" w:eastAsia="Courier New" w:hAnsi="Courier New"/>
          <w:sz w:val="14"/>
          <w:szCs w:val="14"/>
          <w:color w:val="auto"/>
        </w:rPr>
        <w:t>Date Filed: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N/A</w:t>
      </w:r>
    </w:p>
    <w:p>
      <w:pPr>
        <w:spacing w:after="0" w:line="180" w:lineRule="exact"/>
        <w:rPr>
          <w:sz w:val="24"/>
          <w:szCs w:val="24"/>
          <w:color w:val="auto"/>
        </w:rPr>
      </w:pPr>
    </w:p>
    <w:p>
      <w:pPr>
        <w:sectPr>
          <w:pgSz w:w="11900" w:h="16838" w:orient="portrait"/>
          <w:cols w:equalWidth="0" w:num="4">
            <w:col w:w="2910" w:space="520"/>
            <w:col w:w="280" w:space="700"/>
            <w:col w:w="960" w:space="720"/>
            <w:col w:w="4139"/>
          </w:cols>
          <w:pgMar w:left="230" w:top="571" w:right="1440" w:bottom="0" w:gutter="0" w:footer="0" w:header="0"/>
          <w:type w:val="continuous"/>
        </w:sectPr>
      </w:pPr>
    </w:p>
    <w:p>
      <w:pPr>
        <w:ind w:left="790" w:right="3979" w:hanging="792"/>
        <w:spacing w:after="0" w:line="265" w:lineRule="auto"/>
        <w:tabs>
          <w:tab w:leader="none" w:pos="769" w:val="left"/>
        </w:tabs>
        <w:rPr>
          <w:sz w:val="20"/>
          <w:szCs w:val="20"/>
          <w:color w:val="auto"/>
        </w:rPr>
      </w:pPr>
      <w:r>
        <w:rPr>
          <w:rFonts w:ascii="Courier New" w:cs="Courier New" w:eastAsia="Courier New" w:hAnsi="Courier New"/>
          <w:sz w:val="15"/>
          <w:szCs w:val="15"/>
          <w:color w:val="auto"/>
        </w:rPr>
        <w:t>[_]</w:t>
      </w:r>
      <w:r>
        <w:rPr>
          <w:sz w:val="20"/>
          <w:szCs w:val="20"/>
          <w:color w:val="auto"/>
        </w:rPr>
        <w:tab/>
      </w:r>
      <w:r>
        <w:rPr>
          <w:rFonts w:ascii="Courier New" w:cs="Courier New" w:eastAsia="Courier New" w:hAnsi="Courier New"/>
          <w:sz w:val="14"/>
          <w:szCs w:val="14"/>
          <w:color w:val="auto"/>
        </w:rPr>
        <w:t>Check the box if the filing relates solely to preliminary communications made before the commencement of a tender offer.</w:t>
      </w:r>
    </w:p>
    <w:p>
      <w:pPr>
        <w:spacing w:after="0" w:line="158" w:lineRule="exact"/>
        <w:rPr>
          <w:sz w:val="24"/>
          <w:szCs w:val="24"/>
          <w:color w:val="auto"/>
        </w:rPr>
      </w:pPr>
    </w:p>
    <w:p>
      <w:pPr>
        <w:ind w:left="10" w:right="3539"/>
        <w:spacing w:after="0" w:line="235" w:lineRule="auto"/>
        <w:rPr>
          <w:sz w:val="20"/>
          <w:szCs w:val="20"/>
          <w:color w:val="auto"/>
        </w:rPr>
      </w:pPr>
      <w:r>
        <w:rPr>
          <w:rFonts w:ascii="Courier New" w:cs="Courier New" w:eastAsia="Courier New" w:hAnsi="Courier New"/>
          <w:sz w:val="15"/>
          <w:szCs w:val="15"/>
          <w:color w:val="auto"/>
        </w:rPr>
        <w:t>Check the appropriate boxes below to designate any transactions to which the statement relates:</w:t>
      </w:r>
    </w:p>
    <w:p>
      <w:pPr>
        <w:spacing w:after="0" w:line="170" w:lineRule="exact"/>
        <w:rPr>
          <w:sz w:val="24"/>
          <w:szCs w:val="24"/>
          <w:color w:val="auto"/>
        </w:rPr>
      </w:pPr>
    </w:p>
    <w:p>
      <w:pPr>
        <w:ind w:left="790" w:hanging="790"/>
        <w:spacing w:after="0"/>
        <w:tabs>
          <w:tab w:leader="none" w:pos="79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third-party tender offer subject to Rule 14d-1.</w:t>
      </w:r>
    </w:p>
    <w:p>
      <w:pPr>
        <w:spacing w:after="0" w:line="169"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w:t>
      </w:r>
      <w:r>
        <w:rPr>
          <w:rFonts w:ascii="Courier New" w:cs="Courier New" w:eastAsia="Courier New" w:hAnsi="Courier New"/>
          <w:sz w:val="14"/>
          <w:szCs w:val="14"/>
          <w:color w:val="auto"/>
        </w:rPr>
        <w:t>issuer tender offer subject to Rule 13e-4.</w:t>
      </w:r>
    </w:p>
    <w:p>
      <w:pPr>
        <w:spacing w:after="0" w:line="169"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w:t>
      </w:r>
      <w:r>
        <w:rPr>
          <w:rFonts w:ascii="Courier New" w:cs="Courier New" w:eastAsia="Courier New" w:hAnsi="Courier New"/>
          <w:sz w:val="14"/>
          <w:szCs w:val="14"/>
          <w:color w:val="auto"/>
        </w:rPr>
        <w:t>going-private transaction subject to Rule 13e-3.</w:t>
      </w:r>
    </w:p>
    <w:p>
      <w:pPr>
        <w:spacing w:after="0" w:line="169"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w:t>
      </w:r>
      <w:r>
        <w:rPr>
          <w:rFonts w:ascii="Courier New" w:cs="Courier New" w:eastAsia="Courier New" w:hAnsi="Courier New"/>
          <w:sz w:val="14"/>
          <w:szCs w:val="14"/>
          <w:color w:val="auto"/>
        </w:rPr>
        <w:t>amendment to Schedule 13D under Rule 13d-2.</w:t>
      </w:r>
    </w:p>
    <w:p>
      <w:pPr>
        <w:spacing w:after="0" w:line="175" w:lineRule="exact"/>
        <w:rPr>
          <w:sz w:val="24"/>
          <w:szCs w:val="24"/>
          <w:color w:val="auto"/>
        </w:rPr>
      </w:pPr>
    </w:p>
    <w:p>
      <w:pPr>
        <w:ind w:left="10" w:right="3179"/>
        <w:spacing w:after="0" w:line="235" w:lineRule="auto"/>
        <w:rPr>
          <w:sz w:val="20"/>
          <w:szCs w:val="20"/>
          <w:color w:val="auto"/>
        </w:rPr>
      </w:pPr>
      <w:r>
        <w:rPr>
          <w:rFonts w:ascii="Courier New" w:cs="Courier New" w:eastAsia="Courier New" w:hAnsi="Courier New"/>
          <w:sz w:val="15"/>
          <w:szCs w:val="15"/>
          <w:color w:val="auto"/>
        </w:rPr>
        <w:t>Check the following box if the filing is a final amendment reporting the results of the tender offer: [_]</w:t>
      </w:r>
    </w:p>
    <w:p>
      <w:pPr>
        <w:sectPr>
          <w:pgSz w:w="11900" w:h="16838" w:orient="portrait"/>
          <w:cols w:equalWidth="0" w:num="1">
            <w:col w:w="10229"/>
          </w:cols>
          <w:pgMar w:left="230" w:top="571" w:right="1440" w:bottom="0" w:gutter="0" w:footer="0" w:header="0"/>
          <w:type w:val="continuous"/>
        </w:sectPr>
      </w:pPr>
    </w:p>
    <w:bookmarkStart w:id="1" w:name="page2"/>
    <w:bookmarkEnd w:id="1"/>
    <w:p>
      <w:pPr>
        <w:ind w:left="9"/>
        <w:spacing w:after="0"/>
        <w:tabs>
          <w:tab w:leader="none" w:pos="868"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Summary Term Sheet</w:t>
      </w:r>
    </w:p>
    <w:p>
      <w:pPr>
        <w:spacing w:after="0" w:line="175" w:lineRule="exact"/>
        <w:rPr>
          <w:sz w:val="20"/>
          <w:szCs w:val="20"/>
          <w:color w:val="auto"/>
        </w:rPr>
      </w:pPr>
    </w:p>
    <w:p>
      <w:pPr>
        <w:ind w:left="9" w:right="3179"/>
        <w:spacing w:after="0" w:line="238" w:lineRule="auto"/>
        <w:rPr>
          <w:sz w:val="20"/>
          <w:szCs w:val="20"/>
          <w:color w:val="auto"/>
        </w:rPr>
      </w:pPr>
      <w:r>
        <w:rPr>
          <w:rFonts w:ascii="Courier New" w:cs="Courier New" w:eastAsia="Courier New" w:hAnsi="Courier New"/>
          <w:sz w:val="15"/>
          <w:szCs w:val="15"/>
          <w:color w:val="auto"/>
        </w:rPr>
        <w:t>The information set forth in "Summary Term Sheet" in the Offer Document dated February 21, 2001 (the "Offer Document") of Schlumberger Investments, a company incorporated in England and Wales (the "Purchaser"), a copy of which is attached hereto as Exhibit (a)(1), is incorporated herein by reference. The Purchaser is owned, directly and indirectly, 100% by Schlumberger N.V., a company incorporated in the Netherlands Antilles ("Schlumberger"). Schlumberger holds 40% of its interest in the Purchaser directly. The remaining 60% is held directly by Schlumberger Industries S.A., a company incorporated in France, which is a wholly owned subsidiary of Schlumberger B.V., a company incorporated in the Netherlands, which is a wholly owned subsidiary of Schlumberger.</w:t>
      </w:r>
    </w:p>
    <w:p>
      <w:pPr>
        <w:spacing w:after="0" w:line="175" w:lineRule="exact"/>
        <w:rPr>
          <w:sz w:val="20"/>
          <w:szCs w:val="20"/>
          <w:color w:val="auto"/>
        </w:rPr>
      </w:pPr>
    </w:p>
    <w:p>
      <w:pPr>
        <w:ind w:left="9"/>
        <w:spacing w:after="0"/>
        <w:tabs>
          <w:tab w:leader="none" w:pos="868"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Subject Company Information</w:t>
      </w:r>
    </w:p>
    <w:p>
      <w:pPr>
        <w:spacing w:after="0" w:line="175" w:lineRule="exact"/>
        <w:rPr>
          <w:sz w:val="20"/>
          <w:szCs w:val="20"/>
          <w:color w:val="auto"/>
        </w:rPr>
      </w:pPr>
    </w:p>
    <w:p>
      <w:pPr>
        <w:ind w:left="449" w:right="3179" w:hanging="449"/>
        <w:spacing w:after="0" w:line="238" w:lineRule="auto"/>
        <w:tabs>
          <w:tab w:leader="none" w:pos="44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 of the subject company is Sema plc, a company incorporated in England and Wales ("Sema"). Sema's principal executive office is located at 233 High Holborn, London WC1V 7DJ, England, and its telephone number is +44 207 830 4444. The information set forth under "Letter of Recommendation from the Chairman of Sema" in the Offer Document is incorporated herein by reference.</w:t>
      </w:r>
    </w:p>
    <w:p>
      <w:pPr>
        <w:spacing w:after="0" w:line="175" w:lineRule="exact"/>
        <w:rPr>
          <w:rFonts w:ascii="Courier New" w:cs="Courier New" w:eastAsia="Courier New" w:hAnsi="Courier New"/>
          <w:sz w:val="15"/>
          <w:szCs w:val="15"/>
          <w:color w:val="auto"/>
        </w:rPr>
      </w:pPr>
    </w:p>
    <w:p>
      <w:pPr>
        <w:ind w:left="449" w:right="3179" w:hanging="449"/>
        <w:spacing w:after="0" w:line="238" w:lineRule="auto"/>
        <w:tabs>
          <w:tab w:leader="none" w:pos="44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Tender Offer Statement on Schedule TO relates to Purchaser's offer to purchase all of the 648,836,258 issued and to be issued Shares and ADSs (each ADS representing 2 shares), par value 10 pence per share, of Sema (the "Sema Securities"), for 560 pence per share or 1,120 pence per ADS, net to seller in cash, less any required withholding taxes and without interest, upon the terms and subject to the conditions of the Offer Document and the related Letter of Transmittal ("Letter of Transmittal"), copies of which are attached hereto as Exhibits (a)(1) and (a)(2), respectively.</w:t>
      </w:r>
    </w:p>
    <w:p>
      <w:pPr>
        <w:spacing w:after="0" w:line="178" w:lineRule="exact"/>
        <w:rPr>
          <w:rFonts w:ascii="Courier New" w:cs="Courier New" w:eastAsia="Courier New" w:hAnsi="Courier New"/>
          <w:sz w:val="15"/>
          <w:szCs w:val="15"/>
          <w:color w:val="auto"/>
        </w:rPr>
      </w:pPr>
    </w:p>
    <w:p>
      <w:pPr>
        <w:ind w:left="449" w:right="3179" w:hanging="449"/>
        <w:spacing w:after="0" w:line="237" w:lineRule="auto"/>
        <w:tabs>
          <w:tab w:leader="none" w:pos="44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set forth in "Summary Term Sheet - How does the Offer compare with recent prices of Sema Shares?," "Summary Term Sheet -What is the market value of my Sema Securities as of a recent Date?" and "Appendix IV - Additional Information" in the Offer Document is incorporated herein by reference.</w:t>
      </w:r>
    </w:p>
    <w:p>
      <w:pPr>
        <w:spacing w:after="0" w:line="173" w:lineRule="exact"/>
        <w:rPr>
          <w:sz w:val="20"/>
          <w:szCs w:val="20"/>
          <w:color w:val="auto"/>
        </w:rPr>
      </w:pPr>
    </w:p>
    <w:p>
      <w:pPr>
        <w:ind w:left="9"/>
        <w:spacing w:after="0"/>
        <w:tabs>
          <w:tab w:leader="none" w:pos="868"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Identity and background of filing person</w:t>
      </w:r>
    </w:p>
    <w:p>
      <w:pPr>
        <w:spacing w:after="0" w:line="175" w:lineRule="exact"/>
        <w:rPr>
          <w:sz w:val="20"/>
          <w:szCs w:val="20"/>
          <w:color w:val="auto"/>
        </w:rPr>
      </w:pPr>
    </w:p>
    <w:p>
      <w:pPr>
        <w:ind w:left="9" w:right="3179"/>
        <w:spacing w:after="0" w:line="238" w:lineRule="auto"/>
        <w:rPr>
          <w:sz w:val="20"/>
          <w:szCs w:val="20"/>
          <w:color w:val="auto"/>
        </w:rPr>
      </w:pPr>
      <w:r>
        <w:rPr>
          <w:rFonts w:ascii="Courier New" w:cs="Courier New" w:eastAsia="Courier New" w:hAnsi="Courier New"/>
          <w:sz w:val="15"/>
          <w:szCs w:val="15"/>
          <w:color w:val="auto"/>
        </w:rPr>
        <w:t>The names of the filing persons are Schlumberger Investments, Schlumberger, Schlumberger Industries S.A. and Schlumberger B.V. The information set forth regarding the first two companies in "Summary Term Sheet - Who is buying my shares?," "Letter from Lehman Brothers - Information on Schlumberger," "Letter from Lehman Brothers - Information on Schlumberger Investments and Schlumberger Industries S.A.," "Appendix IV - Additional Information," "Schedule IVA -Information Concerning the Directors of Schlumberger Investments" and "Schedule IVB - Information Concerning the Directors and Executive Officers of Schlumberger" in the Offer Document is incorporated herein by reference. The</w:t>
      </w:r>
    </w:p>
    <w:p>
      <w:pPr>
        <w:spacing w:after="0" w:line="174"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Page 3</w:t>
      </w:r>
    </w:p>
    <w:p>
      <w:pPr>
        <w:sectPr>
          <w:pgSz w:w="11900" w:h="16838" w:orient="portrait"/>
          <w:cols w:equalWidth="0" w:num="1">
            <w:col w:w="9788"/>
          </w:cols>
          <w:pgMar w:left="671" w:top="622" w:right="1440" w:bottom="1440" w:gutter="0" w:footer="0" w:header="0"/>
        </w:sectPr>
      </w:pPr>
    </w:p>
    <w:bookmarkStart w:id="2" w:name="page3"/>
    <w:bookmarkEnd w:id="2"/>
    <w:p>
      <w:pPr>
        <w:ind w:left="450" w:right="4580"/>
        <w:spacing w:after="0" w:line="235" w:lineRule="auto"/>
        <w:rPr>
          <w:sz w:val="20"/>
          <w:szCs w:val="20"/>
          <w:color w:val="auto"/>
        </w:rPr>
      </w:pPr>
      <w:r>
        <w:rPr>
          <w:rFonts w:ascii="Courier New" w:cs="Courier New" w:eastAsia="Courier New" w:hAnsi="Courier New"/>
          <w:sz w:val="15"/>
          <w:szCs w:val="15"/>
          <w:color w:val="auto"/>
        </w:rPr>
        <w:t>information for Schlumberger Industries S.A. and Schlumberger B.V. is set out below.</w:t>
      </w:r>
    </w:p>
    <w:p>
      <w:pPr>
        <w:spacing w:after="0" w:line="176" w:lineRule="exact"/>
        <w:rPr>
          <w:sz w:val="20"/>
          <w:szCs w:val="20"/>
          <w:color w:val="auto"/>
        </w:rPr>
      </w:pPr>
    </w:p>
    <w:p>
      <w:pPr>
        <w:ind w:left="450" w:right="4400" w:hanging="450"/>
        <w:spacing w:after="0" w:line="256" w:lineRule="auto"/>
        <w:tabs>
          <w:tab w:leader="none" w:pos="45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principal address of Schlumberger Industries S.A. is 50, Avenue Jean Jaures 92129, Montrogue, France, and the telephone number is +33 1 47 46 61 00. The principal address of Schlumberger B.V. is Parkstraat 83-89, 2514</w:t>
      </w:r>
    </w:p>
    <w:p>
      <w:pPr>
        <w:spacing w:after="0" w:line="1" w:lineRule="exact"/>
        <w:rPr>
          <w:sz w:val="20"/>
          <w:szCs w:val="20"/>
          <w:color w:val="auto"/>
        </w:rPr>
      </w:pPr>
    </w:p>
    <w:p>
      <w:pPr>
        <w:ind w:left="450" w:right="4840"/>
        <w:spacing w:after="0" w:line="235" w:lineRule="auto"/>
        <w:rPr>
          <w:sz w:val="20"/>
          <w:szCs w:val="20"/>
          <w:color w:val="auto"/>
        </w:rPr>
      </w:pPr>
      <w:r>
        <w:rPr>
          <w:rFonts w:ascii="Courier New" w:cs="Courier New" w:eastAsia="Courier New" w:hAnsi="Courier New"/>
          <w:sz w:val="15"/>
          <w:szCs w:val="15"/>
          <w:color w:val="auto"/>
        </w:rPr>
        <w:t>JG The Hague, the Netherlands, and the telephone number is + 31 70 310 5400.</w:t>
      </w:r>
    </w:p>
    <w:p>
      <w:pPr>
        <w:spacing w:after="0" w:line="176" w:lineRule="exact"/>
        <w:rPr>
          <w:sz w:val="20"/>
          <w:szCs w:val="20"/>
          <w:color w:val="auto"/>
        </w:rPr>
      </w:pPr>
    </w:p>
    <w:p>
      <w:pPr>
        <w:ind w:left="450" w:right="4660" w:hanging="450"/>
        <w:spacing w:after="0" w:line="259" w:lineRule="auto"/>
        <w:tabs>
          <w:tab w:leader="none" w:pos="45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Schlumberger B.V. is a finance and holding company, with activities of a commercial, industrial and financial nature. Activities of Schlumberger Industries S.A. are set out in the "Letter from Lehman Brothers" in the Offer Document and is incorporated herein by reference.</w:t>
      </w:r>
    </w:p>
    <w:p>
      <w:pPr>
        <w:spacing w:after="0" w:line="162" w:lineRule="exact"/>
        <w:rPr>
          <w:rFonts w:ascii="Courier New" w:cs="Courier New" w:eastAsia="Courier New" w:hAnsi="Courier New"/>
          <w:sz w:val="14"/>
          <w:szCs w:val="14"/>
          <w:color w:val="auto"/>
        </w:rPr>
      </w:pPr>
    </w:p>
    <w:p>
      <w:pPr>
        <w:ind w:left="450" w:right="4400" w:hanging="450"/>
        <w:spacing w:after="0" w:line="237" w:lineRule="auto"/>
        <w:tabs>
          <w:tab w:leader="none" w:pos="45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Set forth below is the name, present principal occupation or employment and material occupations, positions, offices or employments for the past five years of each member of the board of directors and each executive officer of Schlumberger Industries S.A.</w:t>
      </w:r>
    </w:p>
    <w:p>
      <w:pPr>
        <w:spacing w:after="0" w:line="200" w:lineRule="exact"/>
        <w:rPr>
          <w:sz w:val="20"/>
          <w:szCs w:val="20"/>
          <w:color w:val="auto"/>
        </w:rPr>
      </w:pPr>
    </w:p>
    <w:p>
      <w:pPr>
        <w:spacing w:after="0" w:line="310" w:lineRule="exact"/>
        <w:rPr>
          <w:sz w:val="20"/>
          <w:szCs w:val="20"/>
          <w:color w:val="auto"/>
        </w:rPr>
      </w:pPr>
    </w:p>
    <w:tbl>
      <w:tblPr>
        <w:tblLayout w:type="fixed"/>
        <w:tblInd w:w="450" w:type="dxa"/>
        <w:tblCellMar>
          <w:top w:w="0" w:type="dxa"/>
          <w:left w:w="0" w:type="dxa"/>
          <w:bottom w:w="0" w:type="dxa"/>
          <w:right w:w="0" w:type="dxa"/>
        </w:tblCellMar>
      </w:tblP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Name and Position with</w:t>
            </w: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Present Principal Occupation or Employment and</w:t>
            </w: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Schlumberger Industries S.A.</w:t>
            </w: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Material Positions Held During the Past Five Years</w:t>
            </w: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w:t>
            </w:r>
          </w:p>
        </w:tc>
      </w:tr>
      <w:tr>
        <w:trPr>
          <w:trHeight w:val="339"/>
        </w:trPr>
        <w:tc>
          <w:tcPr>
            <w:tcW w:w="2860" w:type="dxa"/>
            <w:vAlign w:val="bottom"/>
          </w:tcPr>
          <w:p>
            <w:pPr>
              <w:spacing w:after="0"/>
              <w:rPr>
                <w:sz w:val="20"/>
                <w:szCs w:val="20"/>
                <w:color w:val="auto"/>
              </w:rPr>
            </w:pPr>
            <w:r>
              <w:rPr>
                <w:rFonts w:ascii="Courier New" w:cs="Courier New" w:eastAsia="Courier New" w:hAnsi="Courier New"/>
                <w:sz w:val="15"/>
                <w:szCs w:val="15"/>
                <w:color w:val="auto"/>
              </w:rPr>
              <w:t>Marcel Tournereau</w:t>
            </w: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Director Real Estate Atlantic Asia and Director of Social Affairs SSSA,</w:t>
            </w: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Director and Vice President</w:t>
            </w: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Paris, January</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2000 to present.</w:t>
            </w: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Vice President</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&amp; General Manager, RPS, Montrouge, September 1997 to January 2000.</w:t>
            </w: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Director Real Estate Atlantic Asia, Schlumberger, Paris, VP Division Enertec, Velizy,</w:t>
            </w: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January 1996 to September 1997.</w:t>
            </w: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Vice President</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&amp; General Manager, Europe-Africa Unit, Montrouge, March 1994 to January</w:t>
            </w: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rPr>
              <w:t>1996.</w:t>
            </w:r>
          </w:p>
        </w:tc>
        <w:tc>
          <w:tcPr>
            <w:tcW w:w="6460" w:type="dxa"/>
            <w:vAlign w:val="bottom"/>
          </w:tcPr>
          <w:p>
            <w:pPr>
              <w:spacing w:after="0"/>
              <w:rPr>
                <w:sz w:val="14"/>
                <w:szCs w:val="14"/>
                <w:color w:val="auto"/>
              </w:rPr>
            </w:pP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w w:val="97"/>
              </w:rPr>
              <w:t>Business address: Schlumberger, 50 avenue Jean-Jaures, BP 620-01, 92542 Montrouge Cedex,</w:t>
            </w: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rPr>
              <w:t>France.</w:t>
            </w:r>
          </w:p>
        </w:tc>
        <w:tc>
          <w:tcPr>
            <w:tcW w:w="6460" w:type="dxa"/>
            <w:vAlign w:val="bottom"/>
          </w:tcPr>
          <w:p>
            <w:pPr>
              <w:spacing w:after="0"/>
              <w:rPr>
                <w:sz w:val="14"/>
                <w:szCs w:val="14"/>
                <w:color w:val="auto"/>
              </w:rPr>
            </w:pP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Business tel.:</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+33 1 4647 6102.</w:t>
            </w: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rPr>
              <w:t>Citizenship:</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France.</w:t>
            </w: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Date of Birth: October 12, 1947.</w:t>
            </w:r>
          </w:p>
        </w:tc>
      </w:tr>
      <w:tr>
        <w:trPr>
          <w:trHeight w:val="339"/>
        </w:trPr>
        <w:tc>
          <w:tcPr>
            <w:tcW w:w="2860" w:type="dxa"/>
            <w:vAlign w:val="bottom"/>
          </w:tcPr>
          <w:p>
            <w:pPr>
              <w:spacing w:after="0"/>
              <w:rPr>
                <w:sz w:val="20"/>
                <w:szCs w:val="20"/>
                <w:color w:val="auto"/>
              </w:rPr>
            </w:pPr>
            <w:r>
              <w:rPr>
                <w:rFonts w:ascii="Courier New" w:cs="Courier New" w:eastAsia="Courier New" w:hAnsi="Courier New"/>
                <w:sz w:val="15"/>
                <w:szCs w:val="15"/>
                <w:color w:val="auto"/>
              </w:rPr>
              <w:t>Philippe Bonnard</w:t>
            </w: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Vice President, RMS France, November 2000 to present.</w:t>
            </w: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Director and Vice President</w:t>
            </w: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Vice President</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France and Africa Middle East, July 2000 to November 2000.</w:t>
            </w: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Vice President</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RMS France, January 1998 to July 2000.</w:t>
            </w: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General Manager, Water and Heat Metering Europe, November 1993 to January 1998.</w:t>
            </w: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Business address: Schlumberger RMS, 50 avenue Jean-Jaures, BP 620-03, 92542 Montrouge</w:t>
            </w: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Cedex, France.</w:t>
            </w:r>
          </w:p>
        </w:tc>
        <w:tc>
          <w:tcPr>
            <w:tcW w:w="6460" w:type="dxa"/>
            <w:vAlign w:val="bottom"/>
          </w:tcPr>
          <w:p>
            <w:pPr>
              <w:spacing w:after="0"/>
              <w:rPr>
                <w:sz w:val="14"/>
                <w:szCs w:val="14"/>
                <w:color w:val="auto"/>
              </w:rPr>
            </w:pP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Business tel.: + 33 1 47 46 6062.</w:t>
            </w: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rPr>
              <w:t>Citizenship:</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France.</w:t>
            </w: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Date of Birth:</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August 25, 1941.</w:t>
            </w:r>
          </w:p>
        </w:tc>
      </w:tr>
      <w:tr>
        <w:trPr>
          <w:trHeight w:val="339"/>
        </w:trPr>
        <w:tc>
          <w:tcPr>
            <w:tcW w:w="2860" w:type="dxa"/>
            <w:vAlign w:val="bottom"/>
          </w:tcPr>
          <w:p>
            <w:pPr>
              <w:spacing w:after="0"/>
              <w:rPr>
                <w:sz w:val="20"/>
                <w:szCs w:val="20"/>
                <w:color w:val="auto"/>
              </w:rPr>
            </w:pPr>
            <w:r>
              <w:rPr>
                <w:rFonts w:ascii="Courier New" w:cs="Courier New" w:eastAsia="Courier New" w:hAnsi="Courier New"/>
                <w:sz w:val="15"/>
                <w:szCs w:val="15"/>
                <w:color w:val="auto"/>
              </w:rPr>
              <w:t>Anna Hrayssi</w:t>
            </w: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Deputy General</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Counsel - Corporate, 1998 to present.</w:t>
            </w: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Director and Secretary</w:t>
            </w: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Legal Department Training Manager, 1997 to 1998.</w:t>
            </w: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Regional Counsel OFS Europe Africa, 1996 to 1997.</w:t>
            </w: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General Counsel Dowell Schlumberger, 1995 to 1996.</w:t>
            </w: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Business address: Schlumberger, 42 rue Saint Dominique, 75007 Paris, France.</w:t>
            </w: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Business tel.: + 33 1 4062 1251.</w:t>
            </w: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rPr>
              <w:t>Citizenship:</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France.</w:t>
            </w: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Date of Birth:</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September 14, 1948.</w:t>
            </w:r>
          </w:p>
        </w:tc>
      </w:tr>
    </w:tbl>
    <w:p>
      <w:pPr>
        <w:spacing w:after="0" w:line="339" w:lineRule="exact"/>
        <w:rPr>
          <w:sz w:val="20"/>
          <w:szCs w:val="20"/>
          <w:color w:val="auto"/>
        </w:rPr>
      </w:pPr>
    </w:p>
    <w:p>
      <w:pPr>
        <w:ind w:left="6530"/>
        <w:spacing w:after="0"/>
        <w:rPr>
          <w:sz w:val="20"/>
          <w:szCs w:val="20"/>
          <w:color w:val="auto"/>
        </w:rPr>
      </w:pPr>
      <w:r>
        <w:rPr>
          <w:rFonts w:ascii="Courier New" w:cs="Courier New" w:eastAsia="Courier New" w:hAnsi="Courier New"/>
          <w:sz w:val="15"/>
          <w:szCs w:val="15"/>
          <w:color w:val="auto"/>
        </w:rPr>
        <w:t>Page 4</w:t>
      </w:r>
    </w:p>
    <w:p>
      <w:pPr>
        <w:sectPr>
          <w:pgSz w:w="11900" w:h="16838" w:orient="portrait"/>
          <w:cols w:equalWidth="0" w:num="1">
            <w:col w:w="11450"/>
          </w:cols>
          <w:pgMar w:left="230" w:top="627" w:right="2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Andre Cornet</w:t>
            </w: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Retired, July 1, 1994.</w:t>
            </w:r>
          </w:p>
        </w:tc>
      </w:t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w w:val="98"/>
              </w:rPr>
              <w:t>Director of Industrial Affairs (for Schlumberger Industries International) and Chairman</w:t>
            </w:r>
          </w:p>
        </w:tc>
      </w:tr>
      <w:tr>
        <w:trPr>
          <w:trHeight w:val="170"/>
        </w:trPr>
        <w:tc>
          <w:tcPr>
            <w:tcW w:w="2760" w:type="dxa"/>
            <w:vAlign w:val="bottom"/>
          </w:tcPr>
          <w:p>
            <w:pPr>
              <w:spacing w:after="0"/>
              <w:rPr>
                <w:sz w:val="14"/>
                <w:szCs w:val="14"/>
                <w:color w:val="auto"/>
              </w:rPr>
            </w:pP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of Schlumberger Industries, January 1, 1993 to June 30, 1994.</w:t>
            </w:r>
          </w:p>
        </w:tc>
      </w:tr>
      <w:tr>
        <w:trPr>
          <w:trHeight w:val="170"/>
        </w:trPr>
        <w:tc>
          <w:tcPr>
            <w:tcW w:w="2760" w:type="dxa"/>
            <w:vAlign w:val="bottom"/>
          </w:tcPr>
          <w:p>
            <w:pPr>
              <w:spacing w:after="0"/>
              <w:rPr>
                <w:sz w:val="14"/>
                <w:szCs w:val="14"/>
                <w:color w:val="auto"/>
              </w:rPr>
            </w:pP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Address: 10, rue Paul Couderc, 9233 Sceaux, France.</w:t>
            </w:r>
          </w:p>
        </w:tc>
      </w:tr>
      <w:tr>
        <w:trPr>
          <w:trHeight w:val="170"/>
        </w:trPr>
        <w:tc>
          <w:tcPr>
            <w:tcW w:w="2760" w:type="dxa"/>
            <w:vAlign w:val="bottom"/>
          </w:tcPr>
          <w:p>
            <w:pPr>
              <w:spacing w:after="0"/>
              <w:rPr>
                <w:sz w:val="14"/>
                <w:szCs w:val="14"/>
                <w:color w:val="auto"/>
              </w:rPr>
            </w:pPr>
          </w:p>
        </w:tc>
        <w:tc>
          <w:tcPr>
            <w:tcW w:w="1860" w:type="dxa"/>
            <w:vAlign w:val="bottom"/>
          </w:tcPr>
          <w:p>
            <w:pPr>
              <w:ind w:left="580"/>
              <w:spacing w:after="0"/>
              <w:rPr>
                <w:sz w:val="20"/>
                <w:szCs w:val="20"/>
                <w:color w:val="auto"/>
              </w:rPr>
            </w:pPr>
            <w:r>
              <w:rPr>
                <w:rFonts w:ascii="Courier New" w:cs="Courier New" w:eastAsia="Courier New" w:hAnsi="Courier New"/>
                <w:sz w:val="15"/>
                <w:szCs w:val="15"/>
                <w:color w:val="auto"/>
              </w:rPr>
              <w:t>Tel.:</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+33 1 4660 6487.</w:t>
            </w:r>
          </w:p>
        </w:tc>
      </w:tr>
      <w:tr>
        <w:trPr>
          <w:trHeight w:val="170"/>
        </w:trPr>
        <w:tc>
          <w:tcPr>
            <w:tcW w:w="2760" w:type="dxa"/>
            <w:vAlign w:val="bottom"/>
          </w:tcPr>
          <w:p>
            <w:pPr>
              <w:spacing w:after="0"/>
              <w:rPr>
                <w:sz w:val="14"/>
                <w:szCs w:val="14"/>
                <w:color w:val="auto"/>
              </w:rPr>
            </w:pPr>
          </w:p>
        </w:tc>
        <w:tc>
          <w:tcPr>
            <w:tcW w:w="1860" w:type="dxa"/>
            <w:vAlign w:val="bottom"/>
          </w:tcPr>
          <w:p>
            <w:pPr>
              <w:ind w:left="580"/>
              <w:spacing w:after="0"/>
              <w:rPr>
                <w:sz w:val="20"/>
                <w:szCs w:val="20"/>
                <w:color w:val="auto"/>
              </w:rPr>
            </w:pPr>
            <w:r>
              <w:rPr>
                <w:rFonts w:ascii="Courier New" w:cs="Courier New" w:eastAsia="Courier New" w:hAnsi="Courier New"/>
                <w:sz w:val="15"/>
                <w:szCs w:val="15"/>
                <w:color w:val="auto"/>
              </w:rPr>
              <w:t>Citizenship:</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France.</w:t>
            </w:r>
          </w:p>
        </w:tc>
      </w:tr>
      <w:tr>
        <w:trPr>
          <w:trHeight w:val="170"/>
        </w:trPr>
        <w:tc>
          <w:tcPr>
            <w:tcW w:w="2760" w:type="dxa"/>
            <w:vAlign w:val="bottom"/>
          </w:tcPr>
          <w:p>
            <w:pPr>
              <w:spacing w:after="0"/>
              <w:rPr>
                <w:sz w:val="14"/>
                <w:szCs w:val="14"/>
                <w:color w:val="auto"/>
              </w:rPr>
            </w:pP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Date of Birth: January 27, 1934.</w:t>
            </w:r>
          </w:p>
        </w:tc>
      </w:tr>
      <w:tr>
        <w:trPr>
          <w:trHeight w:val="339"/>
        </w:trPr>
        <w:tc>
          <w:tcPr>
            <w:tcW w:w="2760" w:type="dxa"/>
            <w:vAlign w:val="bottom"/>
          </w:tcPr>
          <w:p>
            <w:pPr>
              <w:spacing w:after="0"/>
              <w:rPr>
                <w:sz w:val="20"/>
                <w:szCs w:val="20"/>
                <w:color w:val="auto"/>
              </w:rPr>
            </w:pPr>
            <w:r>
              <w:rPr>
                <w:rFonts w:ascii="Courier New" w:cs="Courier New" w:eastAsia="Courier New" w:hAnsi="Courier New"/>
                <w:sz w:val="15"/>
                <w:szCs w:val="15"/>
                <w:color w:val="auto"/>
              </w:rPr>
              <w:t>Joseph Alloul</w:t>
            </w: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Retired, November 1, 1997.</w:t>
            </w:r>
          </w:p>
        </w:tc>
      </w:t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w w:val="97"/>
              </w:rPr>
              <w:t>Financial Director in charge of the Training &amp; Development for Schlumberger, January 19,</w:t>
            </w:r>
          </w:p>
        </w:tc>
      </w:tr>
      <w:tr>
        <w:trPr>
          <w:trHeight w:val="170"/>
        </w:trPr>
        <w:tc>
          <w:tcPr>
            <w:tcW w:w="2760" w:type="dxa"/>
            <w:vAlign w:val="bottom"/>
          </w:tcPr>
          <w:p>
            <w:pPr>
              <w:spacing w:after="0"/>
              <w:rPr>
                <w:sz w:val="14"/>
                <w:szCs w:val="14"/>
                <w:color w:val="auto"/>
              </w:rPr>
            </w:pP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1994 to October 31, 1997.</w:t>
            </w:r>
          </w:p>
        </w:tc>
      </w:tr>
      <w:tr>
        <w:trPr>
          <w:trHeight w:val="170"/>
        </w:trPr>
        <w:tc>
          <w:tcPr>
            <w:tcW w:w="2760" w:type="dxa"/>
            <w:vAlign w:val="bottom"/>
          </w:tcPr>
          <w:p>
            <w:pPr>
              <w:spacing w:after="0"/>
              <w:rPr>
                <w:sz w:val="14"/>
                <w:szCs w:val="14"/>
                <w:color w:val="auto"/>
              </w:rPr>
            </w:pP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Address:  Ile Saint Germain, 7 rue Jean Monet, 92130 Issy-les-Moulineaux, France.</w:t>
            </w:r>
          </w:p>
        </w:tc>
      </w:tr>
      <w:tr>
        <w:trPr>
          <w:trHeight w:val="170"/>
        </w:trPr>
        <w:tc>
          <w:tcPr>
            <w:tcW w:w="2760" w:type="dxa"/>
            <w:vAlign w:val="bottom"/>
          </w:tcPr>
          <w:p>
            <w:pPr>
              <w:spacing w:after="0"/>
              <w:rPr>
                <w:sz w:val="14"/>
                <w:szCs w:val="14"/>
                <w:color w:val="auto"/>
              </w:rPr>
            </w:pPr>
          </w:p>
        </w:tc>
        <w:tc>
          <w:tcPr>
            <w:tcW w:w="1860" w:type="dxa"/>
            <w:vAlign w:val="bottom"/>
          </w:tcPr>
          <w:p>
            <w:pPr>
              <w:ind w:left="580"/>
              <w:spacing w:after="0"/>
              <w:rPr>
                <w:sz w:val="20"/>
                <w:szCs w:val="20"/>
                <w:color w:val="auto"/>
              </w:rPr>
            </w:pPr>
            <w:r>
              <w:rPr>
                <w:rFonts w:ascii="Courier New" w:cs="Courier New" w:eastAsia="Courier New" w:hAnsi="Courier New"/>
                <w:sz w:val="15"/>
                <w:szCs w:val="15"/>
                <w:color w:val="auto"/>
              </w:rPr>
              <w:t>Tel.:</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+33 2 3188 6396.</w:t>
            </w:r>
          </w:p>
        </w:tc>
      </w:tr>
      <w:tr>
        <w:trPr>
          <w:trHeight w:val="170"/>
        </w:trPr>
        <w:tc>
          <w:tcPr>
            <w:tcW w:w="2760" w:type="dxa"/>
            <w:vAlign w:val="bottom"/>
          </w:tcPr>
          <w:p>
            <w:pPr>
              <w:spacing w:after="0"/>
              <w:rPr>
                <w:sz w:val="14"/>
                <w:szCs w:val="14"/>
                <w:color w:val="auto"/>
              </w:rPr>
            </w:pPr>
          </w:p>
        </w:tc>
        <w:tc>
          <w:tcPr>
            <w:tcW w:w="1860" w:type="dxa"/>
            <w:vAlign w:val="bottom"/>
          </w:tcPr>
          <w:p>
            <w:pPr>
              <w:ind w:left="580"/>
              <w:spacing w:after="0"/>
              <w:rPr>
                <w:sz w:val="20"/>
                <w:szCs w:val="20"/>
                <w:color w:val="auto"/>
              </w:rPr>
            </w:pPr>
            <w:r>
              <w:rPr>
                <w:rFonts w:ascii="Courier New" w:cs="Courier New" w:eastAsia="Courier New" w:hAnsi="Courier New"/>
                <w:sz w:val="15"/>
                <w:szCs w:val="15"/>
                <w:color w:val="auto"/>
              </w:rPr>
              <w:t>Citizenship:</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France.</w:t>
            </w:r>
          </w:p>
        </w:tc>
      </w:tr>
      <w:tr>
        <w:trPr>
          <w:trHeight w:val="170"/>
        </w:trPr>
        <w:tc>
          <w:tcPr>
            <w:tcW w:w="2760" w:type="dxa"/>
            <w:vAlign w:val="bottom"/>
          </w:tcPr>
          <w:p>
            <w:pPr>
              <w:spacing w:after="0"/>
              <w:rPr>
                <w:sz w:val="14"/>
                <w:szCs w:val="14"/>
                <w:color w:val="auto"/>
              </w:rPr>
            </w:pP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Date of Birth: August 13, 1936.</w:t>
            </w:r>
          </w:p>
        </w:tc>
      </w:tr>
      <w:tr>
        <w:trPr>
          <w:trHeight w:val="339"/>
        </w:trPr>
        <w:tc>
          <w:tcPr>
            <w:tcW w:w="2760" w:type="dxa"/>
            <w:vAlign w:val="bottom"/>
          </w:tcPr>
          <w:p>
            <w:pPr>
              <w:spacing w:after="0"/>
              <w:rPr>
                <w:sz w:val="20"/>
                <w:szCs w:val="20"/>
                <w:color w:val="auto"/>
              </w:rPr>
            </w:pPr>
            <w:r>
              <w:rPr>
                <w:rFonts w:ascii="Courier New" w:cs="Courier New" w:eastAsia="Courier New" w:hAnsi="Courier New"/>
                <w:sz w:val="15"/>
                <w:szCs w:val="15"/>
                <w:color w:val="auto"/>
              </w:rPr>
              <w:t>Jacques Biscay</w:t>
            </w: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Retired, April 1, 1996.</w:t>
            </w:r>
          </w:p>
        </w:tc>
      </w:t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Director of Personnel SL Paris, 1993 to March 31, 1996.</w:t>
            </w:r>
          </w:p>
        </w:tc>
      </w:tr>
      <w:tr>
        <w:trPr>
          <w:trHeight w:val="170"/>
        </w:trPr>
        <w:tc>
          <w:tcPr>
            <w:tcW w:w="2760" w:type="dxa"/>
            <w:vAlign w:val="bottom"/>
          </w:tcPr>
          <w:p>
            <w:pPr>
              <w:spacing w:after="0"/>
              <w:rPr>
                <w:sz w:val="14"/>
                <w:szCs w:val="14"/>
                <w:color w:val="auto"/>
              </w:rPr>
            </w:pP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Address:   3 rue des Dardanelles, 75017 Paris, France.</w:t>
            </w:r>
          </w:p>
        </w:tc>
      </w:tr>
      <w:tr>
        <w:trPr>
          <w:trHeight w:val="170"/>
        </w:trPr>
        <w:tc>
          <w:tcPr>
            <w:tcW w:w="2760" w:type="dxa"/>
            <w:vAlign w:val="bottom"/>
          </w:tcPr>
          <w:p>
            <w:pPr>
              <w:spacing w:after="0"/>
              <w:rPr>
                <w:sz w:val="14"/>
                <w:szCs w:val="14"/>
                <w:color w:val="auto"/>
              </w:rPr>
            </w:pPr>
          </w:p>
        </w:tc>
        <w:tc>
          <w:tcPr>
            <w:tcW w:w="1860" w:type="dxa"/>
            <w:vAlign w:val="bottom"/>
          </w:tcPr>
          <w:p>
            <w:pPr>
              <w:ind w:left="580"/>
              <w:spacing w:after="0"/>
              <w:rPr>
                <w:sz w:val="20"/>
                <w:szCs w:val="20"/>
                <w:color w:val="auto"/>
              </w:rPr>
            </w:pPr>
            <w:r>
              <w:rPr>
                <w:rFonts w:ascii="Courier New" w:cs="Courier New" w:eastAsia="Courier New" w:hAnsi="Courier New"/>
                <w:sz w:val="15"/>
                <w:szCs w:val="15"/>
                <w:color w:val="auto"/>
              </w:rPr>
              <w:t>Tel.:</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+ 33 1 4572 3271.</w:t>
            </w:r>
          </w:p>
        </w:tc>
      </w:tr>
      <w:tr>
        <w:trPr>
          <w:trHeight w:val="170"/>
        </w:trPr>
        <w:tc>
          <w:tcPr>
            <w:tcW w:w="2760" w:type="dxa"/>
            <w:vAlign w:val="bottom"/>
          </w:tcPr>
          <w:p>
            <w:pPr>
              <w:spacing w:after="0"/>
              <w:rPr>
                <w:sz w:val="14"/>
                <w:szCs w:val="14"/>
                <w:color w:val="auto"/>
              </w:rPr>
            </w:pPr>
          </w:p>
        </w:tc>
        <w:tc>
          <w:tcPr>
            <w:tcW w:w="1860" w:type="dxa"/>
            <w:vAlign w:val="bottom"/>
          </w:tcPr>
          <w:p>
            <w:pPr>
              <w:ind w:left="580"/>
              <w:spacing w:after="0"/>
              <w:rPr>
                <w:sz w:val="20"/>
                <w:szCs w:val="20"/>
                <w:color w:val="auto"/>
              </w:rPr>
            </w:pPr>
            <w:r>
              <w:rPr>
                <w:rFonts w:ascii="Courier New" w:cs="Courier New" w:eastAsia="Courier New" w:hAnsi="Courier New"/>
                <w:sz w:val="15"/>
                <w:szCs w:val="15"/>
                <w:color w:val="auto"/>
              </w:rPr>
              <w:t>Citizenship:</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France.</w:t>
            </w:r>
          </w:p>
        </w:tc>
      </w:tr>
      <w:tr>
        <w:trPr>
          <w:trHeight w:val="170"/>
        </w:trPr>
        <w:tc>
          <w:tcPr>
            <w:tcW w:w="2760" w:type="dxa"/>
            <w:vAlign w:val="bottom"/>
          </w:tcPr>
          <w:p>
            <w:pPr>
              <w:spacing w:after="0"/>
              <w:rPr>
                <w:sz w:val="14"/>
                <w:szCs w:val="14"/>
                <w:color w:val="auto"/>
              </w:rPr>
            </w:pP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Date of Birth: December 5, 1933.</w:t>
            </w:r>
          </w:p>
        </w:tc>
      </w:tr>
      <w:tr>
        <w:trPr>
          <w:trHeight w:val="339"/>
        </w:trPr>
        <w:tc>
          <w:tcPr>
            <w:tcW w:w="2760" w:type="dxa"/>
            <w:vAlign w:val="bottom"/>
          </w:tcPr>
          <w:p>
            <w:pPr>
              <w:spacing w:after="0"/>
              <w:rPr>
                <w:sz w:val="20"/>
                <w:szCs w:val="20"/>
                <w:color w:val="auto"/>
              </w:rPr>
            </w:pPr>
            <w:r>
              <w:rPr>
                <w:rFonts w:ascii="Courier New" w:cs="Courier New" w:eastAsia="Courier New" w:hAnsi="Courier New"/>
                <w:sz w:val="15"/>
                <w:szCs w:val="15"/>
                <w:color w:val="auto"/>
              </w:rPr>
              <w:t>Jean-Dominique Percevault</w:t>
            </w: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Vice President - European Affairs, since May 1994.</w:t>
            </w:r>
          </w:p>
        </w:tc>
      </w:t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Director and President</w:t>
            </w: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President - Geco-Prakla, May 1994 and prior.</w:t>
            </w:r>
          </w:p>
        </w:tc>
      </w:tr>
      <w:tr>
        <w:trPr>
          <w:trHeight w:val="170"/>
        </w:trPr>
        <w:tc>
          <w:tcPr>
            <w:tcW w:w="2760" w:type="dxa"/>
            <w:vAlign w:val="bottom"/>
          </w:tcPr>
          <w:p>
            <w:pPr>
              <w:spacing w:after="0"/>
              <w:rPr>
                <w:sz w:val="14"/>
                <w:szCs w:val="14"/>
                <w:color w:val="auto"/>
              </w:rPr>
            </w:pP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Address:  c/o Schlumberger, 277 Park Avenue, New York, New York 10172-0266, USA.</w:t>
            </w:r>
          </w:p>
        </w:tc>
      </w:tr>
      <w:tr>
        <w:trPr>
          <w:trHeight w:val="170"/>
        </w:trPr>
        <w:tc>
          <w:tcPr>
            <w:tcW w:w="2760" w:type="dxa"/>
            <w:vAlign w:val="bottom"/>
          </w:tcPr>
          <w:p>
            <w:pPr>
              <w:spacing w:after="0"/>
              <w:rPr>
                <w:sz w:val="14"/>
                <w:szCs w:val="14"/>
                <w:color w:val="auto"/>
              </w:rPr>
            </w:pPr>
          </w:p>
        </w:tc>
        <w:tc>
          <w:tcPr>
            <w:tcW w:w="1860" w:type="dxa"/>
            <w:vAlign w:val="bottom"/>
          </w:tcPr>
          <w:p>
            <w:pPr>
              <w:ind w:left="580"/>
              <w:spacing w:after="0"/>
              <w:rPr>
                <w:sz w:val="20"/>
                <w:szCs w:val="20"/>
                <w:color w:val="auto"/>
              </w:rPr>
            </w:pPr>
            <w:r>
              <w:rPr>
                <w:rFonts w:ascii="Courier New" w:cs="Courier New" w:eastAsia="Courier New" w:hAnsi="Courier New"/>
                <w:sz w:val="15"/>
                <w:szCs w:val="15"/>
                <w:color w:val="auto"/>
              </w:rPr>
              <w:t>Tel.:</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+ 1 212 350 9400.</w:t>
            </w:r>
          </w:p>
        </w:tc>
      </w:tr>
      <w:tr>
        <w:trPr>
          <w:trHeight w:val="170"/>
        </w:trPr>
        <w:tc>
          <w:tcPr>
            <w:tcW w:w="2760" w:type="dxa"/>
            <w:vAlign w:val="bottom"/>
          </w:tcPr>
          <w:p>
            <w:pPr>
              <w:spacing w:after="0"/>
              <w:rPr>
                <w:sz w:val="14"/>
                <w:szCs w:val="14"/>
                <w:color w:val="auto"/>
              </w:rPr>
            </w:pPr>
          </w:p>
        </w:tc>
        <w:tc>
          <w:tcPr>
            <w:tcW w:w="1860" w:type="dxa"/>
            <w:vAlign w:val="bottom"/>
          </w:tcPr>
          <w:p>
            <w:pPr>
              <w:ind w:left="580"/>
              <w:spacing w:after="0"/>
              <w:rPr>
                <w:sz w:val="20"/>
                <w:szCs w:val="20"/>
                <w:color w:val="auto"/>
              </w:rPr>
            </w:pPr>
            <w:r>
              <w:rPr>
                <w:rFonts w:ascii="Courier New" w:cs="Courier New" w:eastAsia="Courier New" w:hAnsi="Courier New"/>
                <w:sz w:val="15"/>
                <w:szCs w:val="15"/>
                <w:color w:val="auto"/>
              </w:rPr>
              <w:t>Citizenship:</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France.</w:t>
            </w:r>
          </w:p>
        </w:tc>
      </w:tr>
      <w:tr>
        <w:trPr>
          <w:trHeight w:val="170"/>
        </w:trPr>
        <w:tc>
          <w:tcPr>
            <w:tcW w:w="2760" w:type="dxa"/>
            <w:vAlign w:val="bottom"/>
          </w:tcPr>
          <w:p>
            <w:pPr>
              <w:spacing w:after="0"/>
              <w:rPr>
                <w:sz w:val="14"/>
                <w:szCs w:val="14"/>
                <w:color w:val="auto"/>
              </w:rPr>
            </w:pPr>
          </w:p>
        </w:tc>
        <w:tc>
          <w:tcPr>
            <w:tcW w:w="1860" w:type="dxa"/>
            <w:vAlign w:val="bottom"/>
          </w:tcPr>
          <w:p>
            <w:pPr>
              <w:ind w:left="580"/>
              <w:spacing w:after="0"/>
              <w:rPr>
                <w:sz w:val="20"/>
                <w:szCs w:val="20"/>
                <w:color w:val="auto"/>
              </w:rPr>
            </w:pPr>
            <w:r>
              <w:rPr>
                <w:rFonts w:ascii="Courier New" w:cs="Courier New" w:eastAsia="Courier New" w:hAnsi="Courier New"/>
                <w:sz w:val="15"/>
                <w:szCs w:val="15"/>
                <w:color w:val="auto"/>
                <w:w w:val="99"/>
              </w:rPr>
              <w:t>Date of Birth:</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March 26, 1945.</w:t>
            </w:r>
          </w:p>
        </w:tc>
      </w:tr>
    </w:tbl>
    <w:p>
      <w:pPr>
        <w:spacing w:after="0" w:line="344" w:lineRule="exact"/>
        <w:rPr>
          <w:sz w:val="20"/>
          <w:szCs w:val="20"/>
          <w:color w:val="auto"/>
        </w:rPr>
      </w:pPr>
    </w:p>
    <w:p>
      <w:pPr>
        <w:ind w:right="4480"/>
        <w:spacing w:after="0" w:line="257" w:lineRule="auto"/>
        <w:rPr>
          <w:sz w:val="20"/>
          <w:szCs w:val="20"/>
          <w:color w:val="auto"/>
        </w:rPr>
      </w:pPr>
      <w:r>
        <w:rPr>
          <w:rFonts w:ascii="Courier New" w:cs="Courier New" w:eastAsia="Courier New" w:hAnsi="Courier New"/>
          <w:sz w:val="14"/>
          <w:szCs w:val="14"/>
          <w:color w:val="auto"/>
        </w:rPr>
        <w:t>During the last five years, none of Schlumberger Industries S.A. or, to the best of their knowledge, any of the persons listed above (i) has been convicted in a criminal proceeding (excluding traffic violations or similar misdemeanors) or (ii) was a party to any judicial or administrative proceeding (except for matters that were dismissed without sanction or settlement) that resulted in a judgment, decree or final order enjoining future violations of, or prohibiting activities subject to, federal or state securities laws or finding any violation of such laws.</w:t>
      </w:r>
    </w:p>
    <w:p>
      <w:pPr>
        <w:spacing w:after="0" w:line="167" w:lineRule="exact"/>
        <w:rPr>
          <w:sz w:val="20"/>
          <w:szCs w:val="20"/>
          <w:color w:val="auto"/>
        </w:rPr>
      </w:pPr>
    </w:p>
    <w:p>
      <w:pPr>
        <w:ind w:right="4560"/>
        <w:spacing w:after="0" w:line="237" w:lineRule="auto"/>
        <w:rPr>
          <w:sz w:val="20"/>
          <w:szCs w:val="20"/>
          <w:color w:val="auto"/>
        </w:rPr>
      </w:pPr>
      <w:r>
        <w:rPr>
          <w:rFonts w:ascii="Courier New" w:cs="Courier New" w:eastAsia="Courier New" w:hAnsi="Courier New"/>
          <w:sz w:val="15"/>
          <w:szCs w:val="15"/>
          <w:color w:val="auto"/>
        </w:rPr>
        <w:t>Set forth below is the name, present occupation or employment and material occupations, positions, offices or employments for the past five years of the sole managing director of Schlumberger B.V.</w:t>
      </w:r>
    </w:p>
    <w:p>
      <w:pPr>
        <w:spacing w:after="0" w:line="169" w:lineRule="exact"/>
        <w:rPr>
          <w:sz w:val="20"/>
          <w:szCs w:val="20"/>
          <w:color w:val="auto"/>
        </w:rPr>
      </w:pPr>
    </w:p>
    <w:p>
      <w:pPr>
        <w:ind w:left="6080"/>
        <w:spacing w:after="0"/>
        <w:rPr>
          <w:sz w:val="20"/>
          <w:szCs w:val="20"/>
          <w:color w:val="auto"/>
        </w:rPr>
      </w:pPr>
      <w:r>
        <w:rPr>
          <w:rFonts w:ascii="Courier New" w:cs="Courier New" w:eastAsia="Courier New" w:hAnsi="Courier New"/>
          <w:sz w:val="15"/>
          <w:szCs w:val="15"/>
          <w:color w:val="auto"/>
        </w:rPr>
        <w:t>Page 5</w:t>
      </w:r>
    </w:p>
    <w:p>
      <w:pPr>
        <w:sectPr>
          <w:pgSz w:w="11900" w:h="16838" w:orient="portrait"/>
          <w:cols w:equalWidth="0" w:num="1">
            <w:col w:w="11080"/>
          </w:cols>
          <w:pgMar w:left="680" w:top="961" w:right="1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70"/>
        </w:trPr>
        <w:tc>
          <w:tcPr>
            <w:tcW w:w="1980" w:type="dxa"/>
            <w:vAlign w:val="bottom"/>
          </w:tcPr>
          <w:p>
            <w:pPr>
              <w:spacing w:after="0"/>
              <w:rPr>
                <w:sz w:val="14"/>
                <w:szCs w:val="14"/>
                <w:color w:val="auto"/>
              </w:rPr>
            </w:pPr>
          </w:p>
        </w:tc>
        <w:tc>
          <w:tcPr>
            <w:tcW w:w="8580" w:type="dxa"/>
            <w:vAlign w:val="bottom"/>
            <w:gridSpan w:val="3"/>
          </w:tcPr>
          <w:p>
            <w:pPr>
              <w:ind w:left="660"/>
              <w:spacing w:after="0"/>
              <w:rPr>
                <w:sz w:val="20"/>
                <w:szCs w:val="20"/>
                <w:color w:val="auto"/>
              </w:rPr>
            </w:pPr>
            <w:r>
              <w:rPr>
                <w:rFonts w:ascii="Courier New" w:cs="Courier New" w:eastAsia="Courier New" w:hAnsi="Courier New"/>
                <w:sz w:val="15"/>
                <w:szCs w:val="15"/>
                <w:color w:val="auto"/>
              </w:rPr>
              <w:t>Present Principal Occupation or Employment:</w:t>
            </w:r>
          </w:p>
        </w:tc>
      </w:t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3340" w:type="dxa"/>
            <w:vAlign w:val="bottom"/>
            <w:gridSpan w:val="2"/>
          </w:tcPr>
          <w:p>
            <w:pPr>
              <w:ind w:left="660"/>
              <w:spacing w:after="0"/>
              <w:rPr>
                <w:sz w:val="20"/>
                <w:szCs w:val="20"/>
                <w:color w:val="auto"/>
              </w:rPr>
            </w:pPr>
            <w:r>
              <w:rPr>
                <w:rFonts w:ascii="Courier New" w:cs="Courier New" w:eastAsia="Courier New" w:hAnsi="Courier New"/>
                <w:sz w:val="15"/>
                <w:szCs w:val="15"/>
                <w:color w:val="auto"/>
                <w:w w:val="98"/>
              </w:rPr>
              <w:t>Material Positions Held During</w:t>
            </w:r>
          </w:p>
        </w:tc>
        <w:tc>
          <w:tcPr>
            <w:tcW w:w="5240" w:type="dxa"/>
            <w:vAlign w:val="bottom"/>
          </w:tcPr>
          <w:p>
            <w:pPr>
              <w:ind w:left="40"/>
              <w:spacing w:after="0"/>
              <w:rPr>
                <w:sz w:val="20"/>
                <w:szCs w:val="20"/>
                <w:color w:val="auto"/>
              </w:rPr>
            </w:pPr>
            <w:r>
              <w:rPr>
                <w:rFonts w:ascii="Courier New" w:cs="Courier New" w:eastAsia="Courier New" w:hAnsi="Courier New"/>
                <w:sz w:val="15"/>
                <w:szCs w:val="15"/>
                <w:color w:val="auto"/>
              </w:rPr>
              <w:t>the Past Five Years</w:t>
            </w:r>
          </w:p>
        </w:tc>
      </w:t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580" w:type="dxa"/>
            <w:vAlign w:val="bottom"/>
            <w:gridSpan w:val="3"/>
          </w:tcPr>
          <w:p>
            <w:pPr>
              <w:ind w:left="660"/>
              <w:spacing w:after="0"/>
              <w:rPr>
                <w:sz w:val="20"/>
                <w:szCs w:val="20"/>
                <w:color w:val="auto"/>
              </w:rPr>
            </w:pPr>
            <w:r>
              <w:rPr>
                <w:rFonts w:ascii="Courier New" w:cs="Courier New" w:eastAsia="Courier New" w:hAnsi="Courier New"/>
                <w:sz w:val="15"/>
                <w:szCs w:val="15"/>
                <w:color w:val="auto"/>
              </w:rPr>
              <w:t>---------------------------------------------------</w:t>
            </w:r>
          </w:p>
        </w:tc>
      </w:tr>
      <w:tr>
        <w:trPr>
          <w:trHeight w:val="339"/>
        </w:trPr>
        <w:tc>
          <w:tcPr>
            <w:tcW w:w="1980" w:type="dxa"/>
            <w:vAlign w:val="bottom"/>
          </w:tcPr>
          <w:p>
            <w:pPr>
              <w:spacing w:after="0"/>
              <w:rPr>
                <w:sz w:val="20"/>
                <w:szCs w:val="20"/>
                <w:color w:val="auto"/>
              </w:rPr>
            </w:pPr>
            <w:r>
              <w:rPr>
                <w:rFonts w:ascii="Courier New" w:cs="Courier New" w:eastAsia="Courier New" w:hAnsi="Courier New"/>
                <w:sz w:val="15"/>
                <w:szCs w:val="15"/>
                <w:color w:val="auto"/>
              </w:rPr>
              <w:t>Abraham Verburg</w:t>
            </w:r>
          </w:p>
        </w:tc>
        <w:tc>
          <w:tcPr>
            <w:tcW w:w="3340" w:type="dxa"/>
            <w:vAlign w:val="bottom"/>
            <w:gridSpan w:val="2"/>
          </w:tcPr>
          <w:p>
            <w:pPr>
              <w:ind w:left="660"/>
              <w:spacing w:after="0"/>
              <w:rPr>
                <w:sz w:val="20"/>
                <w:szCs w:val="20"/>
                <w:color w:val="auto"/>
              </w:rPr>
            </w:pPr>
            <w:r>
              <w:rPr>
                <w:rFonts w:ascii="Courier New" w:cs="Courier New" w:eastAsia="Courier New" w:hAnsi="Courier New"/>
                <w:sz w:val="15"/>
                <w:szCs w:val="15"/>
                <w:color w:val="auto"/>
                <w:w w:val="98"/>
              </w:rPr>
              <w:t>Controller, Schlumberger B.V.,</w:t>
            </w:r>
          </w:p>
        </w:tc>
        <w:tc>
          <w:tcPr>
            <w:tcW w:w="5240" w:type="dxa"/>
            <w:vAlign w:val="bottom"/>
          </w:tcPr>
          <w:p>
            <w:pPr>
              <w:ind w:left="40"/>
              <w:spacing w:after="0"/>
              <w:rPr>
                <w:sz w:val="20"/>
                <w:szCs w:val="20"/>
                <w:color w:val="auto"/>
              </w:rPr>
            </w:pPr>
            <w:r>
              <w:rPr>
                <w:rFonts w:ascii="Courier New" w:cs="Courier New" w:eastAsia="Courier New" w:hAnsi="Courier New"/>
                <w:sz w:val="15"/>
                <w:szCs w:val="15"/>
                <w:color w:val="auto"/>
              </w:rPr>
              <w:t>February 1994 to present.</w:t>
            </w:r>
          </w:p>
        </w:tc>
      </w:tr>
      <w:tr>
        <w:trPr>
          <w:trHeight w:val="170"/>
        </w:trPr>
        <w:tc>
          <w:tcPr>
            <w:tcW w:w="1980" w:type="dxa"/>
            <w:vAlign w:val="bottom"/>
          </w:tcPr>
          <w:p>
            <w:pPr>
              <w:spacing w:after="0"/>
              <w:rPr>
                <w:sz w:val="14"/>
                <w:szCs w:val="14"/>
                <w:color w:val="auto"/>
              </w:rPr>
            </w:pPr>
          </w:p>
        </w:tc>
        <w:tc>
          <w:tcPr>
            <w:tcW w:w="8580" w:type="dxa"/>
            <w:vAlign w:val="bottom"/>
            <w:gridSpan w:val="3"/>
          </w:tcPr>
          <w:p>
            <w:pPr>
              <w:ind w:left="660"/>
              <w:spacing w:after="0"/>
              <w:rPr>
                <w:sz w:val="20"/>
                <w:szCs w:val="20"/>
                <w:color w:val="auto"/>
              </w:rPr>
            </w:pPr>
            <w:r>
              <w:rPr>
                <w:rFonts w:ascii="Courier New" w:cs="Courier New" w:eastAsia="Courier New" w:hAnsi="Courier New"/>
                <w:sz w:val="15"/>
                <w:szCs w:val="15"/>
                <w:color w:val="auto"/>
              </w:rPr>
              <w:t>Director, Schlumberger B.V., February 1994 to present.</w:t>
            </w:r>
          </w:p>
        </w:tc>
      </w:tr>
      <w:tr>
        <w:trPr>
          <w:trHeight w:val="170"/>
        </w:trPr>
        <w:tc>
          <w:tcPr>
            <w:tcW w:w="1980" w:type="dxa"/>
            <w:vAlign w:val="bottom"/>
          </w:tcPr>
          <w:p>
            <w:pPr>
              <w:spacing w:after="0"/>
              <w:rPr>
                <w:sz w:val="14"/>
                <w:szCs w:val="14"/>
                <w:color w:val="auto"/>
              </w:rPr>
            </w:pPr>
          </w:p>
        </w:tc>
        <w:tc>
          <w:tcPr>
            <w:tcW w:w="3340" w:type="dxa"/>
            <w:vAlign w:val="bottom"/>
            <w:gridSpan w:val="2"/>
          </w:tcPr>
          <w:p>
            <w:pPr>
              <w:ind w:left="660"/>
              <w:spacing w:after="0"/>
              <w:rPr>
                <w:sz w:val="20"/>
                <w:szCs w:val="20"/>
                <w:color w:val="auto"/>
              </w:rPr>
            </w:pPr>
            <w:r>
              <w:rPr>
                <w:rFonts w:ascii="Courier New" w:cs="Courier New" w:eastAsia="Courier New" w:hAnsi="Courier New"/>
                <w:sz w:val="15"/>
                <w:szCs w:val="15"/>
                <w:color w:val="auto"/>
                <w:w w:val="98"/>
              </w:rPr>
              <w:t>Business address: Schlumberger</w:t>
            </w:r>
          </w:p>
        </w:tc>
        <w:tc>
          <w:tcPr>
            <w:tcW w:w="5240" w:type="dxa"/>
            <w:vAlign w:val="bottom"/>
          </w:tcPr>
          <w:p>
            <w:pPr>
              <w:ind w:left="40"/>
              <w:spacing w:after="0"/>
              <w:rPr>
                <w:sz w:val="20"/>
                <w:szCs w:val="20"/>
                <w:color w:val="auto"/>
              </w:rPr>
            </w:pPr>
            <w:r>
              <w:rPr>
                <w:rFonts w:ascii="Courier New" w:cs="Courier New" w:eastAsia="Courier New" w:hAnsi="Courier New"/>
                <w:sz w:val="15"/>
                <w:szCs w:val="15"/>
                <w:color w:val="auto"/>
                <w:w w:val="97"/>
              </w:rPr>
              <w:t>B.V., Parkstraat 83-89, 2514 JG The Hague, the Netherlands.</w:t>
            </w:r>
          </w:p>
        </w:tc>
      </w:tr>
      <w:tr>
        <w:trPr>
          <w:trHeight w:val="170"/>
        </w:trPr>
        <w:tc>
          <w:tcPr>
            <w:tcW w:w="1980" w:type="dxa"/>
            <w:vAlign w:val="bottom"/>
          </w:tcPr>
          <w:p>
            <w:pPr>
              <w:spacing w:after="0"/>
              <w:rPr>
                <w:sz w:val="14"/>
                <w:szCs w:val="14"/>
                <w:color w:val="auto"/>
              </w:rPr>
            </w:pPr>
          </w:p>
        </w:tc>
        <w:tc>
          <w:tcPr>
            <w:tcW w:w="8580" w:type="dxa"/>
            <w:vAlign w:val="bottom"/>
            <w:gridSpan w:val="3"/>
          </w:tcPr>
          <w:p>
            <w:pPr>
              <w:ind w:left="660"/>
              <w:spacing w:after="0"/>
              <w:rPr>
                <w:sz w:val="20"/>
                <w:szCs w:val="20"/>
                <w:color w:val="auto"/>
              </w:rPr>
            </w:pPr>
            <w:r>
              <w:rPr>
                <w:rFonts w:ascii="Courier New" w:cs="Courier New" w:eastAsia="Courier New" w:hAnsi="Courier New"/>
                <w:sz w:val="15"/>
                <w:szCs w:val="15"/>
                <w:color w:val="auto"/>
              </w:rPr>
              <w:t>Business telephone:  +31 70 310 5400.</w:t>
            </w:r>
          </w:p>
        </w:tc>
      </w:tr>
      <w:tr>
        <w:trPr>
          <w:trHeight w:val="170"/>
        </w:trPr>
        <w:tc>
          <w:tcPr>
            <w:tcW w:w="1980" w:type="dxa"/>
            <w:vAlign w:val="bottom"/>
          </w:tcPr>
          <w:p>
            <w:pPr>
              <w:spacing w:after="0"/>
              <w:rPr>
                <w:sz w:val="14"/>
                <w:szCs w:val="14"/>
                <w:color w:val="auto"/>
              </w:rPr>
            </w:pPr>
          </w:p>
        </w:tc>
        <w:tc>
          <w:tcPr>
            <w:tcW w:w="1840" w:type="dxa"/>
            <w:vAlign w:val="bottom"/>
          </w:tcPr>
          <w:p>
            <w:pPr>
              <w:ind w:left="660"/>
              <w:spacing w:after="0"/>
              <w:rPr>
                <w:sz w:val="20"/>
                <w:szCs w:val="20"/>
                <w:color w:val="auto"/>
              </w:rPr>
            </w:pPr>
            <w:r>
              <w:rPr>
                <w:rFonts w:ascii="Courier New" w:cs="Courier New" w:eastAsia="Courier New" w:hAnsi="Courier New"/>
                <w:sz w:val="15"/>
                <w:szCs w:val="15"/>
                <w:color w:val="auto"/>
              </w:rPr>
              <w:t>Citizenship:</w:t>
            </w:r>
          </w:p>
        </w:tc>
        <w:tc>
          <w:tcPr>
            <w:tcW w:w="1500" w:type="dxa"/>
            <w:vAlign w:val="bottom"/>
          </w:tcPr>
          <w:p>
            <w:pPr>
              <w:ind w:left="140"/>
              <w:spacing w:after="0"/>
              <w:rPr>
                <w:sz w:val="20"/>
                <w:szCs w:val="20"/>
                <w:color w:val="auto"/>
              </w:rPr>
            </w:pPr>
            <w:r>
              <w:rPr>
                <w:rFonts w:ascii="Courier New" w:cs="Courier New" w:eastAsia="Courier New" w:hAnsi="Courier New"/>
                <w:sz w:val="15"/>
                <w:szCs w:val="15"/>
                <w:color w:val="auto"/>
              </w:rPr>
              <w:t>Netherlands.</w:t>
            </w:r>
          </w:p>
        </w:tc>
        <w:tc>
          <w:tcPr>
            <w:tcW w:w="5240" w:type="dxa"/>
            <w:vAlign w:val="bottom"/>
          </w:tcPr>
          <w:p>
            <w:pPr>
              <w:spacing w:after="0"/>
              <w:rPr>
                <w:sz w:val="14"/>
                <w:szCs w:val="14"/>
                <w:color w:val="auto"/>
              </w:rPr>
            </w:pPr>
          </w:p>
        </w:tc>
      </w:tr>
    </w:tbl>
    <w:p>
      <w:pPr>
        <w:ind w:left="2640"/>
        <w:spacing w:after="0"/>
        <w:rPr>
          <w:sz w:val="20"/>
          <w:szCs w:val="20"/>
          <w:color w:val="auto"/>
        </w:rPr>
      </w:pPr>
      <w:r>
        <w:rPr>
          <w:rFonts w:ascii="Courier New" w:cs="Courier New" w:eastAsia="Courier New" w:hAnsi="Courier New"/>
          <w:sz w:val="15"/>
          <w:szCs w:val="15"/>
          <w:color w:val="auto"/>
        </w:rPr>
        <w:t>Date of Birth: October 13, 1951.</w:t>
      </w:r>
    </w:p>
    <w:p>
      <w:pPr>
        <w:spacing w:after="0" w:line="344" w:lineRule="exact"/>
        <w:rPr>
          <w:sz w:val="20"/>
          <w:szCs w:val="20"/>
          <w:color w:val="auto"/>
        </w:rPr>
      </w:pPr>
    </w:p>
    <w:p>
      <w:pPr>
        <w:ind w:right="4040"/>
        <w:spacing w:after="0" w:line="238" w:lineRule="auto"/>
        <w:rPr>
          <w:sz w:val="20"/>
          <w:szCs w:val="20"/>
          <w:color w:val="auto"/>
        </w:rPr>
      </w:pPr>
      <w:r>
        <w:rPr>
          <w:rFonts w:ascii="Courier New" w:cs="Courier New" w:eastAsia="Courier New" w:hAnsi="Courier New"/>
          <w:sz w:val="15"/>
          <w:szCs w:val="15"/>
          <w:color w:val="auto"/>
        </w:rPr>
        <w:t>During the last five years, none of Schlumberger B.V. or, to the best of his knowledge, the person listed above (i) has been convicted in a criminal proceeding (excluding traffic violations or similar misdemeanors) or (ii) was a party to any judicial or administrative proceeding (except for matters that were dismissed without sanction or settlement) that resulted in a judgment, decree or final order enjoining future violations of, or prohibiting activities subject to, federal or state securities laws or finding any violation of such laws.</w:t>
      </w:r>
    </w:p>
    <w:p>
      <w:pPr>
        <w:spacing w:after="0" w:line="172"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Terms of the Transaction</w:t>
      </w:r>
    </w:p>
    <w:p>
      <w:pPr>
        <w:spacing w:after="0" w:line="175" w:lineRule="exact"/>
        <w:rPr>
          <w:sz w:val="20"/>
          <w:szCs w:val="20"/>
          <w:color w:val="auto"/>
        </w:rPr>
      </w:pPr>
    </w:p>
    <w:p>
      <w:pPr>
        <w:ind w:right="3960"/>
        <w:spacing w:after="0" w:line="257" w:lineRule="auto"/>
        <w:rPr>
          <w:sz w:val="20"/>
          <w:szCs w:val="20"/>
          <w:color w:val="auto"/>
        </w:rPr>
      </w:pPr>
      <w:r>
        <w:rPr>
          <w:rFonts w:ascii="Courier New" w:cs="Courier New" w:eastAsia="Courier New" w:hAnsi="Courier New"/>
          <w:sz w:val="14"/>
          <w:szCs w:val="14"/>
          <w:color w:val="auto"/>
        </w:rPr>
        <w:t>The information set forth in "Summary Term Sheet - What are the classes and amounts of Sema Securities sought in the Offer?," "Summary Term Sheet -What would I receive in exchange for my Sema Securities?," "Summary Term Sheet - How long do I have to decide whether to accept the offer?," "Summary Term Sheet - Can the Offer be extended and under what circumstances?," "Summary Term Sheet - What is the difference between the Initial Offer Period and the Subsequent Offer Period? Until what time can I withdraw my acceptance?," "Summary Term Sheet - Can the Offer be extended and under what circumstances?," "Summary Term Sheet - How will I be notified if the Offer is extended?," "Summary Term Sheet - What are the most significant conditions to the Offer?," "Summary Term Sheet - How do I accept the Offer?," "Summary Term Sheet - How do I withdraw my acceptance?," "Summary Term Sheet - Will the Offer be followed by a compulsory acquisition?," "Summary Term Sheet - If I decide not to accept, how will the offer affect my securities?," "Summary Term Sheet - Will I be taxed on the cash?," Letter from Lehman Brothers," "Appendix I - Conditions and Further Terms of the Transaction" and Appendix IV - Additional Information" in the Offer Document is incorporated herein by reference.</w:t>
      </w:r>
    </w:p>
    <w:p>
      <w:pPr>
        <w:spacing w:after="0" w:line="15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Past contacts, transactions, negotiations and agreements</w:t>
      </w:r>
    </w:p>
    <w:p>
      <w:pPr>
        <w:spacing w:after="0" w:line="175" w:lineRule="exact"/>
        <w:rPr>
          <w:sz w:val="20"/>
          <w:szCs w:val="20"/>
          <w:color w:val="auto"/>
        </w:rPr>
      </w:pPr>
    </w:p>
    <w:p>
      <w:pPr>
        <w:jc w:val="both"/>
        <w:ind w:right="4220"/>
        <w:spacing w:after="0" w:line="237" w:lineRule="auto"/>
        <w:rPr>
          <w:sz w:val="20"/>
          <w:szCs w:val="20"/>
          <w:color w:val="auto"/>
        </w:rPr>
      </w:pPr>
      <w:r>
        <w:rPr>
          <w:rFonts w:ascii="Courier New" w:cs="Courier New" w:eastAsia="Courier New" w:hAnsi="Courier New"/>
          <w:sz w:val="15"/>
          <w:szCs w:val="15"/>
          <w:color w:val="auto"/>
        </w:rPr>
        <w:t>The information concerning Schlumberger Investments and Schlumberger set forth in "Appendix IV - Additional Information" in the Offer Document is incorporated herein by reference.</w:t>
      </w:r>
    </w:p>
    <w:p>
      <w:pPr>
        <w:spacing w:after="0" w:line="175" w:lineRule="exact"/>
        <w:rPr>
          <w:sz w:val="20"/>
          <w:szCs w:val="20"/>
          <w:color w:val="auto"/>
        </w:rPr>
      </w:pPr>
    </w:p>
    <w:p>
      <w:pPr>
        <w:ind w:right="3960"/>
        <w:spacing w:after="0" w:line="237" w:lineRule="auto"/>
        <w:rPr>
          <w:sz w:val="20"/>
          <w:szCs w:val="20"/>
          <w:color w:val="auto"/>
        </w:rPr>
      </w:pPr>
      <w:r>
        <w:rPr>
          <w:rFonts w:ascii="Courier New" w:cs="Courier New" w:eastAsia="Courier New" w:hAnsi="Courier New"/>
          <w:sz w:val="15"/>
          <w:szCs w:val="15"/>
          <w:color w:val="auto"/>
        </w:rPr>
        <w:t>Neither Schlumberger Industries S.A. nor Schlumberger B.V., or, to the best of their knowledge, any of the persons listed in Item 3 above, has any contract, arrangement, understanding or relationship with any other person with respect to any securities of Sema, including but not limited to, any contract, arrangement, understanding or</w:t>
      </w:r>
    </w:p>
    <w:p>
      <w:pPr>
        <w:spacing w:after="0" w:line="173" w:lineRule="exact"/>
        <w:rPr>
          <w:sz w:val="20"/>
          <w:szCs w:val="20"/>
          <w:color w:val="auto"/>
        </w:rPr>
      </w:pPr>
    </w:p>
    <w:p>
      <w:pPr>
        <w:jc w:val="right"/>
        <w:ind w:right="3960"/>
        <w:spacing w:after="0"/>
        <w:rPr>
          <w:sz w:val="20"/>
          <w:szCs w:val="20"/>
          <w:color w:val="auto"/>
        </w:rPr>
      </w:pPr>
      <w:r>
        <w:rPr>
          <w:rFonts w:ascii="Courier New" w:cs="Courier New" w:eastAsia="Courier New" w:hAnsi="Courier New"/>
          <w:sz w:val="15"/>
          <w:szCs w:val="15"/>
          <w:color w:val="auto"/>
        </w:rPr>
        <w:t>Page 6</w:t>
      </w:r>
    </w:p>
    <w:p>
      <w:pPr>
        <w:sectPr>
          <w:pgSz w:w="11900" w:h="16838" w:orient="portrait"/>
          <w:cols w:equalWidth="0" w:num="1">
            <w:col w:w="10560"/>
          </w:cols>
          <w:pgMar w:left="680" w:top="961" w:right="659" w:bottom="1440" w:gutter="0" w:footer="0" w:header="0"/>
        </w:sectPr>
      </w:pPr>
    </w:p>
    <w:bookmarkStart w:id="5" w:name="page6"/>
    <w:bookmarkEnd w:id="5"/>
    <w:p>
      <w:pPr>
        <w:ind w:right="3259"/>
        <w:spacing w:after="0" w:line="237" w:lineRule="auto"/>
        <w:rPr>
          <w:sz w:val="20"/>
          <w:szCs w:val="20"/>
          <w:color w:val="auto"/>
        </w:rPr>
      </w:pPr>
      <w:r>
        <w:rPr>
          <w:rFonts w:ascii="Courier New" w:cs="Courier New" w:eastAsia="Courier New" w:hAnsi="Courier New"/>
          <w:sz w:val="15"/>
          <w:szCs w:val="15"/>
          <w:color w:val="auto"/>
        </w:rPr>
        <w:t>relationship concerning the transfer or voting of such securities, joint ventures, loan or option arrangements, puts or calls, guarantees of loans, guarantees against loss or the giving or withholding of proxies.</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Neither Schlumberger Industries S.A. nor Schlumberger B.V. or, to the best of their knowledge, any of the persons listed in Item 3 above, has had any business relationship or transaction with Sema or any of its executive officers, directors or affiliates that is required to be reported under this Schedule TO. There have been no contacts, negotiations, transactions between Schlumberger Industries S.A. or Schlumberger B.V. or any of the persons listed in Item 3 above, on the one hand, and Sema and its affiliates, on the other hand, concerning a merger, consolidation or acquisition of securities, an election of directors or a sale or other transfer of a material amount of assets.</w:t>
      </w:r>
    </w:p>
    <w:p>
      <w:pPr>
        <w:spacing w:after="0" w:line="174"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Purposes of the transaction and plans or proposals</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information set forth in "Summary Term Sheet - Why are we making this Offer?," "Summary Term Sheet - If I decide not to accept, how will the offer affect my securities?," "Letter of Recommendation from the Chairman of SEMA," "Letter from Lehman Brothers," "Schlumberger Press Release on the Financial Effect of the Offer" and "Appendix IV - Additional Information" in the Offer Document is incorporated herein by reference.</w:t>
      </w:r>
    </w:p>
    <w:p>
      <w:pPr>
        <w:spacing w:after="0" w:line="170"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4"/>
          <w:szCs w:val="14"/>
          <w:color w:val="auto"/>
        </w:rPr>
        <w:t>Sources and amount of funds or other consideration</w:t>
      </w:r>
    </w:p>
    <w:p>
      <w:pPr>
        <w:spacing w:after="0" w:line="17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The information set forth in "Summary Term Sheet - Do you have the financial resources to make payment?," "Letter of Recommendation from the Chairman of SEMA," "Letter from Lehman Brothers" and "Appendix IV - Additional Information" in the Offer Document is incorporated herein by reference.</w:t>
      </w:r>
    </w:p>
    <w:p>
      <w:pPr>
        <w:spacing w:after="0" w:line="173"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4"/>
          <w:szCs w:val="14"/>
          <w:color w:val="auto"/>
        </w:rPr>
        <w:t>Interests in securities of the subject company</w:t>
      </w:r>
    </w:p>
    <w:p>
      <w:pPr>
        <w:spacing w:after="0" w:line="175"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The information regarding Schlumberger Investments and Schlumberger set forth in "Appendix IV - Additional Information" in the Offer Document is incorporated herein by reference.</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Neither Schlumberger Industries S.A. nor Schlumberger B.V. or, to the best of their knowledge, any of the persons listed in Item 3 above, or any associate (as such term is defined for the purposes of the Exchange Act) beneficially owns or has any right to acquire, directly or indirectly, any equity securities of Sema, and neither Schlumberger Industries S.A. nor Schlumberger B.V. or, to the best of their knowledge, any of the persons listed in Item 3 above, has effected any transaction in such equity securities during the past sixty days.</w:t>
      </w:r>
    </w:p>
    <w:p>
      <w:pPr>
        <w:spacing w:after="0" w:line="172"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9.</w:t>
      </w:r>
      <w:r>
        <w:rPr>
          <w:sz w:val="20"/>
          <w:szCs w:val="20"/>
          <w:color w:val="auto"/>
        </w:rPr>
        <w:tab/>
      </w:r>
      <w:r>
        <w:rPr>
          <w:rFonts w:ascii="Courier New" w:cs="Courier New" w:eastAsia="Courier New" w:hAnsi="Courier New"/>
          <w:sz w:val="14"/>
          <w:szCs w:val="14"/>
          <w:color w:val="auto"/>
        </w:rPr>
        <w:t>Persons/assets, retained, employed, compensated or used</w:t>
      </w:r>
    </w:p>
    <w:p>
      <w:pPr>
        <w:spacing w:after="0" w:line="17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The information set forth in "Letter from Lehman Brothers," "Appendix I - Conditions and Further Terms of Offer" and "Appendix IV - Additional Information" in the Offer Document is incorporated herein by reference.</w:t>
      </w:r>
    </w:p>
    <w:p>
      <w:pPr>
        <w:spacing w:after="0" w:line="1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Page 7</w:t>
      </w:r>
    </w:p>
    <w:p>
      <w:pPr>
        <w:sectPr>
          <w:pgSz w:w="11900" w:h="16838" w:orient="portrait"/>
          <w:cols w:equalWidth="0" w:num="1">
            <w:col w:w="9779"/>
          </w:cols>
          <w:pgMar w:left="680" w:top="627" w:right="1440" w:bottom="1440" w:gutter="0" w:footer="0" w:header="0"/>
        </w:sectPr>
      </w:pPr>
    </w:p>
    <w:bookmarkStart w:id="6" w:name="page7"/>
    <w:bookmarkEnd w:id="6"/>
    <w:p>
      <w:pPr>
        <w:ind w:left="9"/>
        <w:spacing w:after="0"/>
        <w:tabs>
          <w:tab w:leader="none" w:pos="868" w:val="left"/>
        </w:tabs>
        <w:rPr>
          <w:sz w:val="20"/>
          <w:szCs w:val="20"/>
          <w:color w:val="auto"/>
        </w:rPr>
      </w:pPr>
      <w:r>
        <w:rPr>
          <w:rFonts w:ascii="Courier New" w:cs="Courier New" w:eastAsia="Courier New" w:hAnsi="Courier New"/>
          <w:sz w:val="15"/>
          <w:szCs w:val="15"/>
          <w:color w:val="auto"/>
        </w:rPr>
        <w:t>Item 10.</w:t>
      </w:r>
      <w:r>
        <w:rPr>
          <w:sz w:val="20"/>
          <w:szCs w:val="20"/>
          <w:color w:val="auto"/>
        </w:rPr>
        <w:tab/>
      </w:r>
      <w:r>
        <w:rPr>
          <w:rFonts w:ascii="Courier New" w:cs="Courier New" w:eastAsia="Courier New" w:hAnsi="Courier New"/>
          <w:sz w:val="14"/>
          <w:szCs w:val="14"/>
          <w:color w:val="auto"/>
        </w:rPr>
        <w:t>Financial statements of certain bidders</w:t>
      </w:r>
    </w:p>
    <w:p>
      <w:pPr>
        <w:spacing w:after="0" w:line="175" w:lineRule="exact"/>
        <w:rPr>
          <w:sz w:val="20"/>
          <w:szCs w:val="20"/>
          <w:color w:val="auto"/>
        </w:rPr>
      </w:pPr>
    </w:p>
    <w:p>
      <w:pPr>
        <w:ind w:left="9" w:right="3359"/>
        <w:spacing w:after="0" w:line="238" w:lineRule="auto"/>
        <w:rPr>
          <w:sz w:val="20"/>
          <w:szCs w:val="20"/>
          <w:color w:val="auto"/>
        </w:rPr>
      </w:pPr>
      <w:r>
        <w:rPr>
          <w:rFonts w:ascii="Courier New" w:cs="Courier New" w:eastAsia="Courier New" w:hAnsi="Courier New"/>
          <w:sz w:val="15"/>
          <w:szCs w:val="15"/>
          <w:color w:val="auto"/>
        </w:rPr>
        <w:t>To satisfy the requirements of the City Code, financial information for Sema plc prepared in accordance with UK GAAP has been included in the tender offer materials. UK GAAP differs in certain material respects from US GAAP. A description of the differences between UK GAAP and US GAAP significant to Sema's financial statements was included in Sema's registration statement on Form F-4 (Registration number 333-11810). The significant differences in accounting principles have been excerpted from the Form F-4 as follows:</w:t>
      </w:r>
    </w:p>
    <w:p>
      <w:pPr>
        <w:spacing w:after="0" w:line="172" w:lineRule="exact"/>
        <w:rPr>
          <w:sz w:val="20"/>
          <w:szCs w:val="20"/>
          <w:color w:val="auto"/>
        </w:rPr>
      </w:pPr>
    </w:p>
    <w:p>
      <w:pPr>
        <w:ind w:left="709" w:hanging="709"/>
        <w:spacing w:after="0"/>
        <w:tabs>
          <w:tab w:leader="none" w:pos="70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combinations</w:t>
      </w:r>
    </w:p>
    <w:p>
      <w:pPr>
        <w:spacing w:after="0" w:line="175" w:lineRule="exact"/>
        <w:rPr>
          <w:sz w:val="20"/>
          <w:szCs w:val="20"/>
          <w:color w:val="auto"/>
        </w:rPr>
      </w:pPr>
    </w:p>
    <w:p>
      <w:pPr>
        <w:ind w:left="9" w:right="3179"/>
        <w:spacing w:after="0" w:line="238" w:lineRule="auto"/>
        <w:rPr>
          <w:sz w:val="20"/>
          <w:szCs w:val="20"/>
          <w:color w:val="auto"/>
        </w:rPr>
      </w:pPr>
      <w:r>
        <w:rPr>
          <w:rFonts w:ascii="Courier New" w:cs="Courier New" w:eastAsia="Courier New" w:hAnsi="Courier New"/>
          <w:sz w:val="15"/>
          <w:szCs w:val="15"/>
          <w:color w:val="auto"/>
        </w:rPr>
        <w:t>Both US GAAP and UK GAAP require purchase consideration in respect of subsidiaries acquired to be allocated on the basis of fair values to the various net assets of the acquiree at the date of acquisition. The excess of purchase consideration over the fair value of net assets acquired is treated as goodwill. However, US GAAP also requires value to be assigned to any separately identifiable intangible assets, which would be amortized over their estimated useful lives not to exceed 40 years.</w:t>
      </w:r>
    </w:p>
    <w:p>
      <w:pPr>
        <w:spacing w:after="0" w:line="177" w:lineRule="exact"/>
        <w:rPr>
          <w:sz w:val="20"/>
          <w:szCs w:val="20"/>
          <w:color w:val="auto"/>
        </w:rPr>
      </w:pPr>
    </w:p>
    <w:p>
      <w:pPr>
        <w:ind w:left="9" w:right="3179"/>
        <w:spacing w:after="0" w:line="238" w:lineRule="auto"/>
        <w:rPr>
          <w:sz w:val="20"/>
          <w:szCs w:val="20"/>
          <w:color w:val="auto"/>
        </w:rPr>
      </w:pPr>
      <w:r>
        <w:rPr>
          <w:rFonts w:ascii="Courier New" w:cs="Courier New" w:eastAsia="Courier New" w:hAnsi="Courier New"/>
          <w:sz w:val="15"/>
          <w:szCs w:val="15"/>
          <w:color w:val="auto"/>
        </w:rPr>
        <w:t>US GAAP requires goodwill to be recognized as an asset and amortised over its estimated useful life not to exceed 40 years. Under UK GAAP, for the years ended through December 31, 1997, goodwill may be written off directly against reserves. For the year ended December 31, 1998 onward, UK GAAP requires goodwill and any separately unidentifiable intangible assets to be recognized as an asset and amortised over its estimated useful live. Except in certain rare circumstances where a useful life can be regarded as infinite, there is a rebuttable presumption that the useful life does not exceed 20 years.</w:t>
      </w:r>
    </w:p>
    <w:p>
      <w:pPr>
        <w:spacing w:after="0" w:line="173" w:lineRule="exact"/>
        <w:rPr>
          <w:sz w:val="20"/>
          <w:szCs w:val="20"/>
          <w:color w:val="auto"/>
        </w:rPr>
      </w:pPr>
    </w:p>
    <w:p>
      <w:pPr>
        <w:ind w:left="709" w:hanging="709"/>
        <w:spacing w:after="0"/>
        <w:tabs>
          <w:tab w:leader="none" w:pos="709"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share</w:t>
      </w:r>
    </w:p>
    <w:p>
      <w:pPr>
        <w:spacing w:after="0" w:line="175" w:lineRule="exact"/>
        <w:rPr>
          <w:sz w:val="20"/>
          <w:szCs w:val="20"/>
          <w:color w:val="auto"/>
        </w:rPr>
      </w:pPr>
    </w:p>
    <w:p>
      <w:pPr>
        <w:ind w:left="9" w:right="3179"/>
        <w:spacing w:after="0" w:line="257" w:lineRule="auto"/>
        <w:rPr>
          <w:sz w:val="20"/>
          <w:szCs w:val="20"/>
          <w:color w:val="auto"/>
        </w:rPr>
      </w:pPr>
      <w:r>
        <w:rPr>
          <w:rFonts w:ascii="Courier New" w:cs="Courier New" w:eastAsia="Courier New" w:hAnsi="Courier New"/>
          <w:sz w:val="14"/>
          <w:szCs w:val="14"/>
          <w:color w:val="auto"/>
        </w:rPr>
        <w:t>The calculation and presentation of earnings per share (EPS) under UK GAAP differs from that required under US GAAP. In accordance with US GAAP, basic EPS is computed by dividing income available to common shareholders by the weighted average number of common shares outstanding for the year. The computation of diluted EPS is similar to basic EPS, except that it assumes the potentially dilutive securities, such as convertible loans, were converted to shares as of the beginning of the year or at the time of issuance, if later. In addition, US GAAP requires presentation of basic and diluted EPS using both income from continuing operations and net income.</w:t>
      </w:r>
    </w:p>
    <w:p>
      <w:pPr>
        <w:spacing w:after="0" w:line="161" w:lineRule="exact"/>
        <w:rPr>
          <w:sz w:val="20"/>
          <w:szCs w:val="20"/>
          <w:color w:val="auto"/>
        </w:rPr>
      </w:pPr>
    </w:p>
    <w:p>
      <w:pPr>
        <w:ind w:left="709" w:hanging="709"/>
        <w:spacing w:after="0"/>
        <w:tabs>
          <w:tab w:leader="none" w:pos="709"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Pensions</w:t>
      </w:r>
    </w:p>
    <w:p>
      <w:pPr>
        <w:spacing w:after="0" w:line="175" w:lineRule="exact"/>
        <w:rPr>
          <w:sz w:val="20"/>
          <w:szCs w:val="20"/>
          <w:color w:val="auto"/>
        </w:rPr>
      </w:pPr>
    </w:p>
    <w:p>
      <w:pPr>
        <w:ind w:left="9" w:right="3179"/>
        <w:spacing w:after="0" w:line="257" w:lineRule="auto"/>
        <w:rPr>
          <w:sz w:val="20"/>
          <w:szCs w:val="20"/>
          <w:color w:val="auto"/>
        </w:rPr>
      </w:pPr>
      <w:r>
        <w:rPr>
          <w:rFonts w:ascii="Courier New" w:cs="Courier New" w:eastAsia="Courier New" w:hAnsi="Courier New"/>
          <w:sz w:val="14"/>
          <w:szCs w:val="14"/>
          <w:color w:val="auto"/>
        </w:rPr>
        <w:t>Under UK GAAP, the cost of providing pension benefits is expensed over the average expected service lives of eligible employees in accordance with the provisions of SSAP 24. SSAP 24 aims to produce an estimate of cost based on long-term actuarial assumptions. Variations from the regular pension cost arising from, for example, experience deficiencies or surpluses, are charged or credited to the profit and loss account over the expected average remaining service lives of current employees in the schemes.</w:t>
      </w:r>
    </w:p>
    <w:p>
      <w:pPr>
        <w:spacing w:after="0" w:line="167" w:lineRule="exact"/>
        <w:rPr>
          <w:sz w:val="20"/>
          <w:szCs w:val="20"/>
          <w:color w:val="auto"/>
        </w:rPr>
      </w:pPr>
    </w:p>
    <w:p>
      <w:pPr>
        <w:ind w:left="9" w:right="3359"/>
        <w:spacing w:after="0" w:line="237" w:lineRule="auto"/>
        <w:rPr>
          <w:sz w:val="20"/>
          <w:szCs w:val="20"/>
          <w:color w:val="auto"/>
        </w:rPr>
      </w:pPr>
      <w:r>
        <w:rPr>
          <w:rFonts w:ascii="Courier New" w:cs="Courier New" w:eastAsia="Courier New" w:hAnsi="Courier New"/>
          <w:sz w:val="15"/>
          <w:szCs w:val="15"/>
          <w:color w:val="auto"/>
        </w:rPr>
        <w:t>Under US GAAP, the annual pension cost comprises the estimated cost of benefits accruing in the period as determined in accordance with SFAS 87, which requires readjustment of the significant actuarial assumptions annually to reflect current market and economic conditions.</w:t>
      </w:r>
    </w:p>
    <w:p>
      <w:pPr>
        <w:spacing w:after="0" w:line="171" w:lineRule="exact"/>
        <w:rPr>
          <w:sz w:val="20"/>
          <w:szCs w:val="20"/>
          <w:color w:val="auto"/>
        </w:rPr>
      </w:pPr>
    </w:p>
    <w:p>
      <w:pPr>
        <w:ind w:left="709" w:hanging="709"/>
        <w:spacing w:after="0"/>
        <w:tabs>
          <w:tab w:leader="none" w:pos="709"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Holiday pay</w:t>
      </w:r>
    </w:p>
    <w:p>
      <w:pPr>
        <w:spacing w:after="0" w:line="175" w:lineRule="exact"/>
        <w:rPr>
          <w:sz w:val="20"/>
          <w:szCs w:val="20"/>
          <w:color w:val="auto"/>
        </w:rPr>
      </w:pPr>
    </w:p>
    <w:p>
      <w:pPr>
        <w:ind w:left="9" w:right="3359"/>
        <w:spacing w:after="0" w:line="258" w:lineRule="auto"/>
        <w:rPr>
          <w:sz w:val="20"/>
          <w:szCs w:val="20"/>
          <w:color w:val="auto"/>
        </w:rPr>
      </w:pPr>
      <w:r>
        <w:rPr>
          <w:rFonts w:ascii="Courier New" w:cs="Courier New" w:eastAsia="Courier New" w:hAnsi="Courier New"/>
          <w:sz w:val="14"/>
          <w:szCs w:val="14"/>
          <w:color w:val="auto"/>
        </w:rPr>
        <w:t>US GAAP requires that provisions for employees' future absences (holiday pay) shall be made on an accrual basis if (i) the employees right to receive compensation for future absence is due to past service, (ii) the obligation accumulates, (iii) the payment is probable and (iv) the amount can be reasonably estimated. There are no formal rules under UK GAAP and either the accrual or cash method is used in practice.</w:t>
      </w:r>
    </w:p>
    <w:p>
      <w:pPr>
        <w:spacing w:after="0" w:line="158" w:lineRule="exact"/>
        <w:rPr>
          <w:sz w:val="20"/>
          <w:szCs w:val="20"/>
          <w:color w:val="auto"/>
        </w:rPr>
      </w:pPr>
    </w:p>
    <w:p>
      <w:pPr>
        <w:ind w:left="709" w:hanging="709"/>
        <w:spacing w:after="0"/>
        <w:tabs>
          <w:tab w:leader="none" w:pos="70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Software development costs</w:t>
      </w:r>
    </w:p>
    <w:p>
      <w:pPr>
        <w:spacing w:after="0" w:line="175" w:lineRule="exact"/>
        <w:rPr>
          <w:sz w:val="20"/>
          <w:szCs w:val="20"/>
          <w:color w:val="auto"/>
        </w:rPr>
      </w:pPr>
    </w:p>
    <w:p>
      <w:pPr>
        <w:ind w:left="9" w:right="3259"/>
        <w:spacing w:after="0" w:line="238" w:lineRule="auto"/>
        <w:rPr>
          <w:sz w:val="20"/>
          <w:szCs w:val="20"/>
          <w:color w:val="auto"/>
        </w:rPr>
      </w:pPr>
      <w:r>
        <w:rPr>
          <w:rFonts w:ascii="Courier New" w:cs="Courier New" w:eastAsia="Courier New" w:hAnsi="Courier New"/>
          <w:sz w:val="15"/>
          <w:szCs w:val="15"/>
          <w:color w:val="auto"/>
        </w:rPr>
        <w:t>It is Sema's policy to write off software development costs in the year in which they are incurred unless they are to be reimbursed by third parties. Under US GAAP, costs associated with the development of software products to be sold or otherwise marketed should be capitalized subsequent to the establishment of technological feasibility up until the product's general release. These costs should then be amortized over the estimated economic life of the software product.</w:t>
      </w:r>
    </w:p>
    <w:p>
      <w:pPr>
        <w:spacing w:after="0" w:line="171" w:lineRule="exact"/>
        <w:rPr>
          <w:sz w:val="20"/>
          <w:szCs w:val="20"/>
          <w:color w:val="auto"/>
        </w:rPr>
      </w:pPr>
    </w:p>
    <w:p>
      <w:pPr>
        <w:ind w:left="709" w:hanging="709"/>
        <w:spacing w:after="0"/>
        <w:tabs>
          <w:tab w:leader="none" w:pos="709"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stock compensation</w:t>
      </w:r>
    </w:p>
    <w:p>
      <w:pPr>
        <w:spacing w:after="0" w:line="175" w:lineRule="exact"/>
        <w:rPr>
          <w:sz w:val="20"/>
          <w:szCs w:val="20"/>
          <w:color w:val="auto"/>
        </w:rPr>
      </w:pPr>
    </w:p>
    <w:p>
      <w:pPr>
        <w:ind w:left="9" w:right="3179"/>
        <w:spacing w:after="0" w:line="238" w:lineRule="auto"/>
        <w:rPr>
          <w:sz w:val="20"/>
          <w:szCs w:val="20"/>
          <w:color w:val="auto"/>
        </w:rPr>
      </w:pPr>
      <w:r>
        <w:rPr>
          <w:rFonts w:ascii="Courier New" w:cs="Courier New" w:eastAsia="Courier New" w:hAnsi="Courier New"/>
          <w:sz w:val="15"/>
          <w:szCs w:val="15"/>
          <w:color w:val="auto"/>
        </w:rPr>
        <w:t>Under US GAAP, entities have a choice of methods for determining the costs of benefits arising from employee stock compensation plans, being either the "intrinsic value" method or a fair value method. Under the "intrinsic value" method, compensation cost is the difference between the market price of the stock at the measurement date and the price to be contributed by the employee. Under the fair value method, compensation cost is based on the estimated fair value of the option at the date of grant using an option pricing model which considers: the stock price at grant date, the exercise price and expected life of the option, expected volatility, expected dividend yield and a risk-free interest rate.</w:t>
      </w:r>
    </w:p>
    <w:p>
      <w:pPr>
        <w:spacing w:after="0" w:line="180" w:lineRule="exact"/>
        <w:rPr>
          <w:sz w:val="20"/>
          <w:szCs w:val="20"/>
          <w:color w:val="auto"/>
        </w:rPr>
      </w:pPr>
    </w:p>
    <w:p>
      <w:pPr>
        <w:ind w:left="9" w:right="3359"/>
        <w:spacing w:after="0" w:line="259" w:lineRule="auto"/>
        <w:rPr>
          <w:sz w:val="20"/>
          <w:szCs w:val="20"/>
          <w:color w:val="auto"/>
        </w:rPr>
      </w:pPr>
      <w:r>
        <w:rPr>
          <w:rFonts w:ascii="Courier New" w:cs="Courier New" w:eastAsia="Courier New" w:hAnsi="Courier New"/>
          <w:sz w:val="14"/>
          <w:szCs w:val="14"/>
          <w:color w:val="auto"/>
        </w:rPr>
        <w:t>Under UK GAAP, except for options issued under Inland Revenue approved employee save as you earn (SAYE) schemes, compensation cost is the difference between the market value of the shares at the date of grant of the conditional award less contribution that the employee is required to</w:t>
      </w:r>
    </w:p>
    <w:p>
      <w:pPr>
        <w:sectPr>
          <w:pgSz w:w="11900" w:h="16838" w:orient="portrait"/>
          <w:cols w:equalWidth="0" w:num="1">
            <w:col w:w="9788"/>
          </w:cols>
          <w:pgMar w:left="671" w:top="622" w:right="1440" w:bottom="0" w:gutter="0" w:footer="0" w:header="0"/>
        </w:sectPr>
      </w:pPr>
    </w:p>
    <w:bookmarkStart w:id="7" w:name="page8"/>
    <w:bookmarkEnd w:id="7"/>
    <w:p>
      <w:pPr>
        <w:ind w:left="9"/>
        <w:spacing w:after="0"/>
        <w:rPr>
          <w:sz w:val="20"/>
          <w:szCs w:val="20"/>
          <w:color w:val="auto"/>
        </w:rPr>
      </w:pPr>
      <w:r>
        <w:rPr>
          <w:rFonts w:ascii="Courier New" w:cs="Courier New" w:eastAsia="Courier New" w:hAnsi="Courier New"/>
          <w:sz w:val="15"/>
          <w:szCs w:val="15"/>
          <w:color w:val="auto"/>
        </w:rPr>
        <w:t>make.</w:t>
      </w:r>
    </w:p>
    <w:p>
      <w:pPr>
        <w:spacing w:after="0" w:line="169" w:lineRule="exact"/>
        <w:rPr>
          <w:sz w:val="20"/>
          <w:szCs w:val="20"/>
          <w:color w:val="auto"/>
        </w:rPr>
      </w:pPr>
    </w:p>
    <w:p>
      <w:pPr>
        <w:ind w:left="709" w:hanging="709"/>
        <w:spacing w:after="0"/>
        <w:tabs>
          <w:tab w:leader="none" w:pos="709"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w:t>
      </w:r>
    </w:p>
    <w:p>
      <w:pPr>
        <w:spacing w:after="0" w:line="175" w:lineRule="exact"/>
        <w:rPr>
          <w:sz w:val="20"/>
          <w:szCs w:val="20"/>
          <w:color w:val="auto"/>
        </w:rPr>
      </w:pPr>
    </w:p>
    <w:p>
      <w:pPr>
        <w:ind w:left="9" w:right="3259"/>
        <w:spacing w:after="0" w:line="259" w:lineRule="auto"/>
        <w:rPr>
          <w:sz w:val="20"/>
          <w:szCs w:val="20"/>
          <w:color w:val="auto"/>
        </w:rPr>
      </w:pPr>
      <w:r>
        <w:rPr>
          <w:rFonts w:ascii="Courier New" w:cs="Courier New" w:eastAsia="Courier New" w:hAnsi="Courier New"/>
          <w:sz w:val="14"/>
          <w:szCs w:val="14"/>
          <w:color w:val="auto"/>
        </w:rPr>
        <w:t>Under UK GAAP, dividends proposed are provided for in the year to which they relate on the basis of recommendation by the Board of Directors for approval by the shareholders. Under US GAAP, dividends are recorded as a reduction in retained earnings only when they have been formally declared.</w:t>
      </w:r>
    </w:p>
    <w:p>
      <w:pPr>
        <w:spacing w:after="0" w:line="157" w:lineRule="exact"/>
        <w:rPr>
          <w:sz w:val="20"/>
          <w:szCs w:val="20"/>
          <w:color w:val="auto"/>
        </w:rPr>
      </w:pPr>
    </w:p>
    <w:p>
      <w:pPr>
        <w:ind w:left="709" w:hanging="709"/>
        <w:spacing w:after="0"/>
        <w:tabs>
          <w:tab w:leader="none" w:pos="709"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Contract accounting</w:t>
      </w:r>
    </w:p>
    <w:p>
      <w:pPr>
        <w:spacing w:after="0" w:line="175" w:lineRule="exact"/>
        <w:rPr>
          <w:sz w:val="20"/>
          <w:szCs w:val="20"/>
          <w:color w:val="auto"/>
        </w:rPr>
      </w:pPr>
    </w:p>
    <w:p>
      <w:pPr>
        <w:ind w:left="9" w:right="3179"/>
        <w:spacing w:after="0" w:line="258" w:lineRule="auto"/>
        <w:rPr>
          <w:sz w:val="20"/>
          <w:szCs w:val="20"/>
          <w:color w:val="auto"/>
        </w:rPr>
      </w:pPr>
      <w:r>
        <w:rPr>
          <w:rFonts w:ascii="Courier New" w:cs="Courier New" w:eastAsia="Courier New" w:hAnsi="Courier New"/>
          <w:sz w:val="14"/>
          <w:szCs w:val="14"/>
          <w:color w:val="auto"/>
        </w:rPr>
        <w:t>Under US GAAP and UK GAAP income on contracts is recognized according to the percentage of the estimated total contract value completed or the achievement of contractual milestones. All contract losses are recognized as soon as incurred or foreseen. However, under US GAAP, the choice of recognition on a milestone basis is only permitted where the achievement of the milestone approximates the percentage of completion of the contracts.</w:t>
      </w:r>
    </w:p>
    <w:p>
      <w:pPr>
        <w:spacing w:after="0" w:line="158" w:lineRule="exact"/>
        <w:rPr>
          <w:sz w:val="20"/>
          <w:szCs w:val="20"/>
          <w:color w:val="auto"/>
        </w:rPr>
      </w:pPr>
    </w:p>
    <w:p>
      <w:pPr>
        <w:ind w:left="709" w:hanging="709"/>
        <w:spacing w:after="0"/>
        <w:tabs>
          <w:tab w:leader="none" w:pos="709"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Restructuring provisions on acquisitions</w:t>
      </w:r>
    </w:p>
    <w:p>
      <w:pPr>
        <w:spacing w:after="0" w:line="175" w:lineRule="exact"/>
        <w:rPr>
          <w:sz w:val="20"/>
          <w:szCs w:val="20"/>
          <w:color w:val="auto"/>
        </w:rPr>
      </w:pPr>
    </w:p>
    <w:p>
      <w:pPr>
        <w:ind w:left="9" w:right="3179"/>
        <w:spacing w:after="0" w:line="238" w:lineRule="auto"/>
        <w:rPr>
          <w:sz w:val="20"/>
          <w:szCs w:val="20"/>
          <w:color w:val="auto"/>
        </w:rPr>
      </w:pPr>
      <w:r>
        <w:rPr>
          <w:rFonts w:ascii="Courier New" w:cs="Courier New" w:eastAsia="Courier New" w:hAnsi="Courier New"/>
          <w:sz w:val="15"/>
          <w:szCs w:val="15"/>
          <w:color w:val="auto"/>
        </w:rPr>
        <w:t>The requirements for making a provision for restructuring costs when a subsidiary is acquired are very prescriptive under both US GAAP and UK GAAP. Under UK GAAP, restructuring provisions cannot be made as part of fair value adjustments arising on an acquisition. Restructuring provisions created prior to the acquisition can be maintained only if they were demonstrably made prior to the management of the target company contemplating the transaction. These restructuring provisions were mainly severance related. Under US GAAP acquisition provisions are governed by EITF 95-3 which require specific criteria to be met such as the plan formulated at the acquisition date to terminate employees or exit an activity be finalized beyond one year from the consummation of the merger. If the provisions are utilized in years subsequent to the acquisition, a US GAAP difference arises to reverse the credit to the profit and loss account.</w:t>
      </w:r>
    </w:p>
    <w:p>
      <w:pPr>
        <w:spacing w:after="0" w:line="178" w:lineRule="exact"/>
        <w:rPr>
          <w:sz w:val="20"/>
          <w:szCs w:val="20"/>
          <w:color w:val="auto"/>
        </w:rPr>
      </w:pPr>
    </w:p>
    <w:p>
      <w:pPr>
        <w:ind w:left="709" w:hanging="709"/>
        <w:spacing w:after="0"/>
        <w:tabs>
          <w:tab w:leader="none" w:pos="709"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Deferred taxation</w:t>
      </w:r>
    </w:p>
    <w:p>
      <w:pPr>
        <w:spacing w:after="0" w:line="175" w:lineRule="exact"/>
        <w:rPr>
          <w:sz w:val="20"/>
          <w:szCs w:val="20"/>
          <w:color w:val="auto"/>
        </w:rPr>
      </w:pPr>
    </w:p>
    <w:p>
      <w:pPr>
        <w:ind w:left="9" w:right="3179"/>
        <w:spacing w:after="0" w:line="238" w:lineRule="auto"/>
        <w:rPr>
          <w:sz w:val="20"/>
          <w:szCs w:val="20"/>
          <w:color w:val="auto"/>
        </w:rPr>
      </w:pPr>
      <w:r>
        <w:rPr>
          <w:rFonts w:ascii="Courier New" w:cs="Courier New" w:eastAsia="Courier New" w:hAnsi="Courier New"/>
          <w:sz w:val="15"/>
          <w:szCs w:val="15"/>
          <w:color w:val="auto"/>
        </w:rPr>
        <w:t>Under UK GAAP, a provision is recorded for deferred taxation under the liability method to the extent that such taxation is expected to crystallize within the reasonable future. This means that the full potential liability is not necessarily provided. Additionally, deferred tax assets are recognized only when they are expected to be recoverable within the foreseeable future.</w:t>
      </w:r>
    </w:p>
    <w:p>
      <w:pPr>
        <w:spacing w:after="0" w:line="176" w:lineRule="exact"/>
        <w:rPr>
          <w:sz w:val="20"/>
          <w:szCs w:val="20"/>
          <w:color w:val="auto"/>
        </w:rPr>
      </w:pPr>
    </w:p>
    <w:p>
      <w:pPr>
        <w:ind w:left="9" w:right="3359"/>
        <w:spacing w:after="0" w:line="238" w:lineRule="auto"/>
        <w:rPr>
          <w:sz w:val="20"/>
          <w:szCs w:val="20"/>
          <w:color w:val="auto"/>
        </w:rPr>
      </w:pPr>
      <w:r>
        <w:rPr>
          <w:rFonts w:ascii="Courier New" w:cs="Courier New" w:eastAsia="Courier New" w:hAnsi="Courier New"/>
          <w:sz w:val="15"/>
          <w:szCs w:val="15"/>
          <w:color w:val="auto"/>
        </w:rPr>
        <w:t>Under US GAAP, deferred tax is provided for on a full liability basis. Under the full liability method, deferred tax assets or liabilities are recognized for differences between the financial and tax basis of assets and liabilities and for tax loss carry forwards at the statutory rate at each reporting date. A valuation allowance is established when it is more likely than not that some portion or all of the deferred tax assets will not be realized.</w:t>
      </w:r>
    </w:p>
    <w:p>
      <w:pPr>
        <w:spacing w:after="0" w:line="171" w:lineRule="exact"/>
        <w:rPr>
          <w:sz w:val="20"/>
          <w:szCs w:val="20"/>
          <w:color w:val="auto"/>
        </w:rPr>
      </w:pPr>
    </w:p>
    <w:p>
      <w:pPr>
        <w:ind w:left="709" w:hanging="709"/>
        <w:spacing w:after="0"/>
        <w:tabs>
          <w:tab w:leader="none" w:pos="709"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w:t>
      </w:r>
    </w:p>
    <w:p>
      <w:pPr>
        <w:spacing w:after="0" w:line="175" w:lineRule="exact"/>
        <w:rPr>
          <w:sz w:val="20"/>
          <w:szCs w:val="20"/>
          <w:color w:val="auto"/>
        </w:rPr>
      </w:pPr>
    </w:p>
    <w:p>
      <w:pPr>
        <w:ind w:left="9" w:right="3359"/>
        <w:spacing w:after="0" w:line="237" w:lineRule="auto"/>
        <w:rPr>
          <w:sz w:val="20"/>
          <w:szCs w:val="20"/>
          <w:color w:val="auto"/>
        </w:rPr>
      </w:pPr>
      <w:r>
        <w:rPr>
          <w:rFonts w:ascii="Courier New" w:cs="Courier New" w:eastAsia="Courier New" w:hAnsi="Courier New"/>
          <w:sz w:val="15"/>
          <w:szCs w:val="15"/>
          <w:color w:val="auto"/>
        </w:rPr>
        <w:t>Under UK GAAP, investments in marketable securities are recorded at cost. Under US GAAP, an adjustment to add the unrealized gain, net of related taxes, to the cost of the investment is made on available for sale securities.</w:t>
      </w:r>
    </w:p>
    <w:p>
      <w:pPr>
        <w:spacing w:after="0" w:line="171" w:lineRule="exact"/>
        <w:rPr>
          <w:sz w:val="20"/>
          <w:szCs w:val="20"/>
          <w:color w:val="auto"/>
        </w:rPr>
      </w:pPr>
    </w:p>
    <w:p>
      <w:pPr>
        <w:ind w:left="709" w:hanging="709"/>
        <w:spacing w:after="0"/>
        <w:tabs>
          <w:tab w:leader="none" w:pos="709"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flow information</w:t>
      </w:r>
    </w:p>
    <w:p>
      <w:pPr>
        <w:spacing w:after="0" w:line="175" w:lineRule="exact"/>
        <w:rPr>
          <w:sz w:val="20"/>
          <w:szCs w:val="20"/>
          <w:color w:val="auto"/>
        </w:rPr>
      </w:pPr>
    </w:p>
    <w:p>
      <w:pPr>
        <w:ind w:left="9" w:right="3259"/>
        <w:spacing w:after="0" w:line="237" w:lineRule="auto"/>
        <w:rPr>
          <w:sz w:val="20"/>
          <w:szCs w:val="20"/>
          <w:color w:val="auto"/>
        </w:rPr>
      </w:pPr>
      <w:r>
        <w:rPr>
          <w:rFonts w:ascii="Courier New" w:cs="Courier New" w:eastAsia="Courier New" w:hAnsi="Courier New"/>
          <w:sz w:val="15"/>
          <w:szCs w:val="15"/>
          <w:color w:val="auto"/>
        </w:rPr>
        <w:t>Under UK GAAP, the Consolidated Cash Flow Statements are presented in accordance with UK Financial Reporting Standard No. 1, as revised (FRS 1). The Statements prepared under FRS 1 present substantially the same information as that required under US GAAP as required by SFAS No. 95.</w:t>
      </w:r>
    </w:p>
    <w:p>
      <w:pPr>
        <w:spacing w:after="0" w:line="176" w:lineRule="exact"/>
        <w:rPr>
          <w:sz w:val="20"/>
          <w:szCs w:val="20"/>
          <w:color w:val="auto"/>
        </w:rPr>
      </w:pPr>
    </w:p>
    <w:p>
      <w:pPr>
        <w:ind w:left="9" w:right="3179"/>
        <w:spacing w:after="0" w:line="238" w:lineRule="auto"/>
        <w:rPr>
          <w:sz w:val="20"/>
          <w:szCs w:val="20"/>
          <w:color w:val="auto"/>
        </w:rPr>
      </w:pPr>
      <w:r>
        <w:rPr>
          <w:rFonts w:ascii="Courier New" w:cs="Courier New" w:eastAsia="Courier New" w:hAnsi="Courier New"/>
          <w:sz w:val="15"/>
          <w:szCs w:val="15"/>
          <w:color w:val="auto"/>
        </w:rPr>
        <w:t>Under UK GAAP, the Company's cash comprises cash in hand and at bank (net of bank overdrafts). Under US GAAP, cash and cash equivalents include cash and short-term investments with original maturities of three months or less. Under US GAAP, bank overdrafts are classified within financing activities, and cash and cash equivalents are not offset by book overdrafts repayable within 24 hours from the date of the advance, as is the case under UK GAAP.</w:t>
      </w:r>
    </w:p>
    <w:p>
      <w:pPr>
        <w:spacing w:after="0" w:line="177" w:lineRule="exact"/>
        <w:rPr>
          <w:sz w:val="20"/>
          <w:szCs w:val="20"/>
          <w:color w:val="auto"/>
        </w:rPr>
      </w:pPr>
    </w:p>
    <w:p>
      <w:pPr>
        <w:ind w:left="9" w:right="3179"/>
        <w:spacing w:after="0" w:line="258" w:lineRule="auto"/>
        <w:rPr>
          <w:sz w:val="20"/>
          <w:szCs w:val="20"/>
          <w:color w:val="auto"/>
        </w:rPr>
      </w:pPr>
      <w:r>
        <w:rPr>
          <w:rFonts w:ascii="Courier New" w:cs="Courier New" w:eastAsia="Courier New" w:hAnsi="Courier New"/>
          <w:sz w:val="14"/>
          <w:szCs w:val="14"/>
          <w:color w:val="auto"/>
        </w:rPr>
        <w:t>Under UK GAAP, cash flows are presented for operating activities: dividends received from associated undertakings; returns on investments and servicing of finance; taxation; capital expenditure and financial investment; acquisition and disposals; equity dividends paid; management of liquid resources and financing. US GAAP requires the classification of cash flows as resulting from operating, investing and financing activities.</w:t>
      </w:r>
    </w:p>
    <w:p>
      <w:pPr>
        <w:spacing w:after="0" w:line="164" w:lineRule="exact"/>
        <w:rPr>
          <w:sz w:val="20"/>
          <w:szCs w:val="20"/>
          <w:color w:val="auto"/>
        </w:rPr>
      </w:pPr>
    </w:p>
    <w:p>
      <w:pPr>
        <w:ind w:left="9" w:right="3259"/>
        <w:spacing w:after="0" w:line="238" w:lineRule="auto"/>
        <w:rPr>
          <w:sz w:val="20"/>
          <w:szCs w:val="20"/>
          <w:color w:val="auto"/>
        </w:rPr>
      </w:pPr>
      <w:r>
        <w:rPr>
          <w:rFonts w:ascii="Courier New" w:cs="Courier New" w:eastAsia="Courier New" w:hAnsi="Courier New"/>
          <w:sz w:val="15"/>
          <w:szCs w:val="15"/>
          <w:color w:val="auto"/>
        </w:rPr>
        <w:t>Cash flows under UK GAAP in respect of interest received, interest paid, investment income and taxation would be included within operating activities under US GAAP. Capital expenditure and financial investment and cash flows from acquisitions and disposals would be included within investing activities under US GAAP. Dividends paid by subsidiary undertakings, minority interests, equity dividends paid and management of liquid resources would be included within financing activities under US GAAP.</w:t>
      </w:r>
    </w:p>
    <w:p>
      <w:pPr>
        <w:spacing w:after="0" w:line="172" w:lineRule="exact"/>
        <w:rPr>
          <w:sz w:val="20"/>
          <w:szCs w:val="20"/>
          <w:color w:val="auto"/>
        </w:rPr>
      </w:pPr>
    </w:p>
    <w:p>
      <w:pPr>
        <w:ind w:left="709" w:hanging="709"/>
        <w:spacing w:after="0"/>
        <w:tabs>
          <w:tab w:leader="none" w:pos="709"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Borrowings</w:t>
      </w:r>
    </w:p>
    <w:p>
      <w:pPr>
        <w:spacing w:after="0" w:line="175" w:lineRule="exact"/>
        <w:rPr>
          <w:sz w:val="20"/>
          <w:szCs w:val="20"/>
          <w:color w:val="auto"/>
        </w:rPr>
      </w:pPr>
    </w:p>
    <w:p>
      <w:pPr>
        <w:ind w:left="9" w:right="3259"/>
        <w:spacing w:after="0" w:line="237" w:lineRule="auto"/>
        <w:rPr>
          <w:sz w:val="20"/>
          <w:szCs w:val="20"/>
          <w:color w:val="auto"/>
        </w:rPr>
      </w:pPr>
      <w:r>
        <w:rPr>
          <w:rFonts w:ascii="Courier New" w:cs="Courier New" w:eastAsia="Courier New" w:hAnsi="Courier New"/>
          <w:sz w:val="15"/>
          <w:szCs w:val="15"/>
          <w:color w:val="auto"/>
        </w:rPr>
        <w:t>Both UK and US GAAP require issue costs to be capitalized and amortized over the term of the borrowing to which they pertain. Under UK GAAP, issue costs are classified net of the borrowings to which they relate. Under US GAAP, issue costs are classified as an other long term asset.</w:t>
      </w:r>
    </w:p>
    <w:p>
      <w:pPr>
        <w:sectPr>
          <w:pgSz w:w="11900" w:h="16838" w:orient="portrait"/>
          <w:cols w:equalWidth="0" w:num="1">
            <w:col w:w="9788"/>
          </w:cols>
          <w:pgMar w:left="671" w:top="136" w:right="1440" w:bottom="0" w:gutter="0" w:footer="0" w:header="0"/>
        </w:sectPr>
      </w:pPr>
    </w:p>
    <w:bookmarkStart w:id="8" w:name="page9"/>
    <w:bookmarkEnd w:id="8"/>
    <w:p>
      <w:pPr>
        <w:ind w:left="709" w:hanging="709"/>
        <w:spacing w:after="0"/>
        <w:tabs>
          <w:tab w:leader="none" w:pos="709"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Contract maintenance</w:t>
      </w:r>
    </w:p>
    <w:p>
      <w:pPr>
        <w:spacing w:after="0" w:line="175" w:lineRule="exact"/>
        <w:rPr>
          <w:sz w:val="20"/>
          <w:szCs w:val="20"/>
          <w:color w:val="auto"/>
        </w:rPr>
      </w:pPr>
    </w:p>
    <w:p>
      <w:pPr>
        <w:ind w:left="9" w:right="3179"/>
        <w:spacing w:after="0" w:line="237" w:lineRule="auto"/>
        <w:rPr>
          <w:sz w:val="20"/>
          <w:szCs w:val="20"/>
          <w:color w:val="auto"/>
        </w:rPr>
      </w:pPr>
      <w:r>
        <w:rPr>
          <w:rFonts w:ascii="Courier New" w:cs="Courier New" w:eastAsia="Courier New" w:hAnsi="Courier New"/>
          <w:sz w:val="15"/>
          <w:szCs w:val="15"/>
          <w:color w:val="auto"/>
        </w:rPr>
        <w:t>Under UK GAAP, the cost of the licence acquired is capitalized and amortized over the life of the contract. Under US GAAP, where the cost of a licence acquired includes future maintenance services, the fair value of the maintenance charge in these services must be imputed and amortized over the life of the contract.</w:t>
      </w:r>
    </w:p>
    <w:p>
      <w:pPr>
        <w:spacing w:after="0" w:line="173" w:lineRule="exact"/>
        <w:rPr>
          <w:sz w:val="20"/>
          <w:szCs w:val="20"/>
          <w:color w:val="auto"/>
        </w:rPr>
      </w:pPr>
    </w:p>
    <w:p>
      <w:pPr>
        <w:ind w:left="709" w:hanging="709"/>
        <w:spacing w:after="0"/>
        <w:tabs>
          <w:tab w:leader="none" w:pos="709"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 value adjustments</w:t>
      </w:r>
    </w:p>
    <w:p>
      <w:pPr>
        <w:spacing w:after="0" w:line="175" w:lineRule="exact"/>
        <w:rPr>
          <w:sz w:val="20"/>
          <w:szCs w:val="20"/>
          <w:color w:val="auto"/>
        </w:rPr>
      </w:pPr>
    </w:p>
    <w:p>
      <w:pPr>
        <w:ind w:left="9" w:right="3359"/>
        <w:spacing w:after="0" w:line="237" w:lineRule="auto"/>
        <w:rPr>
          <w:sz w:val="20"/>
          <w:szCs w:val="20"/>
          <w:color w:val="auto"/>
        </w:rPr>
      </w:pPr>
      <w:r>
        <w:rPr>
          <w:rFonts w:ascii="Courier New" w:cs="Courier New" w:eastAsia="Courier New" w:hAnsi="Courier New"/>
          <w:sz w:val="15"/>
          <w:szCs w:val="15"/>
          <w:color w:val="auto"/>
        </w:rPr>
        <w:t>Under UK GAAP, fair value adjustments on acquisitions can only be revised at the second balance sheet date after an acquisition if they have been described as provisional in the accounts as at the first balance sheet date.</w:t>
      </w:r>
    </w:p>
    <w:p>
      <w:pPr>
        <w:spacing w:after="0" w:line="176" w:lineRule="exact"/>
        <w:rPr>
          <w:sz w:val="20"/>
          <w:szCs w:val="20"/>
          <w:color w:val="auto"/>
        </w:rPr>
      </w:pPr>
    </w:p>
    <w:p>
      <w:pPr>
        <w:ind w:left="9" w:right="3539"/>
        <w:spacing w:after="0" w:line="235" w:lineRule="auto"/>
        <w:rPr>
          <w:sz w:val="20"/>
          <w:szCs w:val="20"/>
          <w:color w:val="auto"/>
        </w:rPr>
      </w:pPr>
      <w:r>
        <w:rPr>
          <w:rFonts w:ascii="Courier New" w:cs="Courier New" w:eastAsia="Courier New" w:hAnsi="Courier New"/>
          <w:sz w:val="15"/>
          <w:szCs w:val="15"/>
          <w:color w:val="auto"/>
        </w:rPr>
        <w:t>Under US GAAP, fair value adjustments can be revised for up to one year after the date of acquisition.</w:t>
      </w:r>
    </w:p>
    <w:p>
      <w:pPr>
        <w:spacing w:after="0" w:line="170" w:lineRule="exact"/>
        <w:rPr>
          <w:sz w:val="20"/>
          <w:szCs w:val="20"/>
          <w:color w:val="auto"/>
        </w:rPr>
      </w:pPr>
    </w:p>
    <w:p>
      <w:pPr>
        <w:ind w:left="9"/>
        <w:spacing w:after="0"/>
        <w:tabs>
          <w:tab w:leader="none" w:pos="868" w:val="left"/>
        </w:tabs>
        <w:rPr>
          <w:sz w:val="20"/>
          <w:szCs w:val="20"/>
          <w:color w:val="auto"/>
        </w:rPr>
      </w:pPr>
      <w:r>
        <w:rPr>
          <w:rFonts w:ascii="Courier New" w:cs="Courier New" w:eastAsia="Courier New" w:hAnsi="Courier New"/>
          <w:sz w:val="15"/>
          <w:szCs w:val="15"/>
          <w:color w:val="auto"/>
        </w:rPr>
        <w:t>Item 11.</w:t>
      </w:r>
      <w:r>
        <w:rPr>
          <w:sz w:val="20"/>
          <w:szCs w:val="20"/>
          <w:color w:val="auto"/>
        </w:rPr>
        <w:tab/>
      </w:r>
      <w:r>
        <w:rPr>
          <w:rFonts w:ascii="Courier New" w:cs="Courier New" w:eastAsia="Courier New" w:hAnsi="Courier New"/>
          <w:sz w:val="14"/>
          <w:szCs w:val="14"/>
          <w:color w:val="auto"/>
        </w:rPr>
        <w:t>Additional Information</w:t>
      </w:r>
    </w:p>
    <w:p>
      <w:pPr>
        <w:spacing w:after="0" w:line="175" w:lineRule="exact"/>
        <w:rPr>
          <w:sz w:val="20"/>
          <w:szCs w:val="20"/>
          <w:color w:val="auto"/>
        </w:rPr>
      </w:pPr>
    </w:p>
    <w:p>
      <w:pPr>
        <w:ind w:left="9" w:right="3539"/>
        <w:spacing w:after="0" w:line="237" w:lineRule="auto"/>
        <w:rPr>
          <w:sz w:val="20"/>
          <w:szCs w:val="20"/>
          <w:color w:val="auto"/>
        </w:rPr>
      </w:pPr>
      <w:r>
        <w:rPr>
          <w:rFonts w:ascii="Courier New" w:cs="Courier New" w:eastAsia="Courier New" w:hAnsi="Courier New"/>
          <w:sz w:val="15"/>
          <w:szCs w:val="15"/>
          <w:color w:val="auto"/>
        </w:rPr>
        <w:t>Except as set out below, the information set forth in "Appendix IV-Additional Information" in the Offer Document is incorporated herein by reference.</w:t>
      </w:r>
    </w:p>
    <w:p>
      <w:pPr>
        <w:spacing w:after="0" w:line="175" w:lineRule="exact"/>
        <w:rPr>
          <w:sz w:val="20"/>
          <w:szCs w:val="20"/>
          <w:color w:val="auto"/>
        </w:rPr>
      </w:pPr>
    </w:p>
    <w:p>
      <w:pPr>
        <w:ind w:left="9" w:right="3179"/>
        <w:spacing w:after="0" w:line="238" w:lineRule="auto"/>
        <w:rPr>
          <w:sz w:val="20"/>
          <w:szCs w:val="20"/>
          <w:color w:val="auto"/>
        </w:rPr>
      </w:pPr>
      <w:r>
        <w:rPr>
          <w:rFonts w:ascii="Courier New" w:cs="Courier New" w:eastAsia="Courier New" w:hAnsi="Courier New"/>
          <w:sz w:val="15"/>
          <w:szCs w:val="15"/>
          <w:color w:val="auto"/>
        </w:rPr>
        <w:t>References in the tender offer materials to provisions of the Private Securities Litigation Reform Act of 1995 (Section 27A of the Securities Act and Section 21E of the Exchange Act) are not intended to claim the protections of those provisions for statements made regarding the tender offer. Those protections are not available for such statements. References to such statutory sections are provided for definitional purposes only. Investors should remain aware, however, of the risks and uncertainties inherent in forward-looking statements as described in the tender offer materials.</w:t>
      </w:r>
    </w:p>
    <w:p>
      <w:pPr>
        <w:spacing w:after="0" w:line="173" w:lineRule="exact"/>
        <w:rPr>
          <w:sz w:val="20"/>
          <w:szCs w:val="20"/>
          <w:color w:val="auto"/>
        </w:rPr>
      </w:pPr>
    </w:p>
    <w:p>
      <w:pPr>
        <w:ind w:left="9"/>
        <w:spacing w:after="0"/>
        <w:tabs>
          <w:tab w:leader="none" w:pos="868" w:val="left"/>
        </w:tabs>
        <w:rPr>
          <w:sz w:val="20"/>
          <w:szCs w:val="20"/>
          <w:color w:val="auto"/>
        </w:rPr>
      </w:pPr>
      <w:r>
        <w:rPr>
          <w:rFonts w:ascii="Courier New" w:cs="Courier New" w:eastAsia="Courier New" w:hAnsi="Courier New"/>
          <w:sz w:val="15"/>
          <w:szCs w:val="15"/>
          <w:color w:val="auto"/>
        </w:rPr>
        <w:t>Item 12.</w:t>
      </w:r>
      <w:r>
        <w:rPr>
          <w:sz w:val="20"/>
          <w:szCs w:val="20"/>
          <w:color w:val="auto"/>
        </w:rPr>
        <w:tab/>
      </w:r>
      <w:r>
        <w:rPr>
          <w:rFonts w:ascii="Courier New" w:cs="Courier New" w:eastAsia="Courier New" w:hAnsi="Courier New"/>
          <w:sz w:val="14"/>
          <w:szCs w:val="14"/>
          <w:color w:val="auto"/>
        </w:rPr>
        <w:t>Exhibits</w:t>
      </w:r>
    </w:p>
    <w:p>
      <w:pPr>
        <w:spacing w:after="0" w:line="169" w:lineRule="exact"/>
        <w:rPr>
          <w:sz w:val="20"/>
          <w:szCs w:val="20"/>
          <w:color w:val="auto"/>
        </w:rPr>
      </w:pPr>
    </w:p>
    <w:p>
      <w:pPr>
        <w:ind w:left="9"/>
        <w:spacing w:after="0"/>
        <w:tabs>
          <w:tab w:leader="none" w:pos="688" w:val="left"/>
        </w:tabs>
        <w:rPr>
          <w:sz w:val="20"/>
          <w:szCs w:val="20"/>
          <w:color w:val="auto"/>
        </w:rPr>
      </w:pPr>
      <w:r>
        <w:rPr>
          <w:rFonts w:ascii="Courier New" w:cs="Courier New" w:eastAsia="Courier New" w:hAnsi="Courier New"/>
          <w:sz w:val="15"/>
          <w:szCs w:val="15"/>
          <w:color w:val="auto"/>
        </w:rPr>
        <w:t>(a)(1)</w:t>
      </w:r>
      <w:r>
        <w:rPr>
          <w:sz w:val="20"/>
          <w:szCs w:val="20"/>
          <w:color w:val="auto"/>
        </w:rPr>
        <w:tab/>
      </w:r>
      <w:r>
        <w:rPr>
          <w:rFonts w:ascii="Courier New" w:cs="Courier New" w:eastAsia="Courier New" w:hAnsi="Courier New"/>
          <w:sz w:val="14"/>
          <w:szCs w:val="14"/>
          <w:color w:val="auto"/>
        </w:rPr>
        <w:t>Offer Document dated February 21, 2001.**</w:t>
      </w:r>
    </w:p>
    <w:p>
      <w:pPr>
        <w:spacing w:after="0" w:line="169" w:lineRule="exact"/>
        <w:rPr>
          <w:sz w:val="20"/>
          <w:szCs w:val="20"/>
          <w:color w:val="auto"/>
        </w:rPr>
      </w:pPr>
    </w:p>
    <w:p>
      <w:pPr>
        <w:ind w:left="9"/>
        <w:spacing w:after="0"/>
        <w:tabs>
          <w:tab w:leader="none" w:pos="688" w:val="left"/>
        </w:tabs>
        <w:rPr>
          <w:sz w:val="20"/>
          <w:szCs w:val="20"/>
          <w:color w:val="auto"/>
        </w:rPr>
      </w:pPr>
      <w:r>
        <w:rPr>
          <w:rFonts w:ascii="Courier New" w:cs="Courier New" w:eastAsia="Courier New" w:hAnsi="Courier New"/>
          <w:sz w:val="15"/>
          <w:szCs w:val="15"/>
          <w:color w:val="auto"/>
        </w:rPr>
        <w:t>(a)(2)</w:t>
      </w:r>
      <w:r>
        <w:rPr>
          <w:sz w:val="20"/>
          <w:szCs w:val="20"/>
          <w:color w:val="auto"/>
        </w:rPr>
        <w:tab/>
      </w:r>
      <w:r>
        <w:rPr>
          <w:rFonts w:ascii="Courier New" w:cs="Courier New" w:eastAsia="Courier New" w:hAnsi="Courier New"/>
          <w:sz w:val="14"/>
          <w:szCs w:val="14"/>
          <w:color w:val="auto"/>
        </w:rPr>
        <w:t>Form of Letter of Transmittal.**</w:t>
      </w:r>
    </w:p>
    <w:p>
      <w:pPr>
        <w:spacing w:after="0" w:line="169" w:lineRule="exact"/>
        <w:rPr>
          <w:sz w:val="20"/>
          <w:szCs w:val="20"/>
          <w:color w:val="auto"/>
        </w:rPr>
      </w:pPr>
    </w:p>
    <w:p>
      <w:pPr>
        <w:ind w:left="9"/>
        <w:spacing w:after="0"/>
        <w:tabs>
          <w:tab w:leader="none" w:pos="688" w:val="left"/>
        </w:tabs>
        <w:rPr>
          <w:sz w:val="20"/>
          <w:szCs w:val="20"/>
          <w:color w:val="auto"/>
        </w:rPr>
      </w:pPr>
      <w:r>
        <w:rPr>
          <w:rFonts w:ascii="Courier New" w:cs="Courier New" w:eastAsia="Courier New" w:hAnsi="Courier New"/>
          <w:sz w:val="15"/>
          <w:szCs w:val="15"/>
          <w:color w:val="auto"/>
        </w:rPr>
        <w:t>(a)(3)</w:t>
      </w:r>
      <w:r>
        <w:rPr>
          <w:sz w:val="20"/>
          <w:szCs w:val="20"/>
          <w:color w:val="auto"/>
        </w:rPr>
        <w:tab/>
      </w:r>
      <w:r>
        <w:rPr>
          <w:rFonts w:ascii="Courier New" w:cs="Courier New" w:eastAsia="Courier New" w:hAnsi="Courier New"/>
          <w:sz w:val="14"/>
          <w:szCs w:val="14"/>
          <w:color w:val="auto"/>
        </w:rPr>
        <w:t>Form of Notice of Guaranteed Delivery.**</w:t>
      </w:r>
    </w:p>
    <w:p>
      <w:pPr>
        <w:spacing w:after="0" w:line="175" w:lineRule="exact"/>
        <w:rPr>
          <w:sz w:val="20"/>
          <w:szCs w:val="20"/>
          <w:color w:val="auto"/>
        </w:rPr>
      </w:pPr>
    </w:p>
    <w:p>
      <w:pPr>
        <w:ind w:left="709" w:right="387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(a)(4)</w:t>
        <w:tab/>
        <w:t>Form of Letter to Brokers, Dealers, Commercial Banks, Trust Companies and Other Nominees.**</w:t>
      </w:r>
    </w:p>
    <w:p>
      <w:pPr>
        <w:spacing w:after="0" w:line="170" w:lineRule="exact"/>
        <w:rPr>
          <w:sz w:val="20"/>
          <w:szCs w:val="20"/>
          <w:color w:val="auto"/>
        </w:rPr>
      </w:pPr>
    </w:p>
    <w:p>
      <w:pPr>
        <w:ind w:left="9"/>
        <w:spacing w:after="0"/>
        <w:tabs>
          <w:tab w:leader="none" w:pos="688" w:val="left"/>
        </w:tabs>
        <w:rPr>
          <w:sz w:val="20"/>
          <w:szCs w:val="20"/>
          <w:color w:val="auto"/>
        </w:rPr>
      </w:pPr>
      <w:r>
        <w:rPr>
          <w:rFonts w:ascii="Courier New" w:cs="Courier New" w:eastAsia="Courier New" w:hAnsi="Courier New"/>
          <w:sz w:val="15"/>
          <w:szCs w:val="15"/>
          <w:color w:val="auto"/>
        </w:rPr>
        <w:t>(a)(5)</w:t>
      </w:r>
      <w:r>
        <w:rPr>
          <w:sz w:val="20"/>
          <w:szCs w:val="20"/>
          <w:color w:val="auto"/>
        </w:rPr>
        <w:tab/>
      </w:r>
      <w:r>
        <w:rPr>
          <w:rFonts w:ascii="Courier New" w:cs="Courier New" w:eastAsia="Courier New" w:hAnsi="Courier New"/>
          <w:sz w:val="14"/>
          <w:szCs w:val="14"/>
          <w:color w:val="auto"/>
        </w:rPr>
        <w:t>Form of Acceptance, Authority and Election.**</w:t>
      </w:r>
    </w:p>
    <w:p>
      <w:pPr>
        <w:spacing w:after="0" w:line="175" w:lineRule="exact"/>
        <w:rPr>
          <w:sz w:val="20"/>
          <w:szCs w:val="20"/>
          <w:color w:val="auto"/>
        </w:rPr>
      </w:pPr>
    </w:p>
    <w:p>
      <w:pPr>
        <w:jc w:val="both"/>
        <w:ind w:left="709" w:right="335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(a)(6)</w:t>
        <w:tab/>
        <w:t>Form of Letter to Clients for use by Brokers, Dealers, Commercial Banks, Trust Companies and Other Nominees.**</w:t>
      </w:r>
    </w:p>
    <w:p>
      <w:pPr>
        <w:spacing w:after="0" w:line="176" w:lineRule="exact"/>
        <w:rPr>
          <w:sz w:val="20"/>
          <w:szCs w:val="20"/>
          <w:color w:val="auto"/>
        </w:rPr>
      </w:pPr>
    </w:p>
    <w:p>
      <w:pPr>
        <w:ind w:left="709" w:right="317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(a)(7)</w:t>
        <w:tab/>
        <w:t>Press Release announcing the Recommended Cash Offer by Schlumberger Investments for Sema plc, dated February 12, 2001.*</w:t>
      </w:r>
    </w:p>
    <w:p>
      <w:pPr>
        <w:spacing w:after="0" w:line="176" w:lineRule="exact"/>
        <w:rPr>
          <w:sz w:val="20"/>
          <w:szCs w:val="20"/>
          <w:color w:val="auto"/>
        </w:rPr>
      </w:pPr>
    </w:p>
    <w:p>
      <w:pPr>
        <w:ind w:left="709" w:right="3439" w:hanging="699"/>
        <w:spacing w:after="0" w:line="265" w:lineRule="auto"/>
        <w:tabs>
          <w:tab w:leader="none" w:pos="688" w:val="left"/>
        </w:tabs>
        <w:rPr>
          <w:sz w:val="20"/>
          <w:szCs w:val="20"/>
          <w:color w:val="auto"/>
        </w:rPr>
      </w:pPr>
      <w:r>
        <w:rPr>
          <w:rFonts w:ascii="Courier New" w:cs="Courier New" w:eastAsia="Courier New" w:hAnsi="Courier New"/>
          <w:sz w:val="14"/>
          <w:szCs w:val="14"/>
          <w:color w:val="auto"/>
        </w:rPr>
        <w:t>(a)(8)</w:t>
        <w:tab/>
        <w:t>Short Form Press Release announcing Recommended Cash Offer by Schlumberger Investments for Sema plc, dated February 12, 2001.*</w:t>
      </w:r>
    </w:p>
    <w:p>
      <w:pPr>
        <w:spacing w:after="0" w:line="158" w:lineRule="exact"/>
        <w:rPr>
          <w:sz w:val="20"/>
          <w:szCs w:val="20"/>
          <w:color w:val="auto"/>
        </w:rPr>
      </w:pPr>
    </w:p>
    <w:p>
      <w:pPr>
        <w:jc w:val="both"/>
        <w:ind w:left="709" w:right="335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(a)(9)</w:t>
        <w:tab/>
        <w:t>Additional Offer Update by Schlumberger Investments for Sema plc, dated February 12, 2001.*</w:t>
      </w:r>
    </w:p>
    <w:p>
      <w:pPr>
        <w:spacing w:after="0" w:line="176" w:lineRule="exact"/>
        <w:rPr>
          <w:sz w:val="20"/>
          <w:szCs w:val="20"/>
          <w:color w:val="auto"/>
        </w:rPr>
      </w:pPr>
    </w:p>
    <w:p>
      <w:pPr>
        <w:ind w:left="709" w:right="3439" w:hanging="704"/>
        <w:spacing w:after="0" w:line="235" w:lineRule="auto"/>
        <w:rPr>
          <w:sz w:val="20"/>
          <w:szCs w:val="20"/>
          <w:color w:val="auto"/>
        </w:rPr>
      </w:pPr>
      <w:r>
        <w:rPr>
          <w:rFonts w:ascii="Courier New" w:cs="Courier New" w:eastAsia="Courier New" w:hAnsi="Courier New"/>
          <w:sz w:val="15"/>
          <w:szCs w:val="15"/>
          <w:color w:val="auto"/>
        </w:rPr>
        <w:t>(a)(10) Press Release issued by Schlumberger Investments, dated February 13, 2001.*</w:t>
      </w:r>
    </w:p>
    <w:p>
      <w:pPr>
        <w:spacing w:after="0" w:line="176" w:lineRule="exact"/>
        <w:rPr>
          <w:sz w:val="20"/>
          <w:szCs w:val="20"/>
          <w:color w:val="auto"/>
        </w:rPr>
      </w:pPr>
    </w:p>
    <w:p>
      <w:pPr>
        <w:ind w:left="709" w:right="3439" w:hanging="704"/>
        <w:spacing w:after="0" w:line="235" w:lineRule="auto"/>
        <w:rPr>
          <w:sz w:val="20"/>
          <w:szCs w:val="20"/>
          <w:color w:val="auto"/>
        </w:rPr>
      </w:pPr>
      <w:r>
        <w:rPr>
          <w:rFonts w:ascii="Courier New" w:cs="Courier New" w:eastAsia="Courier New" w:hAnsi="Courier New"/>
          <w:sz w:val="15"/>
          <w:szCs w:val="15"/>
          <w:color w:val="auto"/>
        </w:rPr>
        <w:t>(a)(11) Press Release issued by Schlumberger Investments, dated February 21, 2001.**</w:t>
      </w:r>
    </w:p>
    <w:p>
      <w:pPr>
        <w:spacing w:after="0" w:line="176" w:lineRule="exact"/>
        <w:rPr>
          <w:sz w:val="20"/>
          <w:szCs w:val="20"/>
          <w:color w:val="auto"/>
        </w:rPr>
      </w:pPr>
    </w:p>
    <w:p>
      <w:pPr>
        <w:jc w:val="both"/>
        <w:ind w:left="709" w:right="3359" w:hanging="704"/>
        <w:spacing w:after="0" w:line="235" w:lineRule="auto"/>
        <w:rPr>
          <w:sz w:val="20"/>
          <w:szCs w:val="20"/>
          <w:color w:val="auto"/>
        </w:rPr>
      </w:pPr>
      <w:r>
        <w:rPr>
          <w:rFonts w:ascii="Courier New" w:cs="Courier New" w:eastAsia="Courier New" w:hAnsi="Courier New"/>
          <w:sz w:val="15"/>
          <w:szCs w:val="15"/>
          <w:color w:val="auto"/>
        </w:rPr>
        <w:t>(a)(12) Guidelines for Certification of Taxpayer Identification Number on Substitute Form W-9.**</w:t>
      </w:r>
    </w:p>
    <w:p>
      <w:pPr>
        <w:spacing w:after="0" w:line="176" w:lineRule="exact"/>
        <w:rPr>
          <w:sz w:val="20"/>
          <w:szCs w:val="20"/>
          <w:color w:val="auto"/>
        </w:rPr>
      </w:pPr>
    </w:p>
    <w:p>
      <w:pPr>
        <w:ind w:left="709" w:right="3539" w:hanging="704"/>
        <w:spacing w:after="0" w:line="235" w:lineRule="auto"/>
        <w:rPr>
          <w:sz w:val="20"/>
          <w:szCs w:val="20"/>
          <w:color w:val="auto"/>
        </w:rPr>
      </w:pPr>
      <w:r>
        <w:rPr>
          <w:rFonts w:ascii="Courier New" w:cs="Courier New" w:eastAsia="Courier New" w:hAnsi="Courier New"/>
          <w:sz w:val="15"/>
          <w:szCs w:val="15"/>
          <w:color w:val="auto"/>
        </w:rPr>
        <w:t>(a)(13) Form of Summary Advertisement in The Wall Street Journal, dated February 21, 2001.**</w:t>
      </w:r>
    </w:p>
    <w:p>
      <w:pPr>
        <w:spacing w:after="0" w:line="176" w:lineRule="exact"/>
        <w:rPr>
          <w:sz w:val="20"/>
          <w:szCs w:val="20"/>
          <w:color w:val="auto"/>
        </w:rPr>
      </w:pPr>
    </w:p>
    <w:p>
      <w:pPr>
        <w:ind w:left="709" w:right="3879" w:hanging="704"/>
        <w:spacing w:after="0" w:line="235" w:lineRule="auto"/>
        <w:rPr>
          <w:sz w:val="20"/>
          <w:szCs w:val="20"/>
          <w:color w:val="auto"/>
        </w:rPr>
      </w:pPr>
      <w:r>
        <w:rPr>
          <w:rFonts w:ascii="Courier New" w:cs="Courier New" w:eastAsia="Courier New" w:hAnsi="Courier New"/>
          <w:sz w:val="15"/>
          <w:szCs w:val="15"/>
          <w:color w:val="auto"/>
        </w:rPr>
        <w:t>(a)(14) Form of Summary Advertisement in the Financial Times, dated February 22, 2001.**</w:t>
      </w:r>
    </w:p>
    <w:p>
      <w:pPr>
        <w:spacing w:after="0" w:line="176" w:lineRule="exact"/>
        <w:rPr>
          <w:sz w:val="20"/>
          <w:szCs w:val="20"/>
          <w:color w:val="auto"/>
        </w:rPr>
      </w:pPr>
    </w:p>
    <w:p>
      <w:pPr>
        <w:jc w:val="both"/>
        <w:ind w:left="709" w:right="3359" w:hanging="704"/>
        <w:spacing w:after="0" w:line="265" w:lineRule="auto"/>
        <w:rPr>
          <w:sz w:val="20"/>
          <w:szCs w:val="20"/>
          <w:color w:val="auto"/>
        </w:rPr>
      </w:pPr>
      <w:r>
        <w:rPr>
          <w:rFonts w:ascii="Courier New" w:cs="Courier New" w:eastAsia="Courier New" w:hAnsi="Courier New"/>
          <w:sz w:val="14"/>
          <w:szCs w:val="14"/>
          <w:color w:val="auto"/>
        </w:rPr>
        <w:t>(a)(15) Announcement of Disclosure under Rules 8.1(a), 8.1(b)(i) and 8.3 of the City Code on Takeovers and Mergers, dated March 6, 2001.**</w:t>
      </w:r>
    </w:p>
    <w:p>
      <w:pPr>
        <w:spacing w:after="0" w:line="158" w:lineRule="exact"/>
        <w:rPr>
          <w:sz w:val="20"/>
          <w:szCs w:val="20"/>
          <w:color w:val="auto"/>
        </w:rPr>
      </w:pPr>
    </w:p>
    <w:p>
      <w:pPr>
        <w:ind w:left="709" w:right="3879" w:hanging="704"/>
        <w:spacing w:after="0" w:line="265" w:lineRule="auto"/>
        <w:rPr>
          <w:sz w:val="20"/>
          <w:szCs w:val="20"/>
          <w:color w:val="auto"/>
        </w:rPr>
      </w:pPr>
      <w:r>
        <w:rPr>
          <w:rFonts w:ascii="Courier New" w:cs="Courier New" w:eastAsia="Courier New" w:hAnsi="Courier New"/>
          <w:sz w:val="14"/>
          <w:szCs w:val="14"/>
          <w:color w:val="auto"/>
        </w:rPr>
        <w:t>(a)(16) Press Release announcing extension of Offer by Schlumberger Investments for Sema plc, dated March 22, 2001.**</w:t>
      </w:r>
    </w:p>
    <w:p>
      <w:pPr>
        <w:spacing w:after="0" w:line="158" w:lineRule="exact"/>
        <w:rPr>
          <w:sz w:val="20"/>
          <w:szCs w:val="20"/>
          <w:color w:val="auto"/>
        </w:rPr>
      </w:pPr>
    </w:p>
    <w:p>
      <w:pPr>
        <w:jc w:val="both"/>
        <w:ind w:left="709" w:right="3359" w:hanging="704"/>
        <w:spacing w:after="0" w:line="237" w:lineRule="auto"/>
        <w:rPr>
          <w:sz w:val="20"/>
          <w:szCs w:val="20"/>
          <w:color w:val="auto"/>
        </w:rPr>
      </w:pPr>
      <w:r>
        <w:rPr>
          <w:rFonts w:ascii="Courier New" w:cs="Courier New" w:eastAsia="Courier New" w:hAnsi="Courier New"/>
          <w:sz w:val="15"/>
          <w:szCs w:val="15"/>
          <w:color w:val="auto"/>
        </w:rPr>
        <w:t>(a)(17) Press Release issued by Schlumberger Investments, Reserving Right to Reduce Acceptance Condition in Offer for Sema plc, dated March 30, 2001.**</w:t>
      </w:r>
    </w:p>
    <w:p>
      <w:pPr>
        <w:spacing w:after="0" w:line="344" w:lineRule="exact"/>
        <w:rPr>
          <w:sz w:val="20"/>
          <w:szCs w:val="20"/>
          <w:color w:val="auto"/>
        </w:rPr>
      </w:pPr>
    </w:p>
    <w:p>
      <w:pPr>
        <w:ind w:left="709" w:right="3539" w:hanging="704"/>
        <w:spacing w:after="0" w:line="256" w:lineRule="auto"/>
        <w:rPr>
          <w:sz w:val="20"/>
          <w:szCs w:val="20"/>
          <w:color w:val="auto"/>
        </w:rPr>
      </w:pPr>
      <w:r>
        <w:rPr>
          <w:rFonts w:ascii="Courier New" w:cs="Courier New" w:eastAsia="Courier New" w:hAnsi="Courier New"/>
          <w:sz w:val="14"/>
          <w:szCs w:val="14"/>
          <w:color w:val="auto"/>
        </w:rPr>
        <w:t>(a)(18) Press Release issued by Schlumberger Investments, Announcing European Commission Approved Offer for Sema plc, dated April 5,</w:t>
      </w:r>
    </w:p>
    <w:p>
      <w:pPr>
        <w:ind w:left="709"/>
        <w:spacing w:after="0" w:line="233" w:lineRule="auto"/>
        <w:tabs>
          <w:tab w:leader="none" w:pos="1648" w:val="left"/>
        </w:tabs>
        <w:rPr>
          <w:sz w:val="20"/>
          <w:szCs w:val="20"/>
          <w:color w:val="auto"/>
        </w:rPr>
      </w:pPr>
      <w:r>
        <w:rPr>
          <w:rFonts w:ascii="Courier New" w:cs="Courier New" w:eastAsia="Courier New" w:hAnsi="Courier New"/>
          <w:sz w:val="15"/>
          <w:szCs w:val="15"/>
          <w:color w:val="auto"/>
        </w:rPr>
        <w:t>2001.</w:t>
      </w:r>
      <w:r>
        <w:rPr>
          <w:sz w:val="20"/>
          <w:szCs w:val="20"/>
          <w:color w:val="auto"/>
        </w:rPr>
        <w:tab/>
      </w:r>
      <w:r>
        <w:rPr>
          <w:rFonts w:ascii="Courier New" w:cs="Courier New" w:eastAsia="Courier New" w:hAnsi="Courier New"/>
          <w:sz w:val="15"/>
          <w:szCs w:val="15"/>
          <w:color w:val="auto"/>
        </w:rPr>
        <w:t>**</w:t>
      </w:r>
    </w:p>
    <w:p>
      <w:pPr>
        <w:spacing w:after="0" w:line="175" w:lineRule="exact"/>
        <w:rPr>
          <w:sz w:val="20"/>
          <w:szCs w:val="20"/>
          <w:color w:val="auto"/>
        </w:rPr>
      </w:pPr>
    </w:p>
    <w:p>
      <w:pPr>
        <w:ind w:left="709" w:right="3799" w:hanging="704"/>
        <w:spacing w:after="0" w:line="265" w:lineRule="auto"/>
        <w:rPr>
          <w:sz w:val="20"/>
          <w:szCs w:val="20"/>
          <w:color w:val="auto"/>
        </w:rPr>
      </w:pPr>
      <w:r>
        <w:rPr>
          <w:rFonts w:ascii="Courier New" w:cs="Courier New" w:eastAsia="Courier New" w:hAnsi="Courier New"/>
          <w:sz w:val="14"/>
          <w:szCs w:val="14"/>
          <w:color w:val="auto"/>
        </w:rPr>
        <w:t>(a)(19) Press Release issued by Schlumberger Investments, Announcing Schlumberger Acquires Semas, dated April 6, 2001.</w:t>
      </w:r>
    </w:p>
    <w:p>
      <w:pPr>
        <w:spacing w:after="0" w:line="153" w:lineRule="exact"/>
        <w:rPr>
          <w:sz w:val="20"/>
          <w:szCs w:val="20"/>
          <w:color w:val="auto"/>
        </w:rPr>
      </w:pPr>
    </w:p>
    <w:p>
      <w:pPr>
        <w:ind w:left="9"/>
        <w:spacing w:after="0"/>
        <w:tabs>
          <w:tab w:leader="none" w:pos="688" w:val="left"/>
        </w:tabs>
        <w:rPr>
          <w:sz w:val="20"/>
          <w:szCs w:val="20"/>
          <w:color w:val="auto"/>
        </w:rPr>
      </w:pPr>
      <w:r>
        <w:rPr>
          <w:rFonts w:ascii="Courier New" w:cs="Courier New" w:eastAsia="Courier New" w:hAnsi="Courier New"/>
          <w:sz w:val="15"/>
          <w:szCs w:val="15"/>
          <w:color w:val="auto"/>
        </w:rPr>
        <w:t>(b)(1)</w:t>
      </w:r>
      <w:r>
        <w:rPr>
          <w:sz w:val="20"/>
          <w:szCs w:val="20"/>
          <w:color w:val="auto"/>
        </w:rPr>
        <w:tab/>
      </w:r>
      <w:r>
        <w:rPr>
          <w:rFonts w:ascii="Courier New" w:cs="Courier New" w:eastAsia="Courier New" w:hAnsi="Courier New"/>
          <w:sz w:val="14"/>
          <w:szCs w:val="14"/>
          <w:color w:val="auto"/>
        </w:rPr>
        <w:t>Credit Facility, dated February 20, 2001, between (1) Schlumberger;</w:t>
      </w:r>
    </w:p>
    <w:p>
      <w:pPr>
        <w:spacing w:after="0" w:line="5" w:lineRule="exact"/>
        <w:rPr>
          <w:sz w:val="20"/>
          <w:szCs w:val="20"/>
          <w:color w:val="auto"/>
        </w:rPr>
      </w:pPr>
    </w:p>
    <w:p>
      <w:pPr>
        <w:ind w:left="709" w:right="3359" w:hanging="4"/>
        <w:spacing w:after="0" w:line="259" w:lineRule="auto"/>
        <w:tabs>
          <w:tab w:leader="none" w:pos="1061"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Schlumberger Industries S.A.; (3) Schlumberger PLC; (4) Schlumberger Investments; (5) JP Morgan Plc, BNP Paribas, Salomon Brothers International Limited and Lehman Brothers International (Europe) (each as arrangers), Citibank International Plc as</w:t>
      </w:r>
    </w:p>
    <w:p>
      <w:pPr>
        <w:sectPr>
          <w:pgSz w:w="11900" w:h="16838" w:orient="portrait"/>
          <w:cols w:equalWidth="0" w:num="1">
            <w:col w:w="9788"/>
          </w:cols>
          <w:pgMar w:left="671" w:top="136" w:right="1440" w:bottom="0" w:gutter="0" w:footer="0" w:header="0"/>
        </w:sectPr>
      </w:pPr>
    </w:p>
    <w:bookmarkStart w:id="9" w:name="page10"/>
    <w:bookmarkEnd w:id="9"/>
    <w:p>
      <w:pPr>
        <w:ind w:right="3179"/>
        <w:spacing w:after="0" w:line="235" w:lineRule="auto"/>
        <w:rPr>
          <w:sz w:val="20"/>
          <w:szCs w:val="20"/>
          <w:color w:val="auto"/>
        </w:rPr>
      </w:pPr>
      <w:r>
        <w:rPr>
          <w:rFonts w:ascii="Courier New" w:cs="Courier New" w:eastAsia="Courier New" w:hAnsi="Courier New"/>
          <w:sz w:val="15"/>
          <w:szCs w:val="15"/>
          <w:color w:val="auto"/>
        </w:rPr>
        <w:t>facility agent, and The Chase Manhattan Bank, BNP Paribas Citibank, N.A., and Lehman Commercial Paper Inc.**</w:t>
      </w:r>
    </w:p>
    <w:p>
      <w:pPr>
        <w:spacing w:after="0" w:line="170"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Page 8</w:t>
      </w:r>
    </w:p>
    <w:p>
      <w:pPr>
        <w:sectPr>
          <w:pgSz w:w="11900" w:h="16838" w:orient="portrait"/>
          <w:cols w:equalWidth="0" w:num="1">
            <w:col w:w="9079"/>
          </w:cols>
          <w:pgMar w:left="1380" w:top="141" w:right="1440" w:bottom="1440" w:gutter="0" w:footer="0" w:header="0"/>
        </w:sectPr>
      </w:pPr>
    </w:p>
    <w:bookmarkStart w:id="10" w:name="page11"/>
    <w:bookmarkEnd w:id="10"/>
    <w:p>
      <w:pPr>
        <w:ind w:left="709" w:hanging="709"/>
        <w:spacing w:after="0"/>
        <w:tabs>
          <w:tab w:leader="none" w:pos="709"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75" w:lineRule="exact"/>
        <w:rPr>
          <w:sz w:val="20"/>
          <w:szCs w:val="20"/>
          <w:color w:val="auto"/>
        </w:rPr>
      </w:pPr>
    </w:p>
    <w:p>
      <w:pPr>
        <w:ind w:left="709" w:right="335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(d)(1)</w:t>
        <w:tab/>
        <w:t>Inducement Fee Letter Agreement, dated February 12, 2001, between Schlumberger Investments and Sema.**</w:t>
      </w:r>
    </w:p>
    <w:p>
      <w:pPr>
        <w:spacing w:after="0" w:line="176" w:lineRule="exact"/>
        <w:rPr>
          <w:sz w:val="20"/>
          <w:szCs w:val="20"/>
          <w:color w:val="auto"/>
        </w:rPr>
      </w:pPr>
    </w:p>
    <w:p>
      <w:pPr>
        <w:ind w:left="709" w:right="317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(d)(2)</w:t>
        <w:tab/>
        <w:t>Director Undertaking, dated February 11, 2001, from Veronica Oswald to Schlumberger.**</w:t>
      </w:r>
    </w:p>
    <w:p>
      <w:pPr>
        <w:spacing w:after="0" w:line="176" w:lineRule="exact"/>
        <w:rPr>
          <w:sz w:val="20"/>
          <w:szCs w:val="20"/>
          <w:color w:val="auto"/>
        </w:rPr>
      </w:pPr>
    </w:p>
    <w:p>
      <w:pPr>
        <w:jc w:val="both"/>
        <w:ind w:left="709" w:right="361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(d)(3)</w:t>
        <w:tab/>
        <w:t>Director Undertaking, dated February 11, 2001, from Sir Julian Oswald to Schlumberger.**</w:t>
      </w:r>
    </w:p>
    <w:p>
      <w:pPr>
        <w:spacing w:after="0" w:line="176" w:lineRule="exact"/>
        <w:rPr>
          <w:sz w:val="20"/>
          <w:szCs w:val="20"/>
          <w:color w:val="auto"/>
        </w:rPr>
      </w:pPr>
    </w:p>
    <w:p>
      <w:pPr>
        <w:ind w:left="709" w:right="325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(d)(4)</w:t>
        <w:tab/>
        <w:t>Director Undertaking, dated February 11, 2001, from Pierre Bonelli to Schlumberger.**</w:t>
      </w:r>
    </w:p>
    <w:p>
      <w:pPr>
        <w:spacing w:after="0" w:line="176" w:lineRule="exact"/>
        <w:rPr>
          <w:sz w:val="20"/>
          <w:szCs w:val="20"/>
          <w:color w:val="auto"/>
        </w:rPr>
      </w:pPr>
    </w:p>
    <w:p>
      <w:pPr>
        <w:ind w:left="709" w:right="335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(d)(5)</w:t>
        <w:tab/>
        <w:t>Director Undertaking, dated February 11, 2001, from William Bitan to Schlumberger.**</w:t>
      </w:r>
    </w:p>
    <w:p>
      <w:pPr>
        <w:spacing w:after="0" w:line="176" w:lineRule="exact"/>
        <w:rPr>
          <w:sz w:val="20"/>
          <w:szCs w:val="20"/>
          <w:color w:val="auto"/>
        </w:rPr>
      </w:pPr>
    </w:p>
    <w:p>
      <w:pPr>
        <w:ind w:left="709" w:right="335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(d)(6)</w:t>
        <w:tab/>
        <w:t>Director Undertaking, dated February 11, 2001, from Gilles Cosson to Schlumberger.**</w:t>
      </w:r>
    </w:p>
    <w:p>
      <w:pPr>
        <w:spacing w:after="0" w:line="176" w:lineRule="exact"/>
        <w:rPr>
          <w:sz w:val="20"/>
          <w:szCs w:val="20"/>
          <w:color w:val="auto"/>
        </w:rPr>
      </w:pPr>
    </w:p>
    <w:p>
      <w:pPr>
        <w:ind w:left="709" w:right="335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(d)(7)</w:t>
        <w:tab/>
        <w:t>Director Undertaking, dated February 11, 2001, from Herve Couffin to Schlumberger.**</w:t>
      </w:r>
    </w:p>
    <w:p>
      <w:pPr>
        <w:spacing w:after="0" w:line="176" w:lineRule="exact"/>
        <w:rPr>
          <w:sz w:val="20"/>
          <w:szCs w:val="20"/>
          <w:color w:val="auto"/>
        </w:rPr>
      </w:pPr>
    </w:p>
    <w:p>
      <w:pPr>
        <w:ind w:left="709" w:right="317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(d)(8)</w:t>
        <w:tab/>
        <w:t>Director Undertaking, dated February 11, 2001, from Pascal Viginier to Schlumberger.**</w:t>
      </w:r>
    </w:p>
    <w:p>
      <w:pPr>
        <w:spacing w:after="0" w:line="176" w:lineRule="exact"/>
        <w:rPr>
          <w:sz w:val="20"/>
          <w:szCs w:val="20"/>
          <w:color w:val="auto"/>
        </w:rPr>
      </w:pPr>
    </w:p>
    <w:p>
      <w:pPr>
        <w:ind w:left="709" w:right="325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(d)(9)</w:t>
        <w:tab/>
        <w:t>Director Undertaking, dated February 11, 2001, from Frank Jones to Schlumberger.**</w:t>
      </w:r>
    </w:p>
    <w:p>
      <w:pPr>
        <w:spacing w:after="0" w:line="176" w:lineRule="exact"/>
        <w:rPr>
          <w:sz w:val="20"/>
          <w:szCs w:val="20"/>
          <w:color w:val="auto"/>
        </w:rPr>
      </w:pPr>
    </w:p>
    <w:p>
      <w:pPr>
        <w:ind w:left="709" w:right="3259" w:hanging="704"/>
        <w:spacing w:after="0" w:line="235" w:lineRule="auto"/>
        <w:rPr>
          <w:sz w:val="20"/>
          <w:szCs w:val="20"/>
          <w:color w:val="auto"/>
        </w:rPr>
      </w:pPr>
      <w:r>
        <w:rPr>
          <w:rFonts w:ascii="Courier New" w:cs="Courier New" w:eastAsia="Courier New" w:hAnsi="Courier New"/>
          <w:sz w:val="15"/>
          <w:szCs w:val="15"/>
          <w:color w:val="auto"/>
        </w:rPr>
        <w:t>(d)(10) Director Undertaking, dated February 11, 2001, from Harry Fryer to Schlumberger.**</w:t>
      </w:r>
    </w:p>
    <w:p>
      <w:pPr>
        <w:spacing w:after="0" w:line="176" w:lineRule="exact"/>
        <w:rPr>
          <w:sz w:val="20"/>
          <w:szCs w:val="20"/>
          <w:color w:val="auto"/>
        </w:rPr>
      </w:pPr>
    </w:p>
    <w:p>
      <w:pPr>
        <w:ind w:left="709" w:right="3359" w:hanging="704"/>
        <w:spacing w:after="0" w:line="235" w:lineRule="auto"/>
        <w:rPr>
          <w:sz w:val="20"/>
          <w:szCs w:val="20"/>
          <w:color w:val="auto"/>
        </w:rPr>
      </w:pPr>
      <w:r>
        <w:rPr>
          <w:rFonts w:ascii="Courier New" w:cs="Courier New" w:eastAsia="Courier New" w:hAnsi="Courier New"/>
          <w:sz w:val="15"/>
          <w:szCs w:val="15"/>
          <w:color w:val="auto"/>
        </w:rPr>
        <w:t>(d)(11) Director Undertaking, dated February 11, 2001, from Tidu Maini to Schlumberger.**</w:t>
      </w:r>
    </w:p>
    <w:p>
      <w:pPr>
        <w:spacing w:after="0" w:line="176" w:lineRule="exact"/>
        <w:rPr>
          <w:sz w:val="20"/>
          <w:szCs w:val="20"/>
          <w:color w:val="auto"/>
        </w:rPr>
      </w:pPr>
    </w:p>
    <w:p>
      <w:pPr>
        <w:ind w:left="709" w:right="3259" w:hanging="704"/>
        <w:spacing w:after="0" w:line="235" w:lineRule="auto"/>
        <w:rPr>
          <w:sz w:val="20"/>
          <w:szCs w:val="20"/>
          <w:color w:val="auto"/>
        </w:rPr>
      </w:pPr>
      <w:r>
        <w:rPr>
          <w:rFonts w:ascii="Courier New" w:cs="Courier New" w:eastAsia="Courier New" w:hAnsi="Courier New"/>
          <w:sz w:val="15"/>
          <w:szCs w:val="15"/>
          <w:color w:val="auto"/>
        </w:rPr>
        <w:t>(d)(12) Director Undertaking, dated February 11, 2001, from Didier Pineau-Valencienne to Schlumberger.**</w:t>
      </w:r>
    </w:p>
    <w:p>
      <w:pPr>
        <w:spacing w:after="0" w:line="176" w:lineRule="exact"/>
        <w:rPr>
          <w:sz w:val="20"/>
          <w:szCs w:val="20"/>
          <w:color w:val="auto"/>
        </w:rPr>
      </w:pPr>
    </w:p>
    <w:p>
      <w:pPr>
        <w:ind w:left="709" w:right="3259" w:hanging="704"/>
        <w:spacing w:after="0" w:line="235" w:lineRule="auto"/>
        <w:rPr>
          <w:sz w:val="20"/>
          <w:szCs w:val="20"/>
          <w:color w:val="auto"/>
        </w:rPr>
      </w:pPr>
      <w:r>
        <w:rPr>
          <w:rFonts w:ascii="Courier New" w:cs="Courier New" w:eastAsia="Courier New" w:hAnsi="Courier New"/>
          <w:sz w:val="15"/>
          <w:szCs w:val="15"/>
          <w:color w:val="auto"/>
        </w:rPr>
        <w:t>(d)(13) Director Undertaking, dated February 11, 2001, from George Schmitt to Schlumberger.**</w:t>
      </w:r>
    </w:p>
    <w:p>
      <w:pPr>
        <w:spacing w:after="0" w:line="176" w:lineRule="exact"/>
        <w:rPr>
          <w:sz w:val="20"/>
          <w:szCs w:val="20"/>
          <w:color w:val="auto"/>
        </w:rPr>
      </w:pPr>
    </w:p>
    <w:p>
      <w:pPr>
        <w:jc w:val="both"/>
        <w:ind w:left="709" w:right="3619" w:hanging="704"/>
        <w:spacing w:after="0" w:line="237" w:lineRule="auto"/>
        <w:rPr>
          <w:sz w:val="20"/>
          <w:szCs w:val="20"/>
          <w:color w:val="auto"/>
        </w:rPr>
      </w:pPr>
      <w:r>
        <w:rPr>
          <w:rFonts w:ascii="Courier New" w:cs="Courier New" w:eastAsia="Courier New" w:hAnsi="Courier New"/>
          <w:sz w:val="15"/>
          <w:szCs w:val="15"/>
          <w:color w:val="auto"/>
        </w:rPr>
        <w:t>(d)(14) Irrevocable Undertaking, dated February 12, 2001, from Paribas Affaires Industrielles to Schlumberger Investments and Lehman Brothers Europe Limited.**</w:t>
      </w:r>
    </w:p>
    <w:p>
      <w:pPr>
        <w:spacing w:after="0" w:line="175" w:lineRule="exact"/>
        <w:rPr>
          <w:sz w:val="20"/>
          <w:szCs w:val="20"/>
          <w:color w:val="auto"/>
        </w:rPr>
      </w:pPr>
    </w:p>
    <w:p>
      <w:pPr>
        <w:ind w:left="709" w:right="3179" w:hanging="704"/>
        <w:spacing w:after="0" w:line="237" w:lineRule="auto"/>
        <w:rPr>
          <w:sz w:val="20"/>
          <w:szCs w:val="20"/>
          <w:color w:val="auto"/>
        </w:rPr>
      </w:pPr>
      <w:r>
        <w:rPr>
          <w:rFonts w:ascii="Courier New" w:cs="Courier New" w:eastAsia="Courier New" w:hAnsi="Courier New"/>
          <w:sz w:val="15"/>
          <w:szCs w:val="15"/>
          <w:color w:val="auto"/>
        </w:rPr>
        <w:t>(d)(15) Irrevocable Undertaking, dated February 12, 2001, from France Telecom S.A. to Schlumberger Investments and Lehman Brothers Europe Limited.**</w:t>
      </w:r>
    </w:p>
    <w:p>
      <w:pPr>
        <w:spacing w:after="0" w:line="175" w:lineRule="exact"/>
        <w:rPr>
          <w:sz w:val="20"/>
          <w:szCs w:val="20"/>
          <w:color w:val="auto"/>
        </w:rPr>
      </w:pPr>
    </w:p>
    <w:p>
      <w:pPr>
        <w:ind w:left="709" w:right="4759" w:hanging="704"/>
        <w:spacing w:after="0" w:line="235" w:lineRule="auto"/>
        <w:rPr>
          <w:sz w:val="20"/>
          <w:szCs w:val="20"/>
          <w:color w:val="auto"/>
        </w:rPr>
      </w:pPr>
      <w:r>
        <w:rPr>
          <w:rFonts w:ascii="Courier New" w:cs="Courier New" w:eastAsia="Courier New" w:hAnsi="Courier New"/>
          <w:sz w:val="15"/>
          <w:szCs w:val="15"/>
          <w:color w:val="auto"/>
        </w:rPr>
        <w:t>(d)(16) Power of Attorney of Schlumberger Investments and Schlumberger.**</w:t>
      </w:r>
    </w:p>
    <w:p>
      <w:pPr>
        <w:spacing w:after="0" w:line="170"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Page 9</w:t>
      </w:r>
    </w:p>
    <w:p>
      <w:pPr>
        <w:sectPr>
          <w:pgSz w:w="11900" w:h="16838" w:orient="portrait"/>
          <w:cols w:equalWidth="0" w:num="1">
            <w:col w:w="9788"/>
          </w:cols>
          <w:pgMar w:left="671" w:top="622" w:right="1440" w:bottom="1440" w:gutter="0" w:footer="0" w:header="0"/>
        </w:sectPr>
      </w:pPr>
    </w:p>
    <w:bookmarkStart w:id="11" w:name="page12"/>
    <w:bookmarkEnd w:id="11"/>
    <w:p>
      <w:pPr>
        <w:ind w:left="449" w:hanging="449"/>
        <w:spacing w:after="0"/>
        <w:tabs>
          <w:tab w:leader="none" w:pos="449"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69"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69"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69"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344" w:lineRule="exact"/>
        <w:rPr>
          <w:sz w:val="20"/>
          <w:szCs w:val="20"/>
          <w:color w:val="auto"/>
        </w:rPr>
      </w:pPr>
    </w:p>
    <w:p>
      <w:pPr>
        <w:jc w:val="both"/>
        <w:ind w:left="449" w:right="3439" w:hanging="449"/>
        <w:spacing w:after="0" w:line="265" w:lineRule="auto"/>
        <w:tabs>
          <w:tab w:leader="none" w:pos="449"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Schedule TO filed on February 12, 2001 or with Amendment No. 1 to the Schedule TO filed on February 13, 2001.</w:t>
      </w:r>
    </w:p>
    <w:p>
      <w:pPr>
        <w:spacing w:after="0" w:line="158" w:lineRule="exact"/>
        <w:rPr>
          <w:sz w:val="20"/>
          <w:szCs w:val="20"/>
          <w:color w:val="auto"/>
        </w:rPr>
      </w:pPr>
    </w:p>
    <w:p>
      <w:pPr>
        <w:ind w:left="449" w:right="3179" w:hanging="449"/>
        <w:spacing w:after="0" w:line="238" w:lineRule="auto"/>
        <w:tabs>
          <w:tab w:leader="none" w:pos="449"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Schedule TO filed on February 21, 2001 or with Amendment No. 1 to the Schedule TO filed on February 22, 2001, or with Amendment No. 2 to the Schedule TO filed on March 6, 2001, or with Amendment No. 4 to the Schedule TO filed on March 22, 2001, or with Amendment No. 5 to the Schedule TO filed March 30, 2001, or with Amendment No. 6 to the Schedule TO filed April 5, 2001.</w:t>
      </w:r>
    </w:p>
    <w:p>
      <w:pPr>
        <w:spacing w:after="0" w:line="170"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Page 10</w:t>
      </w:r>
    </w:p>
    <w:p>
      <w:pPr>
        <w:sectPr>
          <w:pgSz w:w="11900" w:h="16838" w:orient="portrait"/>
          <w:cols w:equalWidth="0" w:num="1">
            <w:col w:w="9788"/>
          </w:cols>
          <w:pgMar w:left="671" w:top="622" w:right="1440" w:bottom="1440" w:gutter="0" w:footer="0" w:header="0"/>
        </w:sectPr>
      </w:pPr>
    </w:p>
    <w:bookmarkStart w:id="12" w:name="page13"/>
    <w:bookmarkEnd w:id="12"/>
    <w:p>
      <w:pPr>
        <w:jc w:val="center"/>
        <w:ind w:right="3799"/>
        <w:spacing w:after="0"/>
        <w:rPr>
          <w:sz w:val="20"/>
          <w:szCs w:val="20"/>
          <w:color w:val="auto"/>
        </w:rPr>
      </w:pPr>
      <w:r>
        <w:rPr>
          <w:rFonts w:ascii="Courier New" w:cs="Courier New" w:eastAsia="Courier New" w:hAnsi="Courier New"/>
          <w:sz w:val="15"/>
          <w:szCs w:val="15"/>
          <w:color w:val="auto"/>
        </w:rPr>
        <w:t>Signatures</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After due inquiry and to the best of our knowledge and belief, the undersigned hereby certify that the information set forth in this amendment to the tender offer statement is true, complete and correct.</w:t>
      </w:r>
    </w:p>
    <w:p>
      <w:pPr>
        <w:spacing w:after="0" w:line="169"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Dated:</w:t>
      </w:r>
      <w:r>
        <w:rPr>
          <w:sz w:val="20"/>
          <w:szCs w:val="20"/>
          <w:color w:val="auto"/>
        </w:rPr>
        <w:tab/>
      </w:r>
      <w:r>
        <w:rPr>
          <w:rFonts w:ascii="Courier New" w:cs="Courier New" w:eastAsia="Courier New" w:hAnsi="Courier New"/>
          <w:sz w:val="14"/>
          <w:szCs w:val="14"/>
          <w:color w:val="auto"/>
        </w:rPr>
        <w:t>April 6, 2001</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00" w:type="dxa"/>
            <w:vAlign w:val="bottom"/>
            <w:gridSpan w:val="2"/>
          </w:tcPr>
          <w:p>
            <w:pPr>
              <w:spacing w:after="0"/>
              <w:rPr>
                <w:sz w:val="20"/>
                <w:szCs w:val="20"/>
                <w:color w:val="auto"/>
              </w:rPr>
            </w:pPr>
            <w:r>
              <w:rPr>
                <w:rFonts w:ascii="Courier New" w:cs="Courier New" w:eastAsia="Courier New" w:hAnsi="Courier New"/>
                <w:sz w:val="15"/>
                <w:szCs w:val="15"/>
                <w:color w:val="auto"/>
                <w:w w:val="99"/>
              </w:rPr>
              <w:t>SCHLUMBERGER</w:t>
            </w:r>
          </w:p>
        </w:tc>
        <w:tc>
          <w:tcPr>
            <w:tcW w:w="2060" w:type="dxa"/>
            <w:vAlign w:val="bottom"/>
          </w:tcPr>
          <w:p>
            <w:pPr>
              <w:ind w:left="40"/>
              <w:spacing w:after="0"/>
              <w:rPr>
                <w:sz w:val="20"/>
                <w:szCs w:val="20"/>
                <w:color w:val="auto"/>
              </w:rPr>
            </w:pPr>
            <w:r>
              <w:rPr>
                <w:rFonts w:ascii="Courier New" w:cs="Courier New" w:eastAsia="Courier New" w:hAnsi="Courier New"/>
                <w:sz w:val="15"/>
                <w:szCs w:val="15"/>
                <w:color w:val="auto"/>
              </w:rPr>
              <w:t>INVESTMENTS</w:t>
            </w:r>
          </w:p>
        </w:tc>
        <w:tc>
          <w:tcPr>
            <w:tcW w:w="186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6"/>
              </w:rPr>
              <w:t>SCHLUMBERGER</w:t>
            </w:r>
          </w:p>
        </w:tc>
        <w:tc>
          <w:tcPr>
            <w:tcW w:w="1320" w:type="dxa"/>
            <w:vAlign w:val="bottom"/>
          </w:tcPr>
          <w:p>
            <w:pPr>
              <w:ind w:left="80"/>
              <w:spacing w:after="0"/>
              <w:rPr>
                <w:sz w:val="20"/>
                <w:szCs w:val="20"/>
                <w:color w:val="auto"/>
              </w:rPr>
            </w:pPr>
            <w:r>
              <w:rPr>
                <w:rFonts w:ascii="Courier New" w:cs="Courier New" w:eastAsia="Courier New" w:hAnsi="Courier New"/>
                <w:sz w:val="15"/>
                <w:szCs w:val="15"/>
                <w:color w:val="auto"/>
              </w:rPr>
              <w:t>N.V.</w:t>
            </w:r>
          </w:p>
        </w:tc>
      </w:tr>
      <w:tr>
        <w:trPr>
          <w:trHeight w:val="339"/>
        </w:trPr>
        <w:tc>
          <w:tcPr>
            <w:tcW w:w="56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26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 ELLEN SUMMER</w:t>
            </w:r>
          </w:p>
        </w:tc>
        <w:tc>
          <w:tcPr>
            <w:tcW w:w="1380" w:type="dxa"/>
            <w:vAlign w:val="bottom"/>
          </w:tcPr>
          <w:p>
            <w:pPr>
              <w:ind w:left="800"/>
              <w:spacing w:after="0"/>
              <w:rPr>
                <w:sz w:val="20"/>
                <w:szCs w:val="20"/>
                <w:color w:val="auto"/>
              </w:rPr>
            </w:pPr>
            <w:r>
              <w:rPr>
                <w:rFonts w:ascii="Courier New" w:cs="Courier New" w:eastAsia="Courier New" w:hAnsi="Courier New"/>
                <w:sz w:val="15"/>
                <w:szCs w:val="15"/>
                <w:color w:val="auto"/>
              </w:rPr>
              <w:t>By:</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/s/</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ELLEN SUMMER</w:t>
            </w:r>
          </w:p>
        </w:tc>
      </w:tr>
      <w:tr>
        <w:trPr>
          <w:trHeight w:val="170"/>
        </w:trPr>
        <w:tc>
          <w:tcPr>
            <w:tcW w:w="560" w:type="dxa"/>
            <w:vAlign w:val="bottom"/>
          </w:tcPr>
          <w:p>
            <w:pPr>
              <w:spacing w:after="0"/>
              <w:rPr>
                <w:sz w:val="14"/>
                <w:szCs w:val="14"/>
                <w:color w:val="auto"/>
              </w:rPr>
            </w:pPr>
          </w:p>
        </w:tc>
        <w:tc>
          <w:tcPr>
            <w:tcW w:w="26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spacing w:after="0"/>
              <w:rPr>
                <w:sz w:val="14"/>
                <w:szCs w:val="14"/>
                <w:color w:val="auto"/>
              </w:rPr>
            </w:pPr>
          </w:p>
        </w:tc>
        <w:tc>
          <w:tcPr>
            <w:tcW w:w="18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Ellen</w:t>
            </w:r>
          </w:p>
        </w:tc>
        <w:tc>
          <w:tcPr>
            <w:tcW w:w="2060" w:type="dxa"/>
            <w:vAlign w:val="bottom"/>
          </w:tcPr>
          <w:p>
            <w:pPr>
              <w:ind w:left="40"/>
              <w:spacing w:after="0"/>
              <w:rPr>
                <w:sz w:val="20"/>
                <w:szCs w:val="20"/>
                <w:color w:val="auto"/>
              </w:rPr>
            </w:pPr>
            <w:r>
              <w:rPr>
                <w:rFonts w:ascii="Courier New" w:cs="Courier New" w:eastAsia="Courier New" w:hAnsi="Courier New"/>
                <w:sz w:val="15"/>
                <w:szCs w:val="15"/>
                <w:color w:val="auto"/>
              </w:rPr>
              <w:t>Summer</w:t>
            </w:r>
          </w:p>
        </w:tc>
        <w:tc>
          <w:tcPr>
            <w:tcW w:w="1380" w:type="dxa"/>
            <w:vAlign w:val="bottom"/>
          </w:tcPr>
          <w:p>
            <w:pPr>
              <w:ind w:left="800"/>
              <w:spacing w:after="0"/>
              <w:rPr>
                <w:sz w:val="20"/>
                <w:szCs w:val="20"/>
                <w:color w:val="auto"/>
              </w:rPr>
            </w:pPr>
            <w:r>
              <w:rPr>
                <w:rFonts w:ascii="Courier New" w:cs="Courier New" w:eastAsia="Courier New" w:hAnsi="Courier New"/>
                <w:sz w:val="15"/>
                <w:szCs w:val="15"/>
                <w:color w:val="auto"/>
              </w:rPr>
              <w:t>Name:</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Ellen</w:t>
            </w:r>
          </w:p>
        </w:tc>
        <w:tc>
          <w:tcPr>
            <w:tcW w:w="1320" w:type="dxa"/>
            <w:vAlign w:val="bottom"/>
          </w:tcPr>
          <w:p>
            <w:pPr>
              <w:ind w:left="80"/>
              <w:spacing w:after="0"/>
              <w:rPr>
                <w:sz w:val="20"/>
                <w:szCs w:val="20"/>
                <w:color w:val="auto"/>
              </w:rPr>
            </w:pPr>
            <w:r>
              <w:rPr>
                <w:rFonts w:ascii="Courier New" w:cs="Courier New" w:eastAsia="Courier New" w:hAnsi="Courier New"/>
                <w:sz w:val="15"/>
                <w:szCs w:val="15"/>
                <w:color w:val="auto"/>
              </w:rPr>
              <w:t>Summer</w:t>
            </w:r>
          </w:p>
        </w:tc>
      </w:t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Title:</w:t>
            </w:r>
          </w:p>
        </w:tc>
        <w:tc>
          <w:tcPr>
            <w:tcW w:w="26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Authorized Signatory</w:t>
            </w:r>
          </w:p>
        </w:tc>
        <w:tc>
          <w:tcPr>
            <w:tcW w:w="1380" w:type="dxa"/>
            <w:vAlign w:val="bottom"/>
          </w:tcPr>
          <w:p>
            <w:pPr>
              <w:ind w:left="800"/>
              <w:spacing w:after="0"/>
              <w:rPr>
                <w:sz w:val="20"/>
                <w:szCs w:val="20"/>
                <w:color w:val="auto"/>
              </w:rPr>
            </w:pPr>
            <w:r>
              <w:rPr>
                <w:rFonts w:ascii="Courier New" w:cs="Courier New" w:eastAsia="Courier New" w:hAnsi="Courier New"/>
                <w:sz w:val="15"/>
                <w:szCs w:val="15"/>
                <w:color w:val="auto"/>
              </w:rPr>
              <w:t>Title:</w:t>
            </w:r>
          </w:p>
        </w:tc>
        <w:tc>
          <w:tcPr>
            <w:tcW w:w="18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6"/>
              </w:rPr>
              <w:t>Authorized Signatory</w:t>
            </w:r>
          </w:p>
        </w:tc>
      </w:tr>
    </w:tbl>
    <w:p>
      <w:pPr>
        <w:spacing w:after="0" w:line="1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Page 11</w:t>
      </w:r>
    </w:p>
    <w:p>
      <w:pPr>
        <w:sectPr>
          <w:pgSz w:w="11900" w:h="16838" w:orient="portrait"/>
          <w:cols w:equalWidth="0" w:num="1">
            <w:col w:w="9779"/>
          </w:cols>
          <w:pgMar w:left="680" w:top="622" w:right="1440" w:bottom="1440" w:gutter="0" w:footer="0" w:header="0"/>
        </w:sectPr>
      </w:pPr>
    </w:p>
    <w:bookmarkStart w:id="13" w:name="page14"/>
    <w:bookmarkEnd w:id="13"/>
    <w:p>
      <w:pPr>
        <w:jc w:val="center"/>
        <w:ind w:right="3799"/>
        <w:spacing w:after="0"/>
        <w:rPr>
          <w:sz w:val="20"/>
          <w:szCs w:val="20"/>
          <w:color w:val="auto"/>
        </w:rPr>
      </w:pPr>
      <w:r>
        <w:rPr>
          <w:rFonts w:ascii="Courier New" w:cs="Courier New" w:eastAsia="Courier New" w:hAnsi="Courier New"/>
          <w:sz w:val="15"/>
          <w:szCs w:val="15"/>
          <w:color w:val="auto"/>
        </w:rPr>
        <w:t>Signatures</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After due inquiry and to the best of our knowledge and belief, the undersigned hereby certify that the information set forth in this amendment to the tender offer statement is true, complete and correct.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April 6, 2001</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20" w:type="dxa"/>
            <w:vAlign w:val="bottom"/>
            <w:gridSpan w:val="2"/>
          </w:tcPr>
          <w:p>
            <w:pPr>
              <w:spacing w:after="0"/>
              <w:rPr>
                <w:sz w:val="20"/>
                <w:szCs w:val="20"/>
                <w:color w:val="auto"/>
              </w:rPr>
            </w:pPr>
            <w:r>
              <w:rPr>
                <w:rFonts w:ascii="Courier New" w:cs="Courier New" w:eastAsia="Courier New" w:hAnsi="Courier New"/>
                <w:sz w:val="15"/>
                <w:szCs w:val="15"/>
                <w:color w:val="auto"/>
              </w:rPr>
              <w:t>SCHLUMBERGER INDUSTRIES S.A.</w:t>
            </w:r>
          </w:p>
        </w:tc>
        <w:tc>
          <w:tcPr>
            <w:tcW w:w="29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SCHLUMBERGER B.V.</w:t>
            </w:r>
          </w:p>
        </w:tc>
      </w:tr>
      <w:tr>
        <w:trPr>
          <w:trHeight w:val="339"/>
        </w:trPr>
        <w:tc>
          <w:tcPr>
            <w:tcW w:w="56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2960" w:type="dxa"/>
            <w:vAlign w:val="bottom"/>
          </w:tcPr>
          <w:p>
            <w:pPr>
              <w:ind w:left="40"/>
              <w:spacing w:after="0"/>
              <w:rPr>
                <w:sz w:val="20"/>
                <w:szCs w:val="20"/>
                <w:color w:val="auto"/>
              </w:rPr>
            </w:pPr>
            <w:r>
              <w:rPr>
                <w:rFonts w:ascii="Courier New" w:cs="Courier New" w:eastAsia="Courier New" w:hAnsi="Courier New"/>
                <w:sz w:val="15"/>
                <w:szCs w:val="15"/>
                <w:color w:val="auto"/>
              </w:rPr>
              <w:t>/s/ JEAN-DOMINIQUE PERCEVAULT</w:t>
            </w:r>
          </w:p>
        </w:tc>
        <w:tc>
          <w:tcPr>
            <w:tcW w:w="920" w:type="dxa"/>
            <w:vAlign w:val="bottom"/>
          </w:tcPr>
          <w:p>
            <w:pPr>
              <w:ind w:left="340"/>
              <w:spacing w:after="0"/>
              <w:rPr>
                <w:sz w:val="20"/>
                <w:szCs w:val="20"/>
                <w:color w:val="auto"/>
              </w:rPr>
            </w:pPr>
            <w:r>
              <w:rPr>
                <w:rFonts w:ascii="Courier New" w:cs="Courier New" w:eastAsia="Courier New" w:hAnsi="Courier New"/>
                <w:sz w:val="15"/>
                <w:szCs w:val="15"/>
                <w:color w:val="auto"/>
              </w:rPr>
              <w:t>By:</w:t>
            </w: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rPr>
              <w:t>/s/ ABRAHAM VERBURG</w:t>
            </w:r>
          </w:p>
        </w:tc>
      </w:tr>
      <w:tr>
        <w:trPr>
          <w:trHeight w:val="170"/>
        </w:trPr>
        <w:tc>
          <w:tcPr>
            <w:tcW w:w="560" w:type="dxa"/>
            <w:vAlign w:val="bottom"/>
          </w:tcPr>
          <w:p>
            <w:pPr>
              <w:spacing w:after="0"/>
              <w:rPr>
                <w:sz w:val="14"/>
                <w:szCs w:val="14"/>
                <w:color w:val="auto"/>
              </w:rPr>
            </w:pPr>
          </w:p>
        </w:tc>
        <w:tc>
          <w:tcPr>
            <w:tcW w:w="29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2960" w:type="dxa"/>
            <w:vAlign w:val="bottom"/>
          </w:tcPr>
          <w:p>
            <w:pPr>
              <w:ind w:left="40"/>
              <w:spacing w:after="0"/>
              <w:rPr>
                <w:sz w:val="20"/>
                <w:szCs w:val="20"/>
                <w:color w:val="auto"/>
              </w:rPr>
            </w:pPr>
            <w:r>
              <w:rPr>
                <w:rFonts w:ascii="Courier New" w:cs="Courier New" w:eastAsia="Courier New" w:hAnsi="Courier New"/>
                <w:sz w:val="15"/>
                <w:szCs w:val="15"/>
                <w:color w:val="auto"/>
              </w:rPr>
              <w:t>Jean-Dominique Percevault</w:t>
            </w:r>
          </w:p>
        </w:tc>
        <w:tc>
          <w:tcPr>
            <w:tcW w:w="920" w:type="dxa"/>
            <w:vAlign w:val="bottom"/>
          </w:tcPr>
          <w:p>
            <w:pPr>
              <w:ind w:left="340"/>
              <w:spacing w:after="0"/>
              <w:rPr>
                <w:sz w:val="20"/>
                <w:szCs w:val="20"/>
                <w:color w:val="auto"/>
              </w:rPr>
            </w:pPr>
            <w:r>
              <w:rPr>
                <w:rFonts w:ascii="Courier New" w:cs="Courier New" w:eastAsia="Courier New" w:hAnsi="Courier New"/>
                <w:sz w:val="15"/>
                <w:szCs w:val="15"/>
                <w:color w:val="auto"/>
              </w:rPr>
              <w:t>Name:</w:t>
            </w: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rPr>
              <w:t>Abraham Verburg</w:t>
            </w:r>
          </w:p>
        </w:tc>
      </w:t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Title:</w:t>
            </w:r>
          </w:p>
        </w:tc>
        <w:tc>
          <w:tcPr>
            <w:tcW w:w="2960" w:type="dxa"/>
            <w:vAlign w:val="bottom"/>
          </w:tcPr>
          <w:p>
            <w:pPr>
              <w:ind w:left="40"/>
              <w:spacing w:after="0"/>
              <w:rPr>
                <w:sz w:val="20"/>
                <w:szCs w:val="20"/>
                <w:color w:val="auto"/>
              </w:rPr>
            </w:pPr>
            <w:r>
              <w:rPr>
                <w:rFonts w:ascii="Courier New" w:cs="Courier New" w:eastAsia="Courier New" w:hAnsi="Courier New"/>
                <w:sz w:val="15"/>
                <w:szCs w:val="15"/>
                <w:color w:val="auto"/>
              </w:rPr>
              <w:t>President</w:t>
            </w:r>
          </w:p>
        </w:tc>
        <w:tc>
          <w:tcPr>
            <w:tcW w:w="920" w:type="dxa"/>
            <w:vAlign w:val="bottom"/>
          </w:tcPr>
          <w:p>
            <w:pPr>
              <w:ind w:left="340"/>
              <w:spacing w:after="0"/>
              <w:rPr>
                <w:sz w:val="20"/>
                <w:szCs w:val="20"/>
                <w:color w:val="auto"/>
              </w:rPr>
            </w:pPr>
            <w:r>
              <w:rPr>
                <w:rFonts w:ascii="Courier New" w:cs="Courier New" w:eastAsia="Courier New" w:hAnsi="Courier New"/>
                <w:sz w:val="15"/>
                <w:szCs w:val="15"/>
                <w:color w:val="auto"/>
              </w:rPr>
              <w:t>Title:</w:t>
            </w: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w w:val="96"/>
              </w:rPr>
              <w:t>Sole Managing Director</w:t>
            </w:r>
          </w:p>
        </w:tc>
      </w:tr>
    </w:tbl>
    <w:p>
      <w:pPr>
        <w:spacing w:after="0" w:line="1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Page 12</w:t>
      </w:r>
    </w:p>
    <w:p>
      <w:pPr>
        <w:sectPr>
          <w:pgSz w:w="11900" w:h="16838" w:orient="portrait"/>
          <w:cols w:equalWidth="0" w:num="1">
            <w:col w:w="9779"/>
          </w:cols>
          <w:pgMar w:left="680" w:top="622" w:right="1440" w:bottom="1440" w:gutter="0" w:footer="0" w:header="0"/>
        </w:sectPr>
      </w:pPr>
    </w:p>
    <w:bookmarkStart w:id="14" w:name="page15"/>
    <w:bookmarkEnd w:id="14"/>
    <w:p>
      <w:pPr>
        <w:ind w:left="2720"/>
        <w:spacing w:after="0"/>
        <w:rPr>
          <w:sz w:val="20"/>
          <w:szCs w:val="20"/>
          <w:color w:val="auto"/>
        </w:rPr>
      </w:pPr>
      <w:r>
        <w:rPr>
          <w:rFonts w:ascii="Courier New" w:cs="Courier New" w:eastAsia="Courier New" w:hAnsi="Courier New"/>
          <w:sz w:val="15"/>
          <w:szCs w:val="15"/>
          <w:color w:val="auto"/>
        </w:rPr>
        <w:t>INDEX TO EXHIBITS</w:t>
      </w:r>
    </w:p>
    <w:p>
      <w:pPr>
        <w:spacing w:after="0" w:line="1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Exhibit</w:t>
      </w:r>
    </w:p>
    <w:p>
      <w:pPr>
        <w:spacing w:after="0"/>
        <w:tabs>
          <w:tab w:leader="none" w:pos="10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(a)(1)</w:t>
      </w:r>
      <w:r>
        <w:rPr>
          <w:sz w:val="20"/>
          <w:szCs w:val="20"/>
          <w:color w:val="auto"/>
        </w:rPr>
        <w:tab/>
      </w:r>
      <w:r>
        <w:rPr>
          <w:rFonts w:ascii="Courier New" w:cs="Courier New" w:eastAsia="Courier New" w:hAnsi="Courier New"/>
          <w:sz w:val="15"/>
          <w:szCs w:val="15"/>
          <w:color w:val="auto"/>
        </w:rPr>
        <w:t>Offer Document dated February 21, 2000.**</w:t>
      </w:r>
    </w:p>
    <w:p>
      <w:pPr>
        <w:spacing w:after="0" w:line="1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(a)(2)</w:t>
      </w:r>
      <w:r>
        <w:rPr>
          <w:sz w:val="20"/>
          <w:szCs w:val="20"/>
          <w:color w:val="auto"/>
        </w:rPr>
        <w:tab/>
      </w:r>
      <w:r>
        <w:rPr>
          <w:rFonts w:ascii="Courier New" w:cs="Courier New" w:eastAsia="Courier New" w:hAnsi="Courier New"/>
          <w:sz w:val="15"/>
          <w:szCs w:val="15"/>
          <w:color w:val="auto"/>
        </w:rPr>
        <w:t>Form of Letter of Transmittal.**</w:t>
      </w:r>
    </w:p>
    <w:p>
      <w:pPr>
        <w:spacing w:after="0" w:line="1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(a)(3)</w:t>
      </w:r>
      <w:r>
        <w:rPr>
          <w:sz w:val="20"/>
          <w:szCs w:val="20"/>
          <w:color w:val="auto"/>
        </w:rPr>
        <w:tab/>
      </w:r>
      <w:r>
        <w:rPr>
          <w:rFonts w:ascii="Courier New" w:cs="Courier New" w:eastAsia="Courier New" w:hAnsi="Courier New"/>
          <w:sz w:val="15"/>
          <w:szCs w:val="15"/>
          <w:color w:val="auto"/>
        </w:rPr>
        <w:t>Form of Notice of Guaranteed Delivery.**</w:t>
      </w:r>
    </w:p>
    <w:p>
      <w:pPr>
        <w:spacing w:after="0" w:line="175" w:lineRule="exact"/>
        <w:rPr>
          <w:sz w:val="20"/>
          <w:szCs w:val="20"/>
          <w:color w:val="auto"/>
        </w:rPr>
      </w:pPr>
    </w:p>
    <w:p>
      <w:pPr>
        <w:ind w:left="880" w:right="325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(a)(4)</w:t>
      </w:r>
      <w:r>
        <w:rPr>
          <w:sz w:val="20"/>
          <w:szCs w:val="20"/>
          <w:color w:val="auto"/>
        </w:rPr>
        <w:tab/>
      </w:r>
      <w:r>
        <w:rPr>
          <w:rFonts w:ascii="Courier New" w:cs="Courier New" w:eastAsia="Courier New" w:hAnsi="Courier New"/>
          <w:sz w:val="15"/>
          <w:szCs w:val="15"/>
          <w:color w:val="auto"/>
        </w:rPr>
        <w:t>Form of Letter to Brokers, Dealers, Commercial Banks, Trust Companies and Other Nominees.**</w:t>
      </w:r>
    </w:p>
    <w:p>
      <w:pPr>
        <w:spacing w:after="0" w:line="170"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(a)(5)</w:t>
      </w:r>
      <w:r>
        <w:rPr>
          <w:sz w:val="20"/>
          <w:szCs w:val="20"/>
          <w:color w:val="auto"/>
        </w:rPr>
        <w:tab/>
      </w:r>
      <w:r>
        <w:rPr>
          <w:rFonts w:ascii="Courier New" w:cs="Courier New" w:eastAsia="Courier New" w:hAnsi="Courier New"/>
          <w:sz w:val="15"/>
          <w:szCs w:val="15"/>
          <w:color w:val="auto"/>
        </w:rPr>
        <w:t>Form of Acceptance, Authority and Election.**</w:t>
      </w:r>
    </w:p>
    <w:p>
      <w:pPr>
        <w:spacing w:after="0" w:line="175" w:lineRule="exact"/>
        <w:rPr>
          <w:sz w:val="20"/>
          <w:szCs w:val="20"/>
          <w:color w:val="auto"/>
        </w:rPr>
      </w:pPr>
    </w:p>
    <w:p>
      <w:pPr>
        <w:ind w:left="880" w:right="361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(a)(6)</w:t>
      </w:r>
      <w:r>
        <w:rPr>
          <w:sz w:val="20"/>
          <w:szCs w:val="20"/>
          <w:color w:val="auto"/>
        </w:rPr>
        <w:tab/>
      </w:r>
      <w:r>
        <w:rPr>
          <w:rFonts w:ascii="Courier New" w:cs="Courier New" w:eastAsia="Courier New" w:hAnsi="Courier New"/>
          <w:sz w:val="15"/>
          <w:szCs w:val="15"/>
          <w:color w:val="auto"/>
        </w:rPr>
        <w:t>Form of Letter to Clients for use by Brokers, Dealers, Commercial Banks, Trust Companies and Other Nominees.**</w:t>
      </w:r>
    </w:p>
    <w:p>
      <w:pPr>
        <w:spacing w:after="0" w:line="176" w:lineRule="exact"/>
        <w:rPr>
          <w:sz w:val="20"/>
          <w:szCs w:val="20"/>
          <w:color w:val="auto"/>
        </w:rPr>
      </w:pPr>
    </w:p>
    <w:p>
      <w:pPr>
        <w:ind w:left="880" w:right="343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(a)(7)</w:t>
      </w:r>
      <w:r>
        <w:rPr>
          <w:sz w:val="20"/>
          <w:szCs w:val="20"/>
          <w:color w:val="auto"/>
        </w:rPr>
        <w:tab/>
      </w:r>
      <w:r>
        <w:rPr>
          <w:rFonts w:ascii="Courier New" w:cs="Courier New" w:eastAsia="Courier New" w:hAnsi="Courier New"/>
          <w:sz w:val="15"/>
          <w:szCs w:val="15"/>
          <w:color w:val="auto"/>
        </w:rPr>
        <w:t>Press Release announcing the Recommended Cash Offer by Schlumberger Investments for Sema plc, dated February 12, 2001.*</w:t>
      </w:r>
    </w:p>
    <w:p>
      <w:pPr>
        <w:spacing w:after="0" w:line="176" w:lineRule="exact"/>
        <w:rPr>
          <w:sz w:val="20"/>
          <w:szCs w:val="20"/>
          <w:color w:val="auto"/>
        </w:rPr>
      </w:pPr>
    </w:p>
    <w:p>
      <w:pPr>
        <w:ind w:left="880" w:right="3699" w:hanging="879"/>
        <w:spacing w:after="0" w:line="265" w:lineRule="auto"/>
        <w:tabs>
          <w:tab w:leader="none" w:pos="860" w:val="left"/>
        </w:tabs>
        <w:rPr>
          <w:sz w:val="20"/>
          <w:szCs w:val="20"/>
          <w:color w:val="auto"/>
        </w:rPr>
      </w:pPr>
      <w:r>
        <w:rPr>
          <w:rFonts w:ascii="Courier New" w:cs="Courier New" w:eastAsia="Courier New" w:hAnsi="Courier New"/>
          <w:sz w:val="14"/>
          <w:szCs w:val="14"/>
          <w:color w:val="auto"/>
        </w:rPr>
        <w:t>(a)(8)</w:t>
      </w:r>
      <w:r>
        <w:rPr>
          <w:sz w:val="20"/>
          <w:szCs w:val="20"/>
          <w:color w:val="auto"/>
        </w:rPr>
        <w:tab/>
      </w:r>
      <w:r>
        <w:rPr>
          <w:rFonts w:ascii="Courier New" w:cs="Courier New" w:eastAsia="Courier New" w:hAnsi="Courier New"/>
          <w:sz w:val="14"/>
          <w:szCs w:val="14"/>
          <w:color w:val="auto"/>
        </w:rPr>
        <w:t>Short Form Press Release announcing Recommended Cash Offer by Schlumberger Investments for Sema plc, dated February 12, 2001.*</w:t>
      </w:r>
    </w:p>
    <w:p>
      <w:pPr>
        <w:spacing w:after="0" w:line="158" w:lineRule="exact"/>
        <w:rPr>
          <w:sz w:val="20"/>
          <w:szCs w:val="20"/>
          <w:color w:val="auto"/>
        </w:rPr>
      </w:pPr>
    </w:p>
    <w:p>
      <w:pPr>
        <w:ind w:left="880" w:right="361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(a)(9)</w:t>
      </w:r>
      <w:r>
        <w:rPr>
          <w:sz w:val="20"/>
          <w:szCs w:val="20"/>
          <w:color w:val="auto"/>
        </w:rPr>
        <w:tab/>
      </w:r>
      <w:r>
        <w:rPr>
          <w:rFonts w:ascii="Courier New" w:cs="Courier New" w:eastAsia="Courier New" w:hAnsi="Courier New"/>
          <w:sz w:val="15"/>
          <w:szCs w:val="15"/>
          <w:color w:val="auto"/>
        </w:rPr>
        <w:t>Additional Offer Update by Schlumberger Investments for Sema plc, dated February 12, 2001.*</w:t>
      </w:r>
    </w:p>
    <w:p>
      <w:pPr>
        <w:spacing w:after="0" w:line="176" w:lineRule="exact"/>
        <w:rPr>
          <w:sz w:val="20"/>
          <w:szCs w:val="20"/>
          <w:color w:val="auto"/>
        </w:rPr>
      </w:pPr>
    </w:p>
    <w:p>
      <w:pPr>
        <w:ind w:left="880" w:right="369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(a)(10)</w:t>
      </w:r>
      <w:r>
        <w:rPr>
          <w:sz w:val="20"/>
          <w:szCs w:val="20"/>
          <w:color w:val="auto"/>
        </w:rPr>
        <w:tab/>
      </w:r>
      <w:r>
        <w:rPr>
          <w:rFonts w:ascii="Courier New" w:cs="Courier New" w:eastAsia="Courier New" w:hAnsi="Courier New"/>
          <w:sz w:val="15"/>
          <w:szCs w:val="15"/>
          <w:color w:val="auto"/>
        </w:rPr>
        <w:t>Press Release issued by Schlumberger Investments, dated February 13, 2001.*</w:t>
      </w:r>
    </w:p>
    <w:p>
      <w:pPr>
        <w:spacing w:after="0" w:line="176" w:lineRule="exact"/>
        <w:rPr>
          <w:sz w:val="20"/>
          <w:szCs w:val="20"/>
          <w:color w:val="auto"/>
        </w:rPr>
      </w:pPr>
    </w:p>
    <w:p>
      <w:pPr>
        <w:ind w:left="880" w:right="335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(a)(11)</w:t>
      </w:r>
      <w:r>
        <w:rPr>
          <w:sz w:val="20"/>
          <w:szCs w:val="20"/>
          <w:color w:val="auto"/>
        </w:rPr>
        <w:tab/>
      </w:r>
      <w:r>
        <w:rPr>
          <w:rFonts w:ascii="Courier New" w:cs="Courier New" w:eastAsia="Courier New" w:hAnsi="Courier New"/>
          <w:sz w:val="15"/>
          <w:szCs w:val="15"/>
          <w:color w:val="auto"/>
        </w:rPr>
        <w:t>Press Release issued by Schlumberger Investments, dated February 21, 2001.**</w:t>
      </w:r>
    </w:p>
    <w:p>
      <w:pPr>
        <w:spacing w:after="0" w:line="176" w:lineRule="exact"/>
        <w:rPr>
          <w:sz w:val="20"/>
          <w:szCs w:val="20"/>
          <w:color w:val="auto"/>
        </w:rPr>
      </w:pPr>
    </w:p>
    <w:p>
      <w:pPr>
        <w:ind w:left="880" w:right="361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(a)(12)</w:t>
      </w:r>
      <w:r>
        <w:rPr>
          <w:sz w:val="20"/>
          <w:szCs w:val="20"/>
          <w:color w:val="auto"/>
        </w:rPr>
        <w:tab/>
      </w:r>
      <w:r>
        <w:rPr>
          <w:rFonts w:ascii="Courier New" w:cs="Courier New" w:eastAsia="Courier New" w:hAnsi="Courier New"/>
          <w:sz w:val="15"/>
          <w:szCs w:val="15"/>
          <w:color w:val="auto"/>
        </w:rPr>
        <w:t>Guidelines for Certification of Taxpayer Identification Number on Substitute Form W-9.**</w:t>
      </w:r>
    </w:p>
    <w:p>
      <w:pPr>
        <w:spacing w:after="0" w:line="176" w:lineRule="exact"/>
        <w:rPr>
          <w:sz w:val="20"/>
          <w:szCs w:val="20"/>
          <w:color w:val="auto"/>
        </w:rPr>
      </w:pPr>
    </w:p>
    <w:p>
      <w:pPr>
        <w:ind w:left="880" w:right="379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(a)(13)</w:t>
      </w:r>
      <w:r>
        <w:rPr>
          <w:sz w:val="20"/>
          <w:szCs w:val="20"/>
          <w:color w:val="auto"/>
        </w:rPr>
        <w:tab/>
      </w:r>
      <w:r>
        <w:rPr>
          <w:rFonts w:ascii="Courier New" w:cs="Courier New" w:eastAsia="Courier New" w:hAnsi="Courier New"/>
          <w:sz w:val="15"/>
          <w:szCs w:val="15"/>
          <w:color w:val="auto"/>
        </w:rPr>
        <w:t>Form of Summary Advertisement in The Wall Street Journal, dated February 21, 2001.**</w:t>
      </w:r>
    </w:p>
    <w:p>
      <w:pPr>
        <w:spacing w:after="0" w:line="176" w:lineRule="exact"/>
        <w:rPr>
          <w:sz w:val="20"/>
          <w:szCs w:val="20"/>
          <w:color w:val="auto"/>
        </w:rPr>
      </w:pPr>
    </w:p>
    <w:p>
      <w:pPr>
        <w:ind w:left="880" w:right="335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(a)(14)</w:t>
      </w:r>
      <w:r>
        <w:rPr>
          <w:sz w:val="20"/>
          <w:szCs w:val="20"/>
          <w:color w:val="auto"/>
        </w:rPr>
        <w:tab/>
      </w:r>
      <w:r>
        <w:rPr>
          <w:rFonts w:ascii="Courier New" w:cs="Courier New" w:eastAsia="Courier New" w:hAnsi="Courier New"/>
          <w:sz w:val="15"/>
          <w:szCs w:val="15"/>
          <w:color w:val="auto"/>
        </w:rPr>
        <w:t>Form of Summary Advertisement in the Financial Times, dated February 22, 2001.**</w:t>
      </w:r>
    </w:p>
    <w:p>
      <w:pPr>
        <w:spacing w:after="0" w:line="176" w:lineRule="exact"/>
        <w:rPr>
          <w:sz w:val="20"/>
          <w:szCs w:val="20"/>
          <w:color w:val="auto"/>
        </w:rPr>
      </w:pPr>
    </w:p>
    <w:p>
      <w:pPr>
        <w:ind w:left="880" w:right="343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(a)(15)</w:t>
      </w:r>
      <w:r>
        <w:rPr>
          <w:sz w:val="20"/>
          <w:szCs w:val="20"/>
          <w:color w:val="auto"/>
        </w:rPr>
        <w:tab/>
      </w:r>
      <w:r>
        <w:rPr>
          <w:rFonts w:ascii="Courier New" w:cs="Courier New" w:eastAsia="Courier New" w:hAnsi="Courier New"/>
          <w:sz w:val="15"/>
          <w:szCs w:val="15"/>
          <w:color w:val="auto"/>
        </w:rPr>
        <w:t>Announcement of Disclosure under Rules 8.1(a), 8.1(b)(i) and 8.3 of the City Code on Takeovers and Mergers, dated March 6, 2001.**</w:t>
      </w:r>
    </w:p>
    <w:p>
      <w:pPr>
        <w:spacing w:after="0" w:line="170" w:lineRule="exact"/>
        <w:rPr>
          <w:sz w:val="20"/>
          <w:szCs w:val="20"/>
          <w:color w:val="auto"/>
        </w:rPr>
      </w:pPr>
    </w:p>
    <w:p>
      <w:pPr>
        <w:jc w:val="center"/>
        <w:ind w:right="4139"/>
        <w:spacing w:after="0"/>
        <w:tabs>
          <w:tab w:leader="none" w:pos="260" w:val="left"/>
        </w:tabs>
        <w:rPr>
          <w:sz w:val="20"/>
          <w:szCs w:val="20"/>
          <w:color w:val="auto"/>
        </w:rPr>
      </w:pPr>
      <w:r>
        <w:rPr>
          <w:rFonts w:ascii="Courier New" w:cs="Courier New" w:eastAsia="Courier New" w:hAnsi="Courier New"/>
          <w:sz w:val="15"/>
          <w:szCs w:val="15"/>
          <w:color w:val="auto"/>
        </w:rPr>
        <w:t>(a)(16)</w:t>
      </w:r>
      <w:r>
        <w:rPr>
          <w:sz w:val="20"/>
          <w:szCs w:val="20"/>
          <w:color w:val="auto"/>
        </w:rPr>
        <w:tab/>
      </w:r>
      <w:r>
        <w:rPr>
          <w:rFonts w:ascii="Courier New" w:cs="Courier New" w:eastAsia="Courier New" w:hAnsi="Courier New"/>
          <w:sz w:val="15"/>
          <w:szCs w:val="15"/>
          <w:color w:val="auto"/>
        </w:rPr>
        <w:t>Press Release announcing extension of Offer by Schlumberger</w:t>
      </w:r>
    </w:p>
    <w:p>
      <w:pPr>
        <w:jc w:val="center"/>
        <w:ind w:right="4139"/>
        <w:spacing w:after="0"/>
        <w:rPr>
          <w:sz w:val="20"/>
          <w:szCs w:val="20"/>
          <w:color w:val="auto"/>
        </w:rPr>
      </w:pPr>
      <w:r>
        <w:rPr>
          <w:rFonts w:ascii="Courier New" w:cs="Courier New" w:eastAsia="Courier New" w:hAnsi="Courier New"/>
          <w:sz w:val="15"/>
          <w:szCs w:val="15"/>
          <w:color w:val="auto"/>
        </w:rPr>
        <w:t>Investments for Sema plc, dated March 22, 2001.**</w:t>
      </w:r>
    </w:p>
    <w:p>
      <w:pPr>
        <w:spacing w:after="0" w:line="174" w:lineRule="exact"/>
        <w:rPr>
          <w:sz w:val="20"/>
          <w:szCs w:val="20"/>
          <w:color w:val="auto"/>
        </w:rPr>
      </w:pPr>
    </w:p>
    <w:p>
      <w:pPr>
        <w:ind w:left="880" w:right="3359" w:hanging="879"/>
        <w:spacing w:after="0" w:line="237" w:lineRule="auto"/>
        <w:tabs>
          <w:tab w:leader="none" w:pos="860" w:val="left"/>
        </w:tabs>
        <w:rPr>
          <w:sz w:val="20"/>
          <w:szCs w:val="20"/>
          <w:color w:val="auto"/>
        </w:rPr>
      </w:pPr>
      <w:r>
        <w:rPr>
          <w:rFonts w:ascii="Courier New" w:cs="Courier New" w:eastAsia="Courier New" w:hAnsi="Courier New"/>
          <w:sz w:val="15"/>
          <w:szCs w:val="15"/>
          <w:color w:val="auto"/>
        </w:rPr>
        <w:t>(a)(17)</w:t>
      </w:r>
      <w:r>
        <w:rPr>
          <w:sz w:val="20"/>
          <w:szCs w:val="20"/>
          <w:color w:val="auto"/>
        </w:rPr>
        <w:tab/>
      </w:r>
      <w:r>
        <w:rPr>
          <w:rFonts w:ascii="Courier New" w:cs="Courier New" w:eastAsia="Courier New" w:hAnsi="Courier New"/>
          <w:sz w:val="15"/>
          <w:szCs w:val="15"/>
          <w:color w:val="auto"/>
        </w:rPr>
        <w:t>Press Release issued by Schlumberger Investments, Reserving Right to Reduce Acceptance Condition in Offer for Sema plc, dated March 30, 2001.**</w:t>
      </w:r>
    </w:p>
    <w:p>
      <w:pPr>
        <w:spacing w:after="0" w:line="175" w:lineRule="exact"/>
        <w:rPr>
          <w:sz w:val="20"/>
          <w:szCs w:val="20"/>
          <w:color w:val="auto"/>
        </w:rPr>
      </w:pPr>
    </w:p>
    <w:p>
      <w:pPr>
        <w:ind w:left="880" w:right="3259" w:hanging="879"/>
        <w:spacing w:after="0" w:line="265" w:lineRule="auto"/>
        <w:tabs>
          <w:tab w:leader="none" w:pos="860" w:val="left"/>
        </w:tabs>
        <w:rPr>
          <w:sz w:val="20"/>
          <w:szCs w:val="20"/>
          <w:color w:val="auto"/>
        </w:rPr>
      </w:pPr>
      <w:r>
        <w:rPr>
          <w:rFonts w:ascii="Courier New" w:cs="Courier New" w:eastAsia="Courier New" w:hAnsi="Courier New"/>
          <w:sz w:val="14"/>
          <w:szCs w:val="14"/>
          <w:color w:val="auto"/>
        </w:rPr>
        <w:t>(a)(18)</w:t>
      </w:r>
      <w:r>
        <w:rPr>
          <w:sz w:val="20"/>
          <w:szCs w:val="20"/>
          <w:color w:val="auto"/>
        </w:rPr>
        <w:tab/>
      </w:r>
      <w:r>
        <w:rPr>
          <w:rFonts w:ascii="Courier New" w:cs="Courier New" w:eastAsia="Courier New" w:hAnsi="Courier New"/>
          <w:sz w:val="14"/>
          <w:szCs w:val="14"/>
          <w:color w:val="auto"/>
        </w:rPr>
        <w:t>Press Release issued by Schlumberger Investments, Announcing European Commission Approved Offer for Sema plc, dated April 5, 2001**</w:t>
      </w:r>
    </w:p>
    <w:p>
      <w:pPr>
        <w:spacing w:after="0" w:line="158" w:lineRule="exact"/>
        <w:rPr>
          <w:sz w:val="20"/>
          <w:szCs w:val="20"/>
          <w:color w:val="auto"/>
        </w:rPr>
      </w:pPr>
    </w:p>
    <w:p>
      <w:pPr>
        <w:ind w:left="880" w:right="4059" w:hanging="879"/>
        <w:spacing w:after="0" w:line="265" w:lineRule="auto"/>
        <w:tabs>
          <w:tab w:leader="none" w:pos="860" w:val="left"/>
        </w:tabs>
        <w:rPr>
          <w:sz w:val="20"/>
          <w:szCs w:val="20"/>
          <w:color w:val="auto"/>
        </w:rPr>
      </w:pPr>
      <w:r>
        <w:rPr>
          <w:rFonts w:ascii="Courier New" w:cs="Courier New" w:eastAsia="Courier New" w:hAnsi="Courier New"/>
          <w:sz w:val="14"/>
          <w:szCs w:val="14"/>
          <w:color w:val="auto"/>
        </w:rPr>
        <w:t>(a)(19)</w:t>
      </w:r>
      <w:r>
        <w:rPr>
          <w:sz w:val="20"/>
          <w:szCs w:val="20"/>
          <w:color w:val="auto"/>
        </w:rPr>
        <w:tab/>
      </w:r>
      <w:r>
        <w:rPr>
          <w:rFonts w:ascii="Courier New" w:cs="Courier New" w:eastAsia="Courier New" w:hAnsi="Courier New"/>
          <w:sz w:val="14"/>
          <w:szCs w:val="14"/>
          <w:color w:val="auto"/>
        </w:rPr>
        <w:t>Press Release issued by Schlumberger Investments, Announcing Schlumberger Acquires Sema, dated April 6, 2001.</w:t>
      </w:r>
    </w:p>
    <w:p>
      <w:pPr>
        <w:spacing w:after="0" w:line="153"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(b)(1)</w:t>
      </w:r>
      <w:r>
        <w:rPr>
          <w:sz w:val="20"/>
          <w:szCs w:val="20"/>
          <w:color w:val="auto"/>
        </w:rPr>
        <w:tab/>
      </w:r>
      <w:r>
        <w:rPr>
          <w:rFonts w:ascii="Courier New" w:cs="Courier New" w:eastAsia="Courier New" w:hAnsi="Courier New"/>
          <w:sz w:val="15"/>
          <w:szCs w:val="15"/>
          <w:color w:val="auto"/>
        </w:rPr>
        <w:t>Credit Facility, dated February 20, 2001, between (1) Schlumberger;</w:t>
      </w:r>
    </w:p>
    <w:p>
      <w:pPr>
        <w:spacing w:after="0" w:line="5" w:lineRule="exact"/>
        <w:rPr>
          <w:sz w:val="20"/>
          <w:szCs w:val="20"/>
          <w:color w:val="auto"/>
        </w:rPr>
      </w:pPr>
    </w:p>
    <w:p>
      <w:pPr>
        <w:ind w:left="880" w:right="3359" w:hanging="8"/>
        <w:spacing w:after="0" w:line="238" w:lineRule="auto"/>
        <w:tabs>
          <w:tab w:leader="none" w:pos="1233"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Schlumberger Industries S.A.; (3) Schlumberger PLC; (4) Schlumberger Investments; (5) JP Morgan Plc, BNP Paribas, Salomon Brothers International Limited and Lehman Brothers International (Europe) (each as arrangers), Citibank International Plc as facility agent, and The Chase Manhattan Bank, BNP Paribas Citibank, N.A., and Lehman Commercial Paper Inc.**</w:t>
      </w:r>
    </w:p>
    <w:p>
      <w:pPr>
        <w:sectPr>
          <w:pgSz w:w="11900" w:h="16838" w:orient="portrait"/>
          <w:cols w:equalWidth="0" w:num="1">
            <w:col w:w="10219"/>
          </w:cols>
          <w:pgMar w:left="240" w:top="622" w:right="1440" w:bottom="1440" w:gutter="0" w:footer="0" w:header="0"/>
        </w:sectPr>
      </w:pPr>
    </w:p>
    <w:bookmarkStart w:id="15" w:name="page16"/>
    <w:bookmarkEnd w:id="15"/>
    <w:p>
      <w:pPr>
        <w:ind w:left="890" w:right="3619" w:hanging="879"/>
        <w:spacing w:after="0" w:line="235" w:lineRule="auto"/>
        <w:tabs>
          <w:tab w:leader="none" w:pos="869" w:val="left"/>
        </w:tabs>
        <w:rPr>
          <w:sz w:val="20"/>
          <w:szCs w:val="20"/>
          <w:color w:val="auto"/>
        </w:rPr>
      </w:pPr>
      <w:r>
        <w:rPr>
          <w:rFonts w:ascii="Courier New" w:cs="Courier New" w:eastAsia="Courier New" w:hAnsi="Courier New"/>
          <w:sz w:val="15"/>
          <w:szCs w:val="15"/>
          <w:color w:val="auto"/>
        </w:rPr>
        <w:t>(d)(1)</w:t>
      </w:r>
      <w:r>
        <w:rPr>
          <w:sz w:val="20"/>
          <w:szCs w:val="20"/>
          <w:color w:val="auto"/>
        </w:rPr>
        <w:tab/>
      </w:r>
      <w:r>
        <w:rPr>
          <w:rFonts w:ascii="Courier New" w:cs="Courier New" w:eastAsia="Courier New" w:hAnsi="Courier New"/>
          <w:sz w:val="15"/>
          <w:szCs w:val="15"/>
          <w:color w:val="auto"/>
        </w:rPr>
        <w:t>Inducement Fee Letter Agreement, dated February 12, 2001, between Schlumberger Investments and Sema.**</w:t>
      </w:r>
    </w:p>
    <w:p>
      <w:pPr>
        <w:spacing w:after="0" w:line="176" w:lineRule="exact"/>
        <w:rPr>
          <w:sz w:val="20"/>
          <w:szCs w:val="20"/>
          <w:color w:val="auto"/>
        </w:rPr>
      </w:pPr>
    </w:p>
    <w:p>
      <w:pPr>
        <w:ind w:left="890" w:right="3179" w:hanging="879"/>
        <w:spacing w:after="0" w:line="235" w:lineRule="auto"/>
        <w:tabs>
          <w:tab w:leader="none" w:pos="869" w:val="left"/>
        </w:tabs>
        <w:rPr>
          <w:sz w:val="20"/>
          <w:szCs w:val="20"/>
          <w:color w:val="auto"/>
        </w:rPr>
      </w:pPr>
      <w:r>
        <w:rPr>
          <w:rFonts w:ascii="Courier New" w:cs="Courier New" w:eastAsia="Courier New" w:hAnsi="Courier New"/>
          <w:sz w:val="15"/>
          <w:szCs w:val="15"/>
          <w:color w:val="auto"/>
        </w:rPr>
        <w:t>(d)(2)</w:t>
      </w:r>
      <w:r>
        <w:rPr>
          <w:sz w:val="20"/>
          <w:szCs w:val="20"/>
          <w:color w:val="auto"/>
        </w:rPr>
        <w:tab/>
      </w:r>
      <w:r>
        <w:rPr>
          <w:rFonts w:ascii="Courier New" w:cs="Courier New" w:eastAsia="Courier New" w:hAnsi="Courier New"/>
          <w:sz w:val="15"/>
          <w:szCs w:val="15"/>
          <w:color w:val="auto"/>
        </w:rPr>
        <w:t>Director Undertaking, dated February 11, 2001, from Veronica Oswald to Schlumberger.**</w:t>
      </w:r>
    </w:p>
    <w:p>
      <w:pPr>
        <w:spacing w:after="0" w:line="176" w:lineRule="exact"/>
        <w:rPr>
          <w:sz w:val="20"/>
          <w:szCs w:val="20"/>
          <w:color w:val="auto"/>
        </w:rPr>
      </w:pPr>
    </w:p>
    <w:p>
      <w:pPr>
        <w:ind w:left="890" w:right="3259" w:hanging="879"/>
        <w:spacing w:after="0" w:line="235" w:lineRule="auto"/>
        <w:tabs>
          <w:tab w:leader="none" w:pos="869" w:val="left"/>
        </w:tabs>
        <w:rPr>
          <w:sz w:val="20"/>
          <w:szCs w:val="20"/>
          <w:color w:val="auto"/>
        </w:rPr>
      </w:pPr>
      <w:r>
        <w:rPr>
          <w:rFonts w:ascii="Courier New" w:cs="Courier New" w:eastAsia="Courier New" w:hAnsi="Courier New"/>
          <w:sz w:val="15"/>
          <w:szCs w:val="15"/>
          <w:color w:val="auto"/>
        </w:rPr>
        <w:t>(d)(3)</w:t>
      </w:r>
      <w:r>
        <w:rPr>
          <w:sz w:val="20"/>
          <w:szCs w:val="20"/>
          <w:color w:val="auto"/>
        </w:rPr>
        <w:tab/>
      </w:r>
      <w:r>
        <w:rPr>
          <w:rFonts w:ascii="Courier New" w:cs="Courier New" w:eastAsia="Courier New" w:hAnsi="Courier New"/>
          <w:sz w:val="15"/>
          <w:szCs w:val="15"/>
          <w:color w:val="auto"/>
        </w:rPr>
        <w:t>Director Undertaking, dated February 11, 2001, from Sir Julian Oswald to Schlumberger.**</w:t>
      </w:r>
    </w:p>
    <w:p>
      <w:pPr>
        <w:spacing w:after="0" w:line="176" w:lineRule="exact"/>
        <w:rPr>
          <w:sz w:val="20"/>
          <w:szCs w:val="20"/>
          <w:color w:val="auto"/>
        </w:rPr>
      </w:pPr>
    </w:p>
    <w:p>
      <w:pPr>
        <w:ind w:left="890" w:right="3259" w:hanging="879"/>
        <w:spacing w:after="0" w:line="235" w:lineRule="auto"/>
        <w:tabs>
          <w:tab w:leader="none" w:pos="869" w:val="left"/>
        </w:tabs>
        <w:rPr>
          <w:sz w:val="20"/>
          <w:szCs w:val="20"/>
          <w:color w:val="auto"/>
        </w:rPr>
      </w:pPr>
      <w:r>
        <w:rPr>
          <w:rFonts w:ascii="Courier New" w:cs="Courier New" w:eastAsia="Courier New" w:hAnsi="Courier New"/>
          <w:sz w:val="15"/>
          <w:szCs w:val="15"/>
          <w:color w:val="auto"/>
        </w:rPr>
        <w:t>(d)(4)</w:t>
      </w:r>
      <w:r>
        <w:rPr>
          <w:sz w:val="20"/>
          <w:szCs w:val="20"/>
          <w:color w:val="auto"/>
        </w:rPr>
        <w:tab/>
      </w:r>
      <w:r>
        <w:rPr>
          <w:rFonts w:ascii="Courier New" w:cs="Courier New" w:eastAsia="Courier New" w:hAnsi="Courier New"/>
          <w:sz w:val="15"/>
          <w:szCs w:val="15"/>
          <w:color w:val="auto"/>
        </w:rPr>
        <w:t>Director Undertaking, dated February 11, 2001, from Pierre Bonelli to Schlumberger.**</w:t>
      </w:r>
    </w:p>
    <w:p>
      <w:pPr>
        <w:spacing w:after="0" w:line="176" w:lineRule="exact"/>
        <w:rPr>
          <w:sz w:val="20"/>
          <w:szCs w:val="20"/>
          <w:color w:val="auto"/>
        </w:rPr>
      </w:pPr>
    </w:p>
    <w:p>
      <w:pPr>
        <w:ind w:left="890" w:right="3359" w:hanging="879"/>
        <w:spacing w:after="0" w:line="235" w:lineRule="auto"/>
        <w:tabs>
          <w:tab w:leader="none" w:pos="869" w:val="left"/>
        </w:tabs>
        <w:rPr>
          <w:sz w:val="20"/>
          <w:szCs w:val="20"/>
          <w:color w:val="auto"/>
        </w:rPr>
      </w:pPr>
      <w:r>
        <w:rPr>
          <w:rFonts w:ascii="Courier New" w:cs="Courier New" w:eastAsia="Courier New" w:hAnsi="Courier New"/>
          <w:sz w:val="15"/>
          <w:szCs w:val="15"/>
          <w:color w:val="auto"/>
        </w:rPr>
        <w:t>(d)(5)</w:t>
      </w:r>
      <w:r>
        <w:rPr>
          <w:sz w:val="20"/>
          <w:szCs w:val="20"/>
          <w:color w:val="auto"/>
        </w:rPr>
        <w:tab/>
      </w:r>
      <w:r>
        <w:rPr>
          <w:rFonts w:ascii="Courier New" w:cs="Courier New" w:eastAsia="Courier New" w:hAnsi="Courier New"/>
          <w:sz w:val="15"/>
          <w:szCs w:val="15"/>
          <w:color w:val="auto"/>
        </w:rPr>
        <w:t>Director Undertaking, dated February 11, 2001, from William Bitan to Schlumberger.**</w:t>
      </w:r>
    </w:p>
    <w:p>
      <w:pPr>
        <w:spacing w:after="0" w:line="176" w:lineRule="exact"/>
        <w:rPr>
          <w:sz w:val="20"/>
          <w:szCs w:val="20"/>
          <w:color w:val="auto"/>
        </w:rPr>
      </w:pPr>
    </w:p>
    <w:p>
      <w:pPr>
        <w:ind w:left="890" w:right="3359" w:hanging="879"/>
        <w:spacing w:after="0" w:line="235" w:lineRule="auto"/>
        <w:tabs>
          <w:tab w:leader="none" w:pos="869" w:val="left"/>
        </w:tabs>
        <w:rPr>
          <w:sz w:val="20"/>
          <w:szCs w:val="20"/>
          <w:color w:val="auto"/>
        </w:rPr>
      </w:pPr>
      <w:r>
        <w:rPr>
          <w:rFonts w:ascii="Courier New" w:cs="Courier New" w:eastAsia="Courier New" w:hAnsi="Courier New"/>
          <w:sz w:val="15"/>
          <w:szCs w:val="15"/>
          <w:color w:val="auto"/>
        </w:rPr>
        <w:t>(d)(6)</w:t>
      </w:r>
      <w:r>
        <w:rPr>
          <w:sz w:val="20"/>
          <w:szCs w:val="20"/>
          <w:color w:val="auto"/>
        </w:rPr>
        <w:tab/>
      </w:r>
      <w:r>
        <w:rPr>
          <w:rFonts w:ascii="Courier New" w:cs="Courier New" w:eastAsia="Courier New" w:hAnsi="Courier New"/>
          <w:sz w:val="15"/>
          <w:szCs w:val="15"/>
          <w:color w:val="auto"/>
        </w:rPr>
        <w:t>Director Undertaking, dated February 11, 2001, from Gilles Cosson to Schlumberger.**</w:t>
      </w:r>
    </w:p>
    <w:p>
      <w:pPr>
        <w:spacing w:after="0" w:line="176" w:lineRule="exact"/>
        <w:rPr>
          <w:sz w:val="20"/>
          <w:szCs w:val="20"/>
          <w:color w:val="auto"/>
        </w:rPr>
      </w:pPr>
    </w:p>
    <w:p>
      <w:pPr>
        <w:ind w:left="890" w:right="3359" w:hanging="879"/>
        <w:spacing w:after="0" w:line="235" w:lineRule="auto"/>
        <w:tabs>
          <w:tab w:leader="none" w:pos="869" w:val="left"/>
        </w:tabs>
        <w:rPr>
          <w:sz w:val="20"/>
          <w:szCs w:val="20"/>
          <w:color w:val="auto"/>
        </w:rPr>
      </w:pPr>
      <w:r>
        <w:rPr>
          <w:rFonts w:ascii="Courier New" w:cs="Courier New" w:eastAsia="Courier New" w:hAnsi="Courier New"/>
          <w:sz w:val="15"/>
          <w:szCs w:val="15"/>
          <w:color w:val="auto"/>
        </w:rPr>
        <w:t>(d)(7)</w:t>
      </w:r>
      <w:r>
        <w:rPr>
          <w:sz w:val="20"/>
          <w:szCs w:val="20"/>
          <w:color w:val="auto"/>
        </w:rPr>
        <w:tab/>
      </w:r>
      <w:r>
        <w:rPr>
          <w:rFonts w:ascii="Courier New" w:cs="Courier New" w:eastAsia="Courier New" w:hAnsi="Courier New"/>
          <w:sz w:val="15"/>
          <w:szCs w:val="15"/>
          <w:color w:val="auto"/>
        </w:rPr>
        <w:t>Director Undertaking, dated February 11, 2001, from Herve Couffin to Schlumberger.**</w:t>
      </w:r>
    </w:p>
    <w:p>
      <w:pPr>
        <w:spacing w:after="0" w:line="176" w:lineRule="exact"/>
        <w:rPr>
          <w:sz w:val="20"/>
          <w:szCs w:val="20"/>
          <w:color w:val="auto"/>
        </w:rPr>
      </w:pPr>
    </w:p>
    <w:p>
      <w:pPr>
        <w:ind w:left="890" w:right="3179" w:hanging="879"/>
        <w:spacing w:after="0" w:line="235" w:lineRule="auto"/>
        <w:tabs>
          <w:tab w:leader="none" w:pos="869" w:val="left"/>
        </w:tabs>
        <w:rPr>
          <w:sz w:val="20"/>
          <w:szCs w:val="20"/>
          <w:color w:val="auto"/>
        </w:rPr>
      </w:pPr>
      <w:r>
        <w:rPr>
          <w:rFonts w:ascii="Courier New" w:cs="Courier New" w:eastAsia="Courier New" w:hAnsi="Courier New"/>
          <w:sz w:val="15"/>
          <w:szCs w:val="15"/>
          <w:color w:val="auto"/>
        </w:rPr>
        <w:t>(d)(8)</w:t>
      </w:r>
      <w:r>
        <w:rPr>
          <w:sz w:val="20"/>
          <w:szCs w:val="20"/>
          <w:color w:val="auto"/>
        </w:rPr>
        <w:tab/>
      </w:r>
      <w:r>
        <w:rPr>
          <w:rFonts w:ascii="Courier New" w:cs="Courier New" w:eastAsia="Courier New" w:hAnsi="Courier New"/>
          <w:sz w:val="15"/>
          <w:szCs w:val="15"/>
          <w:color w:val="auto"/>
        </w:rPr>
        <w:t>Director Undertaking, dated February 11, 2001, from Pascal Viginier to Schlumberger.**</w:t>
      </w:r>
    </w:p>
    <w:p>
      <w:pPr>
        <w:spacing w:after="0" w:line="176" w:lineRule="exact"/>
        <w:rPr>
          <w:sz w:val="20"/>
          <w:szCs w:val="20"/>
          <w:color w:val="auto"/>
        </w:rPr>
      </w:pPr>
    </w:p>
    <w:p>
      <w:pPr>
        <w:ind w:left="890" w:right="3539" w:hanging="879"/>
        <w:spacing w:after="0" w:line="235" w:lineRule="auto"/>
        <w:tabs>
          <w:tab w:leader="none" w:pos="869" w:val="left"/>
        </w:tabs>
        <w:rPr>
          <w:sz w:val="20"/>
          <w:szCs w:val="20"/>
          <w:color w:val="auto"/>
        </w:rPr>
      </w:pPr>
      <w:r>
        <w:rPr>
          <w:rFonts w:ascii="Courier New" w:cs="Courier New" w:eastAsia="Courier New" w:hAnsi="Courier New"/>
          <w:sz w:val="15"/>
          <w:szCs w:val="15"/>
          <w:color w:val="auto"/>
        </w:rPr>
        <w:t>(d)(9)</w:t>
      </w:r>
      <w:r>
        <w:rPr>
          <w:sz w:val="20"/>
          <w:szCs w:val="20"/>
          <w:color w:val="auto"/>
        </w:rPr>
        <w:tab/>
      </w:r>
      <w:r>
        <w:rPr>
          <w:rFonts w:ascii="Courier New" w:cs="Courier New" w:eastAsia="Courier New" w:hAnsi="Courier New"/>
          <w:sz w:val="15"/>
          <w:szCs w:val="15"/>
          <w:color w:val="auto"/>
        </w:rPr>
        <w:t>Director Undertaking, dated February 11, 2001, from Frank Jones to Schlumberger.**</w:t>
      </w:r>
    </w:p>
    <w:p>
      <w:pPr>
        <w:spacing w:after="0" w:line="176" w:lineRule="exact"/>
        <w:rPr>
          <w:sz w:val="20"/>
          <w:szCs w:val="20"/>
          <w:color w:val="auto"/>
        </w:rPr>
      </w:pPr>
    </w:p>
    <w:p>
      <w:pPr>
        <w:ind w:left="890" w:right="3539" w:hanging="879"/>
        <w:spacing w:after="0" w:line="235" w:lineRule="auto"/>
        <w:tabs>
          <w:tab w:leader="none" w:pos="869" w:val="left"/>
        </w:tabs>
        <w:rPr>
          <w:sz w:val="20"/>
          <w:szCs w:val="20"/>
          <w:color w:val="auto"/>
        </w:rPr>
      </w:pPr>
      <w:r>
        <w:rPr>
          <w:rFonts w:ascii="Courier New" w:cs="Courier New" w:eastAsia="Courier New" w:hAnsi="Courier New"/>
          <w:sz w:val="15"/>
          <w:szCs w:val="15"/>
          <w:color w:val="auto"/>
        </w:rPr>
        <w:t>(d)(10)</w:t>
      </w:r>
      <w:r>
        <w:rPr>
          <w:sz w:val="20"/>
          <w:szCs w:val="20"/>
          <w:color w:val="auto"/>
        </w:rPr>
        <w:tab/>
      </w:r>
      <w:r>
        <w:rPr>
          <w:rFonts w:ascii="Courier New" w:cs="Courier New" w:eastAsia="Courier New" w:hAnsi="Courier New"/>
          <w:sz w:val="15"/>
          <w:szCs w:val="15"/>
          <w:color w:val="auto"/>
        </w:rPr>
        <w:t>Director Undertaking, dated February 11, 2001, from Harry Fryer to Schlumberger.**</w:t>
      </w:r>
    </w:p>
    <w:p>
      <w:pPr>
        <w:spacing w:after="0" w:line="176" w:lineRule="exact"/>
        <w:rPr>
          <w:sz w:val="20"/>
          <w:szCs w:val="20"/>
          <w:color w:val="auto"/>
        </w:rPr>
      </w:pPr>
    </w:p>
    <w:p>
      <w:pPr>
        <w:ind w:left="890" w:right="3619" w:hanging="879"/>
        <w:spacing w:after="0" w:line="235" w:lineRule="auto"/>
        <w:tabs>
          <w:tab w:leader="none" w:pos="869" w:val="left"/>
        </w:tabs>
        <w:rPr>
          <w:sz w:val="20"/>
          <w:szCs w:val="20"/>
          <w:color w:val="auto"/>
        </w:rPr>
      </w:pPr>
      <w:r>
        <w:rPr>
          <w:rFonts w:ascii="Courier New" w:cs="Courier New" w:eastAsia="Courier New" w:hAnsi="Courier New"/>
          <w:sz w:val="15"/>
          <w:szCs w:val="15"/>
          <w:color w:val="auto"/>
        </w:rPr>
        <w:t>(d)(11)</w:t>
      </w:r>
      <w:r>
        <w:rPr>
          <w:sz w:val="20"/>
          <w:szCs w:val="20"/>
          <w:color w:val="auto"/>
        </w:rPr>
        <w:tab/>
      </w:r>
      <w:r>
        <w:rPr>
          <w:rFonts w:ascii="Courier New" w:cs="Courier New" w:eastAsia="Courier New" w:hAnsi="Courier New"/>
          <w:sz w:val="15"/>
          <w:szCs w:val="15"/>
          <w:color w:val="auto"/>
        </w:rPr>
        <w:t>Director Undertaking, dated February 11, 2001, from Tidu Maini to Schlumberger.**</w:t>
      </w:r>
    </w:p>
    <w:p>
      <w:pPr>
        <w:spacing w:after="0" w:line="176" w:lineRule="exact"/>
        <w:rPr>
          <w:sz w:val="20"/>
          <w:szCs w:val="20"/>
          <w:color w:val="auto"/>
        </w:rPr>
      </w:pPr>
    </w:p>
    <w:p>
      <w:pPr>
        <w:ind w:left="890" w:right="3539" w:hanging="879"/>
        <w:spacing w:after="0" w:line="235" w:lineRule="auto"/>
        <w:tabs>
          <w:tab w:leader="none" w:pos="869" w:val="left"/>
        </w:tabs>
        <w:rPr>
          <w:sz w:val="20"/>
          <w:szCs w:val="20"/>
          <w:color w:val="auto"/>
        </w:rPr>
      </w:pPr>
      <w:r>
        <w:rPr>
          <w:rFonts w:ascii="Courier New" w:cs="Courier New" w:eastAsia="Courier New" w:hAnsi="Courier New"/>
          <w:sz w:val="15"/>
          <w:szCs w:val="15"/>
          <w:color w:val="auto"/>
        </w:rPr>
        <w:t>(d)(12)</w:t>
      </w:r>
      <w:r>
        <w:rPr>
          <w:sz w:val="20"/>
          <w:szCs w:val="20"/>
          <w:color w:val="auto"/>
        </w:rPr>
        <w:tab/>
      </w:r>
      <w:r>
        <w:rPr>
          <w:rFonts w:ascii="Courier New" w:cs="Courier New" w:eastAsia="Courier New" w:hAnsi="Courier New"/>
          <w:sz w:val="15"/>
          <w:szCs w:val="15"/>
          <w:color w:val="auto"/>
        </w:rPr>
        <w:t>Director Undertaking, dated February 11, 2001, from Didier Pineau-Valencienne to Schlumberger.**</w:t>
      </w:r>
    </w:p>
    <w:p>
      <w:pPr>
        <w:spacing w:after="0" w:line="176" w:lineRule="exact"/>
        <w:rPr>
          <w:sz w:val="20"/>
          <w:szCs w:val="20"/>
          <w:color w:val="auto"/>
        </w:rPr>
      </w:pPr>
    </w:p>
    <w:p>
      <w:pPr>
        <w:ind w:left="890" w:right="3259" w:hanging="879"/>
        <w:spacing w:after="0" w:line="235" w:lineRule="auto"/>
        <w:tabs>
          <w:tab w:leader="none" w:pos="869" w:val="left"/>
        </w:tabs>
        <w:rPr>
          <w:sz w:val="20"/>
          <w:szCs w:val="20"/>
          <w:color w:val="auto"/>
        </w:rPr>
      </w:pPr>
      <w:r>
        <w:rPr>
          <w:rFonts w:ascii="Courier New" w:cs="Courier New" w:eastAsia="Courier New" w:hAnsi="Courier New"/>
          <w:sz w:val="15"/>
          <w:szCs w:val="15"/>
          <w:color w:val="auto"/>
        </w:rPr>
        <w:t>(d)(13)</w:t>
      </w:r>
      <w:r>
        <w:rPr>
          <w:sz w:val="20"/>
          <w:szCs w:val="20"/>
          <w:color w:val="auto"/>
        </w:rPr>
        <w:tab/>
      </w:r>
      <w:r>
        <w:rPr>
          <w:rFonts w:ascii="Courier New" w:cs="Courier New" w:eastAsia="Courier New" w:hAnsi="Courier New"/>
          <w:sz w:val="15"/>
          <w:szCs w:val="15"/>
          <w:color w:val="auto"/>
        </w:rPr>
        <w:t>Director Undertaking, dated February 11, 2001, from George Schmitt to Schlumberger.**</w:t>
      </w:r>
    </w:p>
    <w:p>
      <w:pPr>
        <w:spacing w:after="0" w:line="176" w:lineRule="exact"/>
        <w:rPr>
          <w:sz w:val="20"/>
          <w:szCs w:val="20"/>
          <w:color w:val="auto"/>
        </w:rPr>
      </w:pPr>
    </w:p>
    <w:p>
      <w:pPr>
        <w:ind w:left="890" w:right="3179" w:hanging="879"/>
        <w:spacing w:after="0" w:line="237" w:lineRule="auto"/>
        <w:tabs>
          <w:tab w:leader="none" w:pos="869" w:val="left"/>
        </w:tabs>
        <w:rPr>
          <w:sz w:val="20"/>
          <w:szCs w:val="20"/>
          <w:color w:val="auto"/>
        </w:rPr>
      </w:pPr>
      <w:r>
        <w:rPr>
          <w:rFonts w:ascii="Courier New" w:cs="Courier New" w:eastAsia="Courier New" w:hAnsi="Courier New"/>
          <w:sz w:val="15"/>
          <w:szCs w:val="15"/>
          <w:color w:val="auto"/>
        </w:rPr>
        <w:t>(d)(14)</w:t>
      </w:r>
      <w:r>
        <w:rPr>
          <w:sz w:val="20"/>
          <w:szCs w:val="20"/>
          <w:color w:val="auto"/>
        </w:rPr>
        <w:tab/>
      </w:r>
      <w:r>
        <w:rPr>
          <w:rFonts w:ascii="Courier New" w:cs="Courier New" w:eastAsia="Courier New" w:hAnsi="Courier New"/>
          <w:sz w:val="15"/>
          <w:szCs w:val="15"/>
          <w:color w:val="auto"/>
        </w:rPr>
        <w:t>Irrevocable Undertaking, dated February 12, 2001, from Paribas Affaires Industrielles to Schlumberger Investments and Lehman Brothers Europe Limited.**</w:t>
      </w:r>
    </w:p>
    <w:p>
      <w:pPr>
        <w:spacing w:after="0" w:line="175" w:lineRule="exact"/>
        <w:rPr>
          <w:sz w:val="20"/>
          <w:szCs w:val="20"/>
          <w:color w:val="auto"/>
        </w:rPr>
      </w:pPr>
    </w:p>
    <w:p>
      <w:pPr>
        <w:ind w:left="890" w:right="3179" w:hanging="879"/>
        <w:spacing w:after="0" w:line="265" w:lineRule="auto"/>
        <w:tabs>
          <w:tab w:leader="none" w:pos="869" w:val="left"/>
        </w:tabs>
        <w:rPr>
          <w:sz w:val="20"/>
          <w:szCs w:val="20"/>
          <w:color w:val="auto"/>
        </w:rPr>
      </w:pPr>
      <w:r>
        <w:rPr>
          <w:rFonts w:ascii="Courier New" w:cs="Courier New" w:eastAsia="Courier New" w:hAnsi="Courier New"/>
          <w:sz w:val="14"/>
          <w:szCs w:val="14"/>
          <w:color w:val="auto"/>
        </w:rPr>
        <w:t>(d)(15)</w:t>
      </w:r>
      <w:r>
        <w:rPr>
          <w:sz w:val="20"/>
          <w:szCs w:val="20"/>
          <w:color w:val="auto"/>
        </w:rPr>
        <w:tab/>
      </w:r>
      <w:r>
        <w:rPr>
          <w:rFonts w:ascii="Courier New" w:cs="Courier New" w:eastAsia="Courier New" w:hAnsi="Courier New"/>
          <w:sz w:val="14"/>
          <w:szCs w:val="14"/>
          <w:color w:val="auto"/>
        </w:rPr>
        <w:t>Irrevocable Undertaking, dated February 12, 2001, from France Telecom S.A. to Schlumberger Investments and Lehman Brothers Europe Limited.**</w:t>
      </w:r>
    </w:p>
    <w:p>
      <w:pPr>
        <w:spacing w:after="0" w:line="153" w:lineRule="exact"/>
        <w:rPr>
          <w:sz w:val="20"/>
          <w:szCs w:val="20"/>
          <w:color w:val="auto"/>
        </w:rPr>
      </w:pPr>
    </w:p>
    <w:p>
      <w:pPr>
        <w:ind w:left="10"/>
        <w:spacing w:after="0"/>
        <w:tabs>
          <w:tab w:leader="none" w:pos="869" w:val="left"/>
        </w:tabs>
        <w:rPr>
          <w:sz w:val="20"/>
          <w:szCs w:val="20"/>
          <w:color w:val="auto"/>
        </w:rPr>
      </w:pPr>
      <w:r>
        <w:rPr>
          <w:rFonts w:ascii="Courier New" w:cs="Courier New" w:eastAsia="Courier New" w:hAnsi="Courier New"/>
          <w:sz w:val="15"/>
          <w:szCs w:val="15"/>
          <w:color w:val="auto"/>
        </w:rPr>
        <w:t>(d)(16)</w:t>
      </w:r>
      <w:r>
        <w:rPr>
          <w:sz w:val="20"/>
          <w:szCs w:val="20"/>
          <w:color w:val="auto"/>
        </w:rPr>
        <w:tab/>
      </w:r>
      <w:r>
        <w:rPr>
          <w:rFonts w:ascii="Courier New" w:cs="Courier New" w:eastAsia="Courier New" w:hAnsi="Courier New"/>
          <w:sz w:val="15"/>
          <w:szCs w:val="15"/>
          <w:color w:val="auto"/>
        </w:rPr>
        <w:t>Power of Attorney of Schlumberger Investments and Schlumberger.**</w:t>
      </w:r>
    </w:p>
    <w:p>
      <w:pPr>
        <w:spacing w:after="0" w:line="344" w:lineRule="exact"/>
        <w:rPr>
          <w:sz w:val="20"/>
          <w:szCs w:val="20"/>
          <w:color w:val="auto"/>
        </w:rPr>
      </w:pPr>
    </w:p>
    <w:p>
      <w:pPr>
        <w:ind w:left="270" w:right="3619" w:hanging="270"/>
        <w:spacing w:after="0" w:line="235" w:lineRule="auto"/>
        <w:tabs>
          <w:tab w:leader="none" w:pos="27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Schedule TO filed on February 12, 2001 or with Amendment No. 1 to the Schedule TO filed on February 13, 2001.</w:t>
      </w:r>
    </w:p>
    <w:p>
      <w:pPr>
        <w:spacing w:after="0" w:line="176" w:lineRule="exact"/>
        <w:rPr>
          <w:sz w:val="20"/>
          <w:szCs w:val="20"/>
          <w:color w:val="auto"/>
        </w:rPr>
      </w:pPr>
    </w:p>
    <w:p>
      <w:pPr>
        <w:ind w:left="270" w:right="3259" w:hanging="270"/>
        <w:spacing w:after="0" w:line="238" w:lineRule="auto"/>
        <w:tabs>
          <w:tab w:leader="none" w:pos="27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Schedule TO filed on February 21, 2001 or with Amendment No. 1 to the Schedule TO filed on February 22, 2001, or with Amendment No. 2 to the Schedule TO filed on March 6, 2001, or with Amendment No.4 to the Schedule to filed on March 22, 2001, or with Amendment No. 5 to the Schedule TO filed on March 30, 2001, or with Amendment No. 6 to the Schedule TO filed on April 5, 2001.</w:t>
      </w:r>
    </w:p>
    <w:p>
      <w:pPr>
        <w:sectPr>
          <w:pgSz w:w="11900" w:h="16838" w:orient="portrait"/>
          <w:cols w:equalWidth="0" w:num="1">
            <w:col w:w="10229"/>
          </w:cols>
          <w:pgMar w:left="230" w:top="627" w:right="1440" w:bottom="1440" w:gutter="0" w:footer="0" w:header="0"/>
        </w:sectPr>
      </w:pPr>
    </w:p>
    <w:bookmarkStart w:id="16" w:name="page17"/>
    <w:bookmarkEnd w:id="16"/>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10"/>
        <w:spacing w:after="0"/>
        <w:tabs>
          <w:tab w:leader="none" w:pos="5969" w:val="left"/>
        </w:tabs>
        <w:rPr>
          <w:sz w:val="20"/>
          <w:szCs w:val="20"/>
          <w:color w:val="auto"/>
        </w:rPr>
      </w:pPr>
      <w:r>
        <w:rPr>
          <w:rFonts w:ascii="Courier New" w:cs="Courier New" w:eastAsia="Courier New" w:hAnsi="Courier New"/>
          <w:sz w:val="15"/>
          <w:szCs w:val="15"/>
          <w:color w:val="auto"/>
        </w:rPr>
        <w:t>Press Release</w:t>
      </w:r>
      <w:r>
        <w:rPr>
          <w:sz w:val="20"/>
          <w:szCs w:val="20"/>
          <w:color w:val="auto"/>
        </w:rPr>
        <w:tab/>
      </w:r>
      <w:r>
        <w:rPr>
          <w:rFonts w:ascii="Courier New" w:cs="Courier New" w:eastAsia="Courier New" w:hAnsi="Courier New"/>
          <w:sz w:val="14"/>
          <w:szCs w:val="14"/>
          <w:color w:val="auto"/>
        </w:rPr>
        <w:t>Schlumberger</w:t>
      </w:r>
    </w:p>
    <w:p>
      <w:pPr>
        <w:spacing w:after="0" w:line="5" w:lineRule="exact"/>
        <w:rPr>
          <w:sz w:val="20"/>
          <w:szCs w:val="20"/>
          <w:color w:val="auto"/>
        </w:rPr>
      </w:pPr>
    </w:p>
    <w:p>
      <w:pPr>
        <w:ind w:left="170" w:hanging="170"/>
        <w:spacing w:after="0"/>
        <w:tabs>
          <w:tab w:leader="none" w:pos="17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4" w:lineRule="exact"/>
        <w:rPr>
          <w:rFonts w:ascii="Courier New" w:cs="Courier New" w:eastAsia="Courier New" w:hAnsi="Courier New"/>
          <w:sz w:val="14"/>
          <w:szCs w:val="14"/>
          <w:color w:val="auto"/>
        </w:rPr>
      </w:pPr>
    </w:p>
    <w:p>
      <w:pPr>
        <w:ind w:left="573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EXHIBIT 99(a)19</w:t>
      </w:r>
    </w:p>
    <w:p>
      <w:pPr>
        <w:spacing w:after="0" w:line="200" w:lineRule="exact"/>
        <w:rPr>
          <w:sz w:val="20"/>
          <w:szCs w:val="20"/>
          <w:color w:val="auto"/>
        </w:rPr>
      </w:pPr>
    </w:p>
    <w:p>
      <w:pPr>
        <w:spacing w:after="0" w:line="30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FOR IMMEDIATE RELEASE</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SCHLUMBERGER ACQUIRES SEMA</w:t>
      </w:r>
    </w:p>
    <w:p>
      <w:pPr>
        <w:spacing w:after="0" w:line="175"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NEW YORK, April 6, 2001 - Schlumberger Investments, a wholly owned subsidiary of Schlumberger Limited, announced today that the Offer for the issued and to be issued ordinary share capital of Sema has today been declared unconditional in all respects. As anticipated in its announcement dated March 30, 2001, Schlumberger Investments has reduced the percentage of Sema Securities required to satisfy the Acceptance Condition and all other conditions have now been satisfied or waived. The Offer will remain open for acceptance until further notice and Sema Securityholders' withdrawal rights have been terminated. At least 14 days notice will be given by an announcement before the Offer is closed.</w:t>
      </w:r>
    </w:p>
    <w:p>
      <w:pPr>
        <w:spacing w:after="0" w:line="174"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As at 3.00 p.m. (London time), 10.00 a.m. (New York City time), today,</w:t>
      </w:r>
    </w:p>
    <w:p>
      <w:pPr>
        <w:spacing w:after="0" w:line="5"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valid acceptances had been received in respect of a total of 401,473,685 Sema Shares, representing approximately 65.3% of the issued share capital of Sema. In addition, Schlumberger Investments has acquired 122,869,697 Sema Shares through market purchases, representing approximately 20.0% of the issued share capital of Sema. Accordingly, as at 3.00 p.m. (London time), 10.00 a.m. (New York City time), today, Schlumberger Investments owned or had received valid acceptances in respect of 524,343,382 Sema Shares representing approximately 85.2% of the issued share capital of Sema.</w:t>
      </w:r>
    </w:p>
    <w:p>
      <w:pPr>
        <w:spacing w:after="0" w:line="178"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Schlumberger Investments received undertakings to accept or procure the acceptance of the Offer from directors of Sema and certain other shareholders in respect of 135,245,830 Sema Shares, representing approximately 22.0% of the issued share capital of Sema. Valid acceptances, pursuant to the undertakings, have been received in respect of all the Sema Shares the subject of the undertakings outlined above, all of which are included above in the total of valid acceptances received as at 3.00 p.m. (London time), 10.00 a.m. (New York City time), today.</w:t>
      </w:r>
    </w:p>
    <w:p>
      <w:pPr>
        <w:spacing w:after="0" w:line="178"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At the close of business on February 12, 2001, Schlumberger Investments and persons who are or may have been deemed to be acting in concert with Schlumberger Investments owned or controlled 1,106,037 Sema Shares in aggregate representing approximately 0.2% of the issued share capital of Sema. Save as set out above neither Schlumberger Investments nor any party who was or may have been deemed to be acting in concert with Schlumberger Investments owned any Sema Shares or rights over Sema Shares on February 12, 2001, nor have they acquired or agreed to acquire any Sema Shares or rights over Sema Shares since February 12, 2001. Valid acceptances have been received from persons who are or may be deemed to be acting in concert with Schlumberger Investments in respect of a total of 188,800 Sema Shares, all of which are included above in the total of valid acceptances</w:t>
      </w:r>
    </w:p>
    <w:p>
      <w:pPr>
        <w:sectPr>
          <w:pgSz w:w="11900" w:h="16838" w:orient="portrait"/>
          <w:cols w:equalWidth="0" w:num="1">
            <w:col w:w="10229"/>
          </w:cols>
          <w:pgMar w:left="230" w:top="480" w:right="1440" w:bottom="1440" w:gutter="0" w:footer="0" w:header="0"/>
        </w:sectPr>
      </w:pPr>
    </w:p>
    <w:bookmarkStart w:id="17" w:name="page18"/>
    <w:bookmarkEnd w:id="17"/>
    <w:p>
      <w:pPr>
        <w:ind w:left="170" w:hanging="170"/>
        <w:spacing w:after="0"/>
        <w:tabs>
          <w:tab w:leader="none" w:pos="17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Press Release (continued)</w:t>
      </w:r>
    </w:p>
    <w:p>
      <w:pPr>
        <w:spacing w:after="0" w:line="4"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received as at 3.00 p.m. (London time), 10.00 a.m. (New York City time), today.</w:t>
      </w:r>
    </w:p>
    <w:p>
      <w:pPr>
        <w:spacing w:after="0" w:line="175"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The consideration payable to Sema Security holders who have validly accepted the Offer by April 6, 2001 will be dispatched by April 20, 2001. Consideration will be dispatched within 14 days of the date of receipt of further valid acceptances received after 3:00 p.m. (London Time), 10:00 a.m. (New York City Time), on April 6, 2001 and while the Offer remains open for acceptance.</w:t>
      </w:r>
    </w:p>
    <w:p>
      <w:pPr>
        <w:spacing w:after="0" w:line="178" w:lineRule="exact"/>
        <w:rPr>
          <w:sz w:val="20"/>
          <w:szCs w:val="20"/>
          <w:color w:val="auto"/>
        </w:rPr>
      </w:pPr>
    </w:p>
    <w:p>
      <w:pPr>
        <w:ind w:left="10" w:right="3259"/>
        <w:spacing w:after="0" w:line="258" w:lineRule="auto"/>
        <w:rPr>
          <w:sz w:val="20"/>
          <w:szCs w:val="20"/>
          <w:color w:val="auto"/>
        </w:rPr>
      </w:pPr>
      <w:r>
        <w:rPr>
          <w:rFonts w:ascii="Courier New" w:cs="Courier New" w:eastAsia="Courier New" w:hAnsi="Courier New"/>
          <w:sz w:val="14"/>
          <w:szCs w:val="14"/>
          <w:color w:val="auto"/>
        </w:rPr>
        <w:t>As anticipated in the Offer Document dated 21 February 2001, as and when Schlumberger Investments has received valid acceptances of the Offer in respect of or otherwise acquired 90% or more in value of the Sema Shares to which the Offer relates, Schlumberger Investments will seek to acquire compulsorily the Sema Shares for which it has not received valid acceptances of the Offer or otherwise aquired, pursuant to sections 428 to 430F of the Companies Act.</w:t>
      </w:r>
    </w:p>
    <w:p>
      <w:pPr>
        <w:spacing w:after="0" w:line="164"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Notice is also given that Schlumberger Investments intends to procure, as soon as reasonably practicable, the application by Sema for the cancellation of Sema's listing on the Official List of the UK Listing Authority and the cancellation of trading in Sema Shares on the London Stock Exchange's market for listed securities. It is anticipated that cancellation of listing and trading will take effect to earlier than 20 business days after this announcement. Application will also be made for cancellation of Sema's listings on Nasdaq and Euronext Paris.</w:t>
      </w:r>
    </w:p>
    <w:p>
      <w:pPr>
        <w:spacing w:after="0" w:line="178"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Sema Securityholders who wish to accept the Offer, but have not already done so, should return their completed Acceptance Forms in accordance with the instructions set out in the Offer Document as soon as possible.</w:t>
      </w:r>
    </w:p>
    <w:p>
      <w:pPr>
        <w:spacing w:after="0" w:line="169"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 # #</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For further information, contact:</w:t>
      </w:r>
    </w:p>
    <w:p>
      <w:pPr>
        <w:sectPr>
          <w:pgSz w:w="11900" w:h="16838" w:orient="portrait"/>
          <w:cols w:equalWidth="0" w:num="1">
            <w:col w:w="10229"/>
          </w:cols>
          <w:pgMar w:left="230" w:top="627" w:right="1440" w:bottom="1440" w:gutter="0" w:footer="0" w:header="0"/>
        </w:sectPr>
      </w:pPr>
    </w:p>
    <w:bookmarkStart w:id="18" w:name="page19"/>
    <w:bookmarkEnd w:id="18"/>
    <w:p>
      <w:pPr>
        <w:ind w:left="170" w:hanging="170"/>
        <w:spacing w:after="0"/>
        <w:tabs>
          <w:tab w:leader="none" w:pos="17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Press Release (continued)</w:t>
      </w:r>
    </w:p>
    <w:p>
      <w:pPr>
        <w:spacing w:after="0" w:line="4"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In the United States: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Schlumberger Limited</w:t>
      </w:r>
    </w:p>
    <w:p>
      <w:pPr>
        <w:ind w:left="10"/>
        <w:spacing w:after="0"/>
        <w:rPr>
          <w:sz w:val="20"/>
          <w:szCs w:val="20"/>
          <w:color w:val="auto"/>
        </w:rPr>
      </w:pPr>
      <w:r>
        <w:rPr>
          <w:rFonts w:ascii="Courier New" w:cs="Courier New" w:eastAsia="Courier New" w:hAnsi="Courier New"/>
          <w:sz w:val="15"/>
          <w:szCs w:val="15"/>
          <w:color w:val="auto"/>
        </w:rPr>
        <w:t>Rex Ross</w:t>
      </w:r>
    </w:p>
    <w:p>
      <w:pPr>
        <w:ind w:left="10"/>
        <w:spacing w:after="0"/>
        <w:rPr>
          <w:sz w:val="20"/>
          <w:szCs w:val="20"/>
          <w:color w:val="auto"/>
        </w:rPr>
      </w:pPr>
      <w:r>
        <w:rPr>
          <w:rFonts w:ascii="Courier New" w:cs="Courier New" w:eastAsia="Courier New" w:hAnsi="Courier New"/>
          <w:sz w:val="15"/>
          <w:szCs w:val="15"/>
          <w:color w:val="auto"/>
        </w:rPr>
        <w:t>VP Communications</w:t>
      </w:r>
    </w:p>
    <w:p>
      <w:pPr>
        <w:ind w:left="10"/>
        <w:spacing w:after="0" w:line="238" w:lineRule="auto"/>
        <w:rPr>
          <w:sz w:val="20"/>
          <w:szCs w:val="20"/>
          <w:color w:val="auto"/>
        </w:rPr>
      </w:pPr>
      <w:r>
        <w:rPr>
          <w:rFonts w:ascii="Courier New" w:cs="Courier New" w:eastAsia="Courier New" w:hAnsi="Courier New"/>
          <w:sz w:val="15"/>
          <w:szCs w:val="15"/>
          <w:color w:val="auto"/>
        </w:rPr>
        <w:t>Tel: 1-212-350-9432</w:t>
      </w:r>
    </w:p>
    <w:p>
      <w:pPr>
        <w:spacing w:after="0" w:line="175" w:lineRule="exact"/>
        <w:rPr>
          <w:sz w:val="20"/>
          <w:szCs w:val="20"/>
          <w:color w:val="auto"/>
        </w:rPr>
      </w:pPr>
    </w:p>
    <w:p>
      <w:pPr>
        <w:ind w:left="10" w:right="3699"/>
        <w:spacing w:after="0" w:line="235" w:lineRule="auto"/>
        <w:rPr>
          <w:sz w:val="20"/>
          <w:szCs w:val="20"/>
          <w:color w:val="auto"/>
        </w:rPr>
      </w:pPr>
      <w:r>
        <w:rPr>
          <w:rFonts w:ascii="Courier New" w:cs="Courier New" w:eastAsia="Courier New" w:hAnsi="Courier New"/>
          <w:sz w:val="15"/>
          <w:szCs w:val="15"/>
          <w:color w:val="auto"/>
        </w:rPr>
        <w:t>Words defined in the Offer Document, dated 21 February 2001, have the same meaning in this announcement.</w:t>
      </w:r>
    </w:p>
    <w:p>
      <w:pPr>
        <w:spacing w:after="0" w:line="176"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Lehman Brothers, Morgan Stanley Dean Witter and Schroder Salomon Smith Barney, each of which is regulated in the United Kingdom by The Securities and Futures Authority Limited, are acting for Schlumberger, Schlumberger Industries S.A. and Schlumberger Investments and no one else in connection with the Offer and will not be responsible to anyone other than Schlumberger, Schlumberger Industries S.A. and Schlumberger Investments for providing the protections afforded to customers of Lehman Brothers, Morgan Stanley Dean Witter and Schroder Salomon Smith Barney, respectively, nor for giving advice in relation to the Offer. Lehman Brothers, as dealer manager for the Offer, is making the Offer in the United States on behalf of Schlumberger Investments.</w:t>
      </w:r>
    </w:p>
    <w:p>
      <w:pPr>
        <w:spacing w:after="0" w:line="180" w:lineRule="exact"/>
        <w:rPr>
          <w:sz w:val="20"/>
          <w:szCs w:val="20"/>
          <w:color w:val="auto"/>
        </w:rPr>
      </w:pPr>
    </w:p>
    <w:p>
      <w:pPr>
        <w:jc w:val="both"/>
        <w:ind w:left="10" w:right="3439"/>
        <w:spacing w:after="0" w:line="259" w:lineRule="auto"/>
        <w:rPr>
          <w:sz w:val="20"/>
          <w:szCs w:val="20"/>
          <w:color w:val="auto"/>
        </w:rPr>
      </w:pPr>
      <w:r>
        <w:rPr>
          <w:rFonts w:ascii="Courier New" w:cs="Courier New" w:eastAsia="Courier New" w:hAnsi="Courier New"/>
          <w:sz w:val="14"/>
          <w:szCs w:val="14"/>
          <w:color w:val="auto"/>
        </w:rPr>
        <w:t>The availability of the Offer to Sema Securityholders who are not resident in the United Kingdom may be affected by the laws of the relevant jurisdictions. Sema Securityholders who are not resident in the United Kingdom should inform themselves about and observe any applicable requirements.</w:t>
      </w:r>
    </w:p>
    <w:p>
      <w:pPr>
        <w:spacing w:after="0" w:line="163"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The Offer is not being made, directly or indirectly, in or into Australia, Canada or Japan and may not be accepted in or from Australia Canada or Japan. Accordingly, this announcement and copies of the Offer Document, the Acceptance Forms or any related documents are not being, and must not be, mailed or otherwise distributed or sent in or into Australia, Canada or Japan. Custodians, nominees and trustees should observe these restrictions and should not send this announcement, the Offer Document, the Acceptance Forms or any related documents in or into Australia, Canada or Japan.</w:t>
      </w:r>
    </w:p>
    <w:p>
      <w:pPr>
        <w:spacing w:after="0" w:line="178" w:lineRule="exact"/>
        <w:rPr>
          <w:sz w:val="20"/>
          <w:szCs w:val="20"/>
          <w:color w:val="auto"/>
        </w:rPr>
      </w:pPr>
    </w:p>
    <w:p>
      <w:pPr>
        <w:ind w:left="10" w:right="3359"/>
        <w:spacing w:after="0" w:line="238" w:lineRule="auto"/>
        <w:rPr>
          <w:sz w:val="20"/>
          <w:szCs w:val="20"/>
          <w:color w:val="auto"/>
        </w:rPr>
      </w:pPr>
      <w:r>
        <w:rPr>
          <w:rFonts w:ascii="Courier New" w:cs="Courier New" w:eastAsia="Courier New" w:hAnsi="Courier New"/>
          <w:sz w:val="15"/>
          <w:szCs w:val="15"/>
          <w:color w:val="auto"/>
        </w:rPr>
        <w:t>The directors of Schlumberger Investments listed in schedule IVA of the Offer Document accept responsibility for the information contained in this announcement and, to the best of their knowledge and belief (having taken all reasonable care to ensure such is the case), the information contained in this announcement is in accordance with the facts and does not omit anything likely to affect the import of such information. This statement is included solely to comply with Rule 19.2 of the City</w:t>
      </w:r>
    </w:p>
    <w:p>
      <w:pPr>
        <w:sectPr>
          <w:pgSz w:w="11900" w:h="16838" w:orient="portrait"/>
          <w:cols w:equalWidth="0" w:num="1">
            <w:col w:w="10229"/>
          </w:cols>
          <w:pgMar w:left="230" w:top="627" w:right="1440" w:bottom="1440" w:gutter="0" w:footer="0" w:header="0"/>
        </w:sectPr>
      </w:pPr>
    </w:p>
    <w:bookmarkStart w:id="19" w:name="page20"/>
    <w:bookmarkEnd w:id="19"/>
    <w:p>
      <w:pPr>
        <w:ind w:left="170" w:hanging="170"/>
        <w:spacing w:after="0"/>
        <w:tabs>
          <w:tab w:leader="none" w:pos="17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Press Release (continued)</w:t>
      </w:r>
    </w:p>
    <w:p>
      <w:pPr>
        <w:spacing w:after="0" w:line="4"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Code and shall not be deemed to establish or expand liability under law, including under US federal securities laws or under the laws of any state of the US.</w:t>
      </w:r>
    </w:p>
    <w:p>
      <w:pPr>
        <w:spacing w:after="0" w:line="175" w:lineRule="exact"/>
        <w:rPr>
          <w:sz w:val="20"/>
          <w:szCs w:val="20"/>
          <w:color w:val="auto"/>
        </w:rPr>
      </w:pPr>
    </w:p>
    <w:p>
      <w:pPr>
        <w:ind w:left="10" w:right="3179"/>
        <w:spacing w:after="0" w:line="257" w:lineRule="auto"/>
        <w:rPr>
          <w:sz w:val="20"/>
          <w:szCs w:val="20"/>
          <w:color w:val="auto"/>
        </w:rPr>
      </w:pPr>
      <w:r>
        <w:rPr>
          <w:rFonts w:ascii="Courier New" w:cs="Courier New" w:eastAsia="Courier New" w:hAnsi="Courier New"/>
          <w:sz w:val="14"/>
          <w:szCs w:val="14"/>
          <w:color w:val="auto"/>
        </w:rPr>
        <w:t>Schlumberger has filed a Tender Offer Statement and other related documentation and Sema has filed a Solicitation/Recommendation Statement with the Securities and Exchange Commission. Free copies of these documents will be available on the SEC's web site at www.sec.gov. The Tender Offer Statement may also be obtained at no charge from Schlumberger at 277 Park Avenue, New York, NY 10172-0266 and the Solicitation/Recommendation Statement may be obtained at no charge from Sema at Six Concourse Parkway, Suite 2700, Atlanta, Georgia 30328. Shareholders are urged to read the Tender Offer Statement, the Solicitation/Recommendation Statement and the related documentation as they contain important information.</w:t>
      </w:r>
    </w:p>
    <w:p>
      <w:pPr>
        <w:spacing w:after="0" w:line="167"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This announcement is neither an offer to purchase nor a solicitation of an offer to sell Sema Securities. The Offer is being made solely by the Offer Document dated February 21, 2001 and the related Acceptance Forms.</w:t>
      </w:r>
    </w:p>
    <w:sectPr>
      <w:pgSz w:w="11900" w:h="16838" w:orient="portrait"/>
      <w:cols w:equalWidth="0" w:num="1">
        <w:col w:w="10229"/>
      </w:cols>
      <w:pgMar w:left="230" w:top="6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1)"/>
      <w:numFmt w:val="decimal"/>
      <w:start w:val="1"/>
    </w:lvl>
  </w:abstractNum>
  <w:abstractNum w:abstractNumId="6">
    <w:nsid w:val="2443A858"/>
    <w:multiLevelType w:val="hybridMultilevel"/>
    <w:lvl w:ilvl="0">
      <w:lvlJc w:val="left"/>
      <w:lvlText w:val="(%1)"/>
      <w:numFmt w:val="lowerLetter"/>
      <w:start w:val="1"/>
    </w:lvl>
  </w:abstractNum>
  <w:abstractNum w:abstractNumId="7">
    <w:nsid w:val="2D1D5AE9"/>
    <w:multiLevelType w:val="hybridMultilevel"/>
    <w:lvl w:ilvl="0">
      <w:lvlJc w:val="left"/>
      <w:lvlText w:val="[%1]"/>
      <w:numFmt w:val="upperLetter"/>
      <w:start w:val="24"/>
    </w:lvl>
  </w:abstractNum>
  <w:abstractNum w:abstractNumId="8">
    <w:nsid w:val="6763845E"/>
    <w:multiLevelType w:val="hybridMultilevel"/>
    <w:lvl w:ilvl="0">
      <w:lvlJc w:val="left"/>
      <w:lvlText w:val="(%1)"/>
      <w:numFmt w:val="lowerLetter"/>
      <w:start w:val="1"/>
    </w:lvl>
  </w:abstractNum>
  <w:abstractNum w:abstractNumId="9">
    <w:nsid w:val="75A2A8D4"/>
    <w:multiLevelType w:val="hybridMultilevel"/>
    <w:lvl w:ilvl="0">
      <w:lvlJc w:val="left"/>
      <w:lvlText w:val="(%1)"/>
      <w:numFmt w:val="lowerLetter"/>
      <w:start w:val="1"/>
    </w:lvl>
  </w:abstractNum>
  <w:abstractNum w:abstractNumId="10">
    <w:nsid w:val="8EDBDAB"/>
    <w:multiLevelType w:val="hybridMultilevel"/>
    <w:lvl w:ilvl="0">
      <w:lvlJc w:val="left"/>
      <w:lvlText w:val="(%1)"/>
      <w:numFmt w:val="lowerLetter"/>
      <w:start w:val="2"/>
    </w:lvl>
  </w:abstractNum>
  <w:abstractNum w:abstractNumId="11">
    <w:nsid w:val="79838CB2"/>
    <w:multiLevelType w:val="hybridMultilevel"/>
    <w:lvl w:ilvl="0">
      <w:lvlJc w:val="left"/>
      <w:lvlText w:val="(%1)"/>
      <w:numFmt w:val="lowerRoman"/>
      <w:start w:val="1"/>
    </w:lvl>
  </w:abstractNum>
  <w:abstractNum w:abstractNumId="12">
    <w:nsid w:val="4353D0CD"/>
    <w:multiLevelType w:val="hybridMultilevel"/>
    <w:lvl w:ilvl="0">
      <w:lvlJc w:val="left"/>
      <w:lvlText w:val="(%1)"/>
      <w:numFmt w:val="lowerRoman"/>
      <w:start w:val="2"/>
    </w:lvl>
  </w:abstractNum>
  <w:abstractNum w:abstractNumId="13">
    <w:nsid w:val="B03E0C6"/>
    <w:multiLevelType w:val="hybridMultilevel"/>
    <w:lvl w:ilvl="0">
      <w:lvlJc w:val="left"/>
      <w:lvlText w:val="(%1)"/>
      <w:numFmt w:val="lowerRoman"/>
      <w:start w:val="3"/>
    </w:lvl>
  </w:abstractNum>
  <w:abstractNum w:abstractNumId="14">
    <w:nsid w:val="189A769B"/>
    <w:multiLevelType w:val="hybridMultilevel"/>
    <w:lvl w:ilvl="0">
      <w:lvlJc w:val="left"/>
      <w:lvlText w:val="(%1)"/>
      <w:numFmt w:val="lowerRoman"/>
      <w:start w:val="4"/>
    </w:lvl>
  </w:abstractNum>
  <w:abstractNum w:abstractNumId="15">
    <w:nsid w:val="54E49EB4"/>
    <w:multiLevelType w:val="hybridMultilevel"/>
    <w:lvl w:ilvl="0">
      <w:lvlJc w:val="left"/>
      <w:lvlText w:val="(%1)"/>
      <w:numFmt w:val="lowerRoman"/>
      <w:start w:val="5"/>
    </w:lvl>
  </w:abstractNum>
  <w:abstractNum w:abstractNumId="16">
    <w:nsid w:val="71F32454"/>
    <w:multiLevelType w:val="hybridMultilevel"/>
    <w:lvl w:ilvl="0">
      <w:lvlJc w:val="left"/>
      <w:lvlText w:val="(%1)"/>
      <w:numFmt w:val="lowerRoman"/>
      <w:start w:val="6"/>
    </w:lvl>
  </w:abstractNum>
  <w:abstractNum w:abstractNumId="17">
    <w:nsid w:val="2CA88611"/>
    <w:multiLevelType w:val="hybridMultilevel"/>
    <w:lvl w:ilvl="0">
      <w:lvlJc w:val="left"/>
      <w:lvlText w:val="(%1)"/>
      <w:numFmt w:val="lowerRoman"/>
      <w:start w:val="7"/>
    </w:lvl>
  </w:abstractNum>
  <w:abstractNum w:abstractNumId="18">
    <w:nsid w:val="836C40E"/>
    <w:multiLevelType w:val="hybridMultilevel"/>
    <w:lvl w:ilvl="0">
      <w:lvlJc w:val="left"/>
      <w:lvlText w:val="(%1)"/>
      <w:numFmt w:val="lowerRoman"/>
      <w:start w:val="8"/>
    </w:lvl>
  </w:abstractNum>
  <w:abstractNum w:abstractNumId="19">
    <w:nsid w:val="2901D82"/>
    <w:multiLevelType w:val="hybridMultilevel"/>
    <w:lvl w:ilvl="0">
      <w:lvlJc w:val="left"/>
      <w:lvlText w:val="(%1)"/>
      <w:numFmt w:val="lowerRoman"/>
      <w:start w:val="9"/>
    </w:lvl>
  </w:abstractNum>
  <w:abstractNum w:abstractNumId="20">
    <w:nsid w:val="3A95F874"/>
    <w:multiLevelType w:val="hybridMultilevel"/>
    <w:lvl w:ilvl="0">
      <w:lvlJc w:val="left"/>
      <w:lvlText w:val="(%1)"/>
      <w:numFmt w:val="lowerRoman"/>
      <w:start w:val="10"/>
    </w:lvl>
  </w:abstractNum>
  <w:abstractNum w:abstractNumId="21">
    <w:nsid w:val="8138641"/>
    <w:multiLevelType w:val="hybridMultilevel"/>
    <w:lvl w:ilvl="0">
      <w:lvlJc w:val="left"/>
      <w:lvlText w:val="(%1)"/>
      <w:numFmt w:val="lowerRoman"/>
      <w:start w:val="11"/>
    </w:lvl>
  </w:abstractNum>
  <w:abstractNum w:abstractNumId="22">
    <w:nsid w:val="1E7FF521"/>
    <w:multiLevelType w:val="hybridMultilevel"/>
    <w:lvl w:ilvl="0">
      <w:lvlJc w:val="left"/>
      <w:lvlText w:val="(%1)"/>
      <w:numFmt w:val="lowerRoman"/>
      <w:start w:val="12"/>
    </w:lvl>
  </w:abstractNum>
  <w:abstractNum w:abstractNumId="23">
    <w:nsid w:val="7C3DBD3D"/>
    <w:multiLevelType w:val="hybridMultilevel"/>
    <w:lvl w:ilvl="0">
      <w:lvlJc w:val="left"/>
      <w:lvlText w:val="(%1)"/>
      <w:numFmt w:val="lowerRoman"/>
      <w:start w:val="13"/>
    </w:lvl>
  </w:abstractNum>
  <w:abstractNum w:abstractNumId="24">
    <w:nsid w:val="737B8DDC"/>
    <w:multiLevelType w:val="hybridMultilevel"/>
    <w:lvl w:ilvl="0">
      <w:lvlJc w:val="left"/>
      <w:lvlText w:val="(%1)"/>
      <w:numFmt w:val="lowerRoman"/>
      <w:start w:val="14"/>
    </w:lvl>
  </w:abstractNum>
  <w:abstractNum w:abstractNumId="25">
    <w:nsid w:val="6CEAF087"/>
    <w:multiLevelType w:val="hybridMultilevel"/>
    <w:lvl w:ilvl="0">
      <w:lvlJc w:val="left"/>
      <w:lvlText w:val="(%1)"/>
      <w:numFmt w:val="lowerRoman"/>
      <w:start w:val="15"/>
    </w:lvl>
  </w:abstractNum>
  <w:abstractNum w:abstractNumId="26">
    <w:nsid w:val="22221A70"/>
    <w:multiLevelType w:val="hybridMultilevel"/>
    <w:lvl w:ilvl="0">
      <w:lvlJc w:val="left"/>
      <w:lvlText w:val="(%1)"/>
      <w:numFmt w:val="decimal"/>
      <w:start w:val="2"/>
    </w:lvl>
  </w:abstractNum>
  <w:abstractNum w:abstractNumId="27">
    <w:nsid w:val="4516DDE9"/>
    <w:multiLevelType w:val="hybridMultilevel"/>
    <w:lvl w:ilvl="0">
      <w:lvlJc w:val="left"/>
      <w:lvlText w:val="(%1)"/>
      <w:numFmt w:val="lowerLetter"/>
      <w:start w:val="3"/>
    </w:lvl>
  </w:abstractNum>
  <w:abstractNum w:abstractNumId="28">
    <w:nsid w:val="3006C83E"/>
    <w:multiLevelType w:val="hybridMultilevel"/>
    <w:lvl w:ilvl="0">
      <w:lvlJc w:val="left"/>
      <w:lvlText w:val="(%1)"/>
      <w:numFmt w:val="lowerLetter"/>
      <w:start w:val="5"/>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1)"/>
      <w:numFmt w:val="decimal"/>
      <w:start w:val="2"/>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
      <w:numFmt w:val="bullet"/>
      <w:start w:val="1"/>
    </w:lvl>
  </w:abstractNum>
  <w:abstractNum w:abstractNumId="35">
    <w:nsid w:val="77465F01"/>
    <w:multiLevelType w:val="hybridMultilevel"/>
    <w:lvl w:ilvl="0">
      <w:lvlJc w:val="left"/>
      <w:lvlText w:val="-"/>
      <w:numFmt w:val="bullet"/>
      <w:start w:val="1"/>
    </w:lvl>
  </w:abstractNum>
  <w:abstractNum w:abstractNumId="36">
    <w:nsid w:val="7724C67E"/>
    <w:multiLevelType w:val="hybridMultilevel"/>
    <w:lvl w:ilvl="0">
      <w:lvlJc w:val="left"/>
      <w:lvlText w:val="-"/>
      <w:numFmt w:val="bullet"/>
      <w:start w:val="1"/>
    </w:lvl>
  </w:abstractNum>
  <w:abstractNum w:abstractNumId="37">
    <w:nsid w:val="5C482A9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2019-12-16T13:19:21Z</dcterms:created>
  <dcterms:modified xsi:type="dcterms:W3CDTF">2019-12-16T13:19:21Z</dcterms:modified>
</cp:coreProperties>
</file>