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700" w:type="dxa"/>
            <w:vAlign w:val="bottom"/>
            <w:gridSpan w:val="9"/>
          </w:tcPr>
          <w:p>
            <w:pPr>
              <w:jc w:val="center"/>
              <w:ind w:left="1407"/>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6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3"/>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00" w:type="dxa"/>
            <w:vAlign w:val="bottom"/>
            <w:gridSpan w:val="9"/>
            <w:vMerge w:val="restart"/>
          </w:tcPr>
          <w:p>
            <w:pPr>
              <w:jc w:val="center"/>
              <w:ind w:left="1407"/>
              <w:spacing w:after="0"/>
              <w:rPr>
                <w:sz w:val="20"/>
                <w:szCs w:val="20"/>
                <w:color w:val="auto"/>
              </w:rPr>
            </w:pPr>
            <w:r>
              <w:rPr>
                <w:rFonts w:ascii="Arial" w:cs="Arial" w:eastAsia="Arial" w:hAnsi="Arial"/>
                <w:sz w:val="14"/>
                <w:szCs w:val="14"/>
                <w:b w:val="1"/>
                <w:bCs w:val="1"/>
                <w:color w:val="auto"/>
              </w:rPr>
              <w:t>NOTICE OF PROPOSED SALE OF SECURITIES</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60" w:type="dxa"/>
            <w:vAlign w:val="bottom"/>
            <w:gridSpan w:val="5"/>
          </w:tcPr>
          <w:p>
            <w:pPr>
              <w:jc w:val="right"/>
              <w:ind w:right="590"/>
              <w:spacing w:after="0"/>
              <w:rPr>
                <w:sz w:val="20"/>
                <w:szCs w:val="20"/>
                <w:color w:val="auto"/>
              </w:rPr>
            </w:pPr>
            <w:r>
              <w:rPr>
                <w:rFonts w:ascii="Arial" w:cs="Arial" w:eastAsia="Arial" w:hAnsi="Arial"/>
                <w:sz w:val="11"/>
                <w:szCs w:val="11"/>
                <w:color w:val="auto"/>
                <w:w w:val="95"/>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7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0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3"/>
            <w:vMerge w:val="restart"/>
          </w:tcPr>
          <w:p>
            <w:pPr>
              <w:jc w:val="center"/>
              <w:ind w:left="147"/>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80" w:type="dxa"/>
            <w:vAlign w:val="bottom"/>
            <w:gridSpan w:val="13"/>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shd w:val="clear" w:color="auto" w:fill="BFBFBF"/>
          </w:tcPr>
          <w:p>
            <w:pPr>
              <w:spacing w:after="0"/>
              <w:rPr>
                <w:sz w:val="7"/>
                <w:szCs w:val="7"/>
                <w:color w:val="auto"/>
              </w:rPr>
            </w:pPr>
          </w:p>
        </w:tc>
        <w:tc>
          <w:tcPr>
            <w:tcW w:w="16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40" w:type="dxa"/>
            <w:vAlign w:val="bottom"/>
            <w:shd w:val="clear" w:color="auto" w:fill="BFBFBF"/>
          </w:tcPr>
          <w:p>
            <w:pPr>
              <w:spacing w:after="0"/>
              <w:rPr>
                <w:sz w:val="19"/>
                <w:szCs w:val="19"/>
                <w:color w:val="auto"/>
              </w:rPr>
            </w:pPr>
          </w:p>
        </w:tc>
        <w:tc>
          <w:tcPr>
            <w:tcW w:w="16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shd w:val="clear" w:color="auto" w:fill="BFBFBF"/>
          </w:tcPr>
          <w:p>
            <w:pPr>
              <w:spacing w:after="0"/>
              <w:rPr>
                <w:sz w:val="14"/>
                <w:szCs w:val="14"/>
                <w:color w:val="auto"/>
              </w:rPr>
            </w:pPr>
          </w:p>
        </w:tc>
        <w:tc>
          <w:tcPr>
            <w:tcW w:w="16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100" w:type="dxa"/>
            <w:vAlign w:val="bottom"/>
            <w:gridSpan w:val="4"/>
          </w:tcPr>
          <w:p>
            <w:pPr>
              <w:ind w:left="20"/>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8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Borders>
              <w:bottom w:val="single" w:sz="8" w:color="BFBFBF"/>
            </w:tcBorders>
            <w:shd w:val="clear" w:color="auto" w:fill="BFBFBF"/>
          </w:tcPr>
          <w:p>
            <w:pPr>
              <w:spacing w:after="0"/>
              <w:rPr>
                <w:sz w:val="23"/>
                <w:szCs w:val="23"/>
                <w:color w:val="auto"/>
              </w:rPr>
            </w:pPr>
          </w:p>
        </w:tc>
        <w:tc>
          <w:tcPr>
            <w:tcW w:w="16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6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5"/>
              </w:rPr>
              <w:t>STATE</w:t>
            </w:r>
          </w:p>
        </w:tc>
        <w:tc>
          <w:tcPr>
            <w:tcW w:w="120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60" w:type="dxa"/>
            <w:vAlign w:val="bottom"/>
            <w:gridSpan w:val="2"/>
            <w:vMerge w:val="restart"/>
          </w:tcPr>
          <w:p>
            <w:pPr>
              <w:ind w:left="20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vMerge w:val="restart"/>
          </w:tcPr>
          <w:p>
            <w:pPr>
              <w:jc w:val="right"/>
              <w:ind w:right="26"/>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(c) </w:t>
            </w:r>
            <w:r>
              <w:rPr>
                <w:rFonts w:ascii="Arial" w:cs="Arial" w:eastAsia="Arial" w:hAnsi="Arial"/>
                <w:sz w:val="13"/>
                <w:szCs w:val="13"/>
                <w:color w:val="auto"/>
                <w:w w:val="90"/>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Satish Pai</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6"/>
            <w:vMerge w:val="continue"/>
          </w:tcPr>
          <w:p>
            <w:pPr>
              <w:spacing w:after="0"/>
              <w:rPr>
                <w:sz w:val="16"/>
                <w:szCs w:val="16"/>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60" w:type="dxa"/>
            <w:vAlign w:val="bottom"/>
          </w:tcPr>
          <w:p>
            <w:pPr>
              <w:spacing w:after="0"/>
              <w:rPr>
                <w:sz w:val="16"/>
                <w:szCs w:val="16"/>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18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2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6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4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gridSpan w:val="2"/>
          </w:tcPr>
          <w:p>
            <w:pPr>
              <w:jc w:val="center"/>
              <w:ind w:left="187"/>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ind w:left="20"/>
              <w:spacing w:after="0" w:line="100" w:lineRule="exact"/>
              <w:rPr>
                <w:sz w:val="20"/>
                <w:szCs w:val="20"/>
                <w:color w:val="auto"/>
              </w:rPr>
            </w:pPr>
            <w:r>
              <w:rPr>
                <w:rFonts w:ascii="Arial" w:cs="Arial" w:eastAsia="Arial" w:hAnsi="Arial"/>
                <w:sz w:val="11"/>
                <w:szCs w:val="11"/>
                <w:b w:val="1"/>
                <w:bCs w:val="1"/>
                <w:color w:val="auto"/>
              </w:rPr>
              <w:t>Number of Shares</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6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66"/>
              <w:spacing w:after="0" w:line="100" w:lineRule="exact"/>
              <w:rPr>
                <w:sz w:val="20"/>
                <w:szCs w:val="20"/>
                <w:color w:val="auto"/>
              </w:rPr>
            </w:pPr>
            <w:r>
              <w:rPr>
                <w:rFonts w:ascii="Arial" w:cs="Arial" w:eastAsia="Arial" w:hAnsi="Arial"/>
                <w:sz w:val="11"/>
                <w:szCs w:val="11"/>
                <w:b w:val="1"/>
                <w:bCs w:val="1"/>
                <w:color w:val="auto"/>
              </w:rPr>
              <w:t>Number of Shares</w:t>
            </w: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gridSpan w:val="2"/>
          </w:tcPr>
          <w:p>
            <w:pPr>
              <w:ind w:left="20"/>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gridSpan w:val="2"/>
          </w:tcPr>
          <w:p>
            <w:pPr>
              <w:jc w:val="center"/>
              <w:ind w:left="187"/>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2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ind w:left="20"/>
              <w:spacing w:after="0" w:line="143" w:lineRule="exact"/>
              <w:rPr>
                <w:sz w:val="20"/>
                <w:szCs w:val="20"/>
                <w:color w:val="auto"/>
              </w:rPr>
            </w:pPr>
            <w:r>
              <w:rPr>
                <w:rFonts w:ascii="Arial" w:cs="Arial" w:eastAsia="Arial" w:hAnsi="Arial"/>
                <w:sz w:val="13"/>
                <w:szCs w:val="13"/>
                <w:b w:val="1"/>
                <w:bCs w:val="1"/>
                <w:color w:val="auto"/>
              </w:rPr>
              <w:t>or Other Units</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60" w:type="dxa"/>
            <w:vAlign w:val="bottom"/>
            <w:tcBorders>
              <w:right w:val="single" w:sz="8" w:color="auto"/>
            </w:tcBorders>
            <w:gridSpan w:val="2"/>
          </w:tcPr>
          <w:p>
            <w:pPr>
              <w:jc w:val="center"/>
              <w:ind w:left="187"/>
              <w:spacing w:after="0" w:line="144" w:lineRule="exact"/>
              <w:rPr>
                <w:sz w:val="20"/>
                <w:szCs w:val="20"/>
                <w:color w:val="auto"/>
              </w:rPr>
            </w:pPr>
            <w:r>
              <w:rPr>
                <w:rFonts w:ascii="Arial" w:cs="Arial" w:eastAsia="Arial" w:hAnsi="Arial"/>
                <w:sz w:val="13"/>
                <w:szCs w:val="13"/>
                <w:b w:val="1"/>
                <w:bCs w:val="1"/>
                <w:color w:val="auto"/>
                <w:w w:val="95"/>
              </w:rPr>
              <w:t>Maker</w:t>
            </w:r>
          </w:p>
        </w:tc>
        <w:tc>
          <w:tcPr>
            <w:tcW w:w="102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ind w:left="140"/>
              <w:spacing w:after="0" w:line="144" w:lineRule="exact"/>
              <w:rPr>
                <w:sz w:val="20"/>
                <w:szCs w:val="20"/>
                <w:color w:val="auto"/>
              </w:rPr>
            </w:pPr>
            <w:r>
              <w:rPr>
                <w:rFonts w:ascii="Arial" w:cs="Arial" w:eastAsia="Arial" w:hAnsi="Arial"/>
                <w:sz w:val="13"/>
                <w:szCs w:val="13"/>
                <w:b w:val="1"/>
                <w:bCs w:val="1"/>
                <w:color w:val="auto"/>
              </w:rPr>
              <w:t>To Be Sold</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spacing w:after="0" w:line="144" w:lineRule="exact"/>
              <w:rPr>
                <w:sz w:val="20"/>
                <w:szCs w:val="20"/>
                <w:color w:val="auto"/>
              </w:rPr>
            </w:pPr>
            <w:r>
              <w:rPr>
                <w:rFonts w:ascii="Arial" w:cs="Arial" w:eastAsia="Arial" w:hAnsi="Arial"/>
                <w:sz w:val="13"/>
                <w:szCs w:val="13"/>
                <w:i w:val="1"/>
                <w:iCs w:val="1"/>
                <w:color w:val="auto"/>
                <w:w w:val="89"/>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gridSpan w:val="2"/>
          </w:tcPr>
          <w:p>
            <w:pPr>
              <w:jc w:val="center"/>
              <w:ind w:left="187"/>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i w:val="1"/>
                <w:iCs w:val="1"/>
                <w:color w:val="auto"/>
                <w:w w:val="95"/>
              </w:rPr>
              <w:t>(See instr. 3(c))</w:t>
            </w:r>
          </w:p>
        </w:tc>
        <w:tc>
          <w:tcPr>
            <w:tcW w:w="8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ind w:left="140"/>
              <w:spacing w:after="0"/>
              <w:rPr>
                <w:sz w:val="20"/>
                <w:szCs w:val="20"/>
                <w:color w:val="auto"/>
              </w:rPr>
            </w:pPr>
            <w:r>
              <w:rPr>
                <w:rFonts w:ascii="Arial" w:cs="Arial" w:eastAsia="Arial" w:hAnsi="Arial"/>
                <w:sz w:val="13"/>
                <w:szCs w:val="13"/>
                <w:color w:val="auto"/>
                <w:w w:val="92"/>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UBS Financial Services</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109 N.Post Oak Lane-Suite</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11,180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vMerge w:val="restart"/>
          </w:tcPr>
          <w:p>
            <w:pPr>
              <w:jc w:val="right"/>
              <w:ind w:right="143"/>
              <w:spacing w:after="0"/>
              <w:rPr>
                <w:sz w:val="20"/>
                <w:szCs w:val="20"/>
                <w:color w:val="auto"/>
              </w:rPr>
            </w:pPr>
            <w:r>
              <w:rPr>
                <w:rFonts w:ascii="Arial" w:cs="Arial" w:eastAsia="Arial" w:hAnsi="Arial"/>
                <w:sz w:val="18"/>
                <w:szCs w:val="18"/>
                <w:color w:val="auto"/>
                <w:w w:val="89"/>
              </w:rPr>
              <w:t>$905,580.00</w:t>
            </w:r>
          </w:p>
        </w:tc>
        <w:tc>
          <w:tcPr>
            <w:tcW w:w="60" w:type="dxa"/>
            <w:vAlign w:val="bottom"/>
          </w:tcPr>
          <w:p>
            <w:pPr>
              <w:spacing w:after="0"/>
              <w:rPr>
                <w:sz w:val="18"/>
                <w:szCs w:val="18"/>
                <w:color w:val="auto"/>
              </w:rPr>
            </w:pPr>
          </w:p>
        </w:tc>
        <w:tc>
          <w:tcPr>
            <w:tcW w:w="122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w w:val="97"/>
              </w:rPr>
              <w:t>1,334,292,143</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vMerge w:val="restart"/>
          </w:tcPr>
          <w:p>
            <w:pPr>
              <w:jc w:val="right"/>
              <w:ind w:right="3"/>
              <w:spacing w:after="0"/>
              <w:rPr>
                <w:sz w:val="20"/>
                <w:szCs w:val="20"/>
                <w:color w:val="auto"/>
              </w:rPr>
            </w:pPr>
            <w:r>
              <w:rPr>
                <w:rFonts w:ascii="Arial" w:cs="Arial" w:eastAsia="Arial" w:hAnsi="Arial"/>
                <w:sz w:val="18"/>
                <w:szCs w:val="18"/>
                <w:color w:val="auto"/>
                <w:w w:val="92"/>
              </w:rPr>
              <w:t>2/21/2012</w:t>
            </w:r>
          </w:p>
        </w:tc>
        <w:tc>
          <w:tcPr>
            <w:tcW w:w="1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150</w:t>
            </w:r>
          </w:p>
        </w:tc>
        <w:tc>
          <w:tcPr>
            <w:tcW w:w="320" w:type="dxa"/>
            <w:vAlign w:val="bottom"/>
            <w:tcBorders>
              <w:right w:val="single" w:sz="8" w:color="auto"/>
            </w:tcBorders>
          </w:tcPr>
          <w:p>
            <w:pPr>
              <w:spacing w:after="0"/>
              <w:rPr>
                <w:sz w:val="18"/>
                <w:szCs w:val="18"/>
                <w:color w:val="auto"/>
              </w:rPr>
            </w:pP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Houston , Texas 77024</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3"/>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300" w:type="dxa"/>
            <w:vAlign w:val="bottom"/>
            <w:gridSpan w:val="15"/>
          </w:tcPr>
          <w:p>
            <w:pPr>
              <w:ind w:left="24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2"/>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42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4"/>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3"/>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6"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the 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7/24/2007</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11,180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7/24/2007</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84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4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3"/>
                <w:szCs w:val="13"/>
                <w:b w:val="1"/>
                <w:bCs w:val="1"/>
                <w:color w:val="auto"/>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StockCross Financial Services</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17151 Davenport St, Ste 117</w:t>
            </w:r>
          </w:p>
        </w:tc>
        <w:tc>
          <w:tcPr>
            <w:tcW w:w="2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Common Stock</w:t>
            </w:r>
          </w:p>
        </w:tc>
        <w:tc>
          <w:tcPr>
            <w:tcW w:w="1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2/21/2012</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12,424</w:t>
            </w:r>
          </w:p>
        </w:tc>
        <w:tc>
          <w:tcPr>
            <w:tcW w:w="162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$980,377.84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Omaha, NE 68118</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REMARKS:</w:t>
            </w:r>
          </w:p>
        </w:tc>
        <w:tc>
          <w:tcPr>
            <w:tcW w:w="2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2/21/2012</w:t>
            </w:r>
          </w:p>
        </w:tc>
        <w:tc>
          <w:tcPr>
            <w:tcW w:w="1120" w:type="dxa"/>
            <w:vAlign w:val="bottom"/>
          </w:tcPr>
          <w:p>
            <w:pPr>
              <w:spacing w:after="0"/>
              <w:rPr>
                <w:sz w:val="20"/>
                <w:szCs w:val="20"/>
                <w:color w:val="auto"/>
              </w:rPr>
            </w:pPr>
          </w:p>
        </w:tc>
        <w:tc>
          <w:tcPr>
            <w:tcW w:w="514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/s/Satish Pai</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ind w:left="2120"/>
              <w:spacing w:after="0"/>
              <w:rPr>
                <w:sz w:val="20"/>
                <w:szCs w:val="20"/>
                <w:color w:val="auto"/>
              </w:rPr>
            </w:pPr>
            <w:r>
              <w:rPr>
                <w:rFonts w:ascii="Arial" w:cs="Arial" w:eastAsia="Arial" w:hAnsi="Arial"/>
                <w:sz w:val="14"/>
                <w:szCs w:val="14"/>
                <w:color w:val="auto"/>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2019-12-09T07:30:11Z</dcterms:created>
  <dcterms:modified xsi:type="dcterms:W3CDTF">2019-12-09T07:30:11Z</dcterms:modified>
</cp:coreProperties>
</file>