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As filed with the Securities and Exchange Commission on August 26, 2013</w:t>
      </w:r>
    </w:p>
    <w:p>
      <w:pPr>
        <w:spacing w:after="0" w:line="21" w:lineRule="exact"/>
        <w:rPr>
          <w:sz w:val="24"/>
          <w:szCs w:val="24"/>
          <w:color w:val="auto"/>
        </w:rPr>
      </w:pPr>
    </w:p>
    <w:p>
      <w:pPr>
        <w:jc w:val="right"/>
        <w:ind w:right="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REGISTRATION STATEMENT</w:t>
      </w:r>
    </w:p>
    <w:p>
      <w:pPr>
        <w:jc w:val="center"/>
        <w:ind w:right="-3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left="780" w:right="1480"/>
        <w:spacing w:after="0" w:line="250" w:lineRule="auto"/>
        <w:rPr>
          <w:sz w:val="20"/>
          <w:szCs w:val="20"/>
          <w:color w:val="auto"/>
        </w:rPr>
      </w:pPr>
      <w:r>
        <w:rPr>
          <w:rFonts w:ascii="Arial" w:cs="Arial" w:eastAsia="Arial" w:hAnsi="Arial"/>
          <w:sz w:val="43"/>
          <w:szCs w:val="43"/>
          <w:b w:val="1"/>
          <w:bCs w:val="1"/>
          <w:color w:val="auto"/>
        </w:rPr>
        <w:t>SCHLUMBERGER N.V. (SCHLUMBERGER LIMITED) SCHLUMBERGER INVESTMENT SA</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left="2020"/>
        <w:spacing w:after="0"/>
        <w:tabs>
          <w:tab w:leader="none" w:pos="7560" w:val="left"/>
        </w:tabs>
        <w:rPr>
          <w:sz w:val="20"/>
          <w:szCs w:val="20"/>
          <w:color w:val="auto"/>
        </w:rPr>
      </w:pPr>
      <w:r>
        <w:rPr>
          <w:rFonts w:ascii="Arial" w:cs="Arial" w:eastAsia="Arial" w:hAnsi="Arial"/>
          <w:sz w:val="18"/>
          <w:szCs w:val="18"/>
          <w:b w:val="1"/>
          <w:bCs w:val="1"/>
          <w:color w:val="auto"/>
        </w:rPr>
        <w:t>Schlumberger Limited</w:t>
      </w:r>
      <w:r>
        <w:rPr>
          <w:sz w:val="20"/>
          <w:szCs w:val="20"/>
          <w:color w:val="auto"/>
        </w:rPr>
        <w:tab/>
      </w:r>
      <w:r>
        <w:rPr>
          <w:rFonts w:ascii="Arial" w:cs="Arial" w:eastAsia="Arial" w:hAnsi="Arial"/>
          <w:sz w:val="15"/>
          <w:szCs w:val="15"/>
          <w:b w:val="1"/>
          <w:bCs w:val="1"/>
          <w:color w:val="auto"/>
        </w:rPr>
        <w:t>Schlumberger Investment SA</w:t>
      </w:r>
    </w:p>
    <w:p>
      <w:pPr>
        <w:spacing w:after="0" w:line="21" w:lineRule="exact"/>
        <w:rPr>
          <w:sz w:val="24"/>
          <w:szCs w:val="24"/>
          <w:color w:val="auto"/>
        </w:rPr>
      </w:pPr>
    </w:p>
    <w:p>
      <w:pPr>
        <w:ind w:left="2540"/>
        <w:spacing w:after="0"/>
        <w:tabs>
          <w:tab w:leader="none" w:pos="8180" w:val="left"/>
        </w:tabs>
        <w:rPr>
          <w:sz w:val="20"/>
          <w:szCs w:val="20"/>
          <w:color w:val="auto"/>
        </w:rPr>
      </w:pPr>
      <w:r>
        <w:rPr>
          <w:rFonts w:ascii="Arial" w:cs="Arial" w:eastAsia="Arial" w:hAnsi="Arial"/>
          <w:sz w:val="18"/>
          <w:szCs w:val="18"/>
          <w:b w:val="1"/>
          <w:bCs w:val="1"/>
          <w:color w:val="auto"/>
        </w:rPr>
        <w:t>Curaçao</w:t>
      </w:r>
      <w:r>
        <w:rPr>
          <w:sz w:val="20"/>
          <w:szCs w:val="20"/>
          <w:color w:val="auto"/>
        </w:rPr>
        <w:tab/>
      </w:r>
      <w:r>
        <w:rPr>
          <w:rFonts w:ascii="Arial" w:cs="Arial" w:eastAsia="Arial" w:hAnsi="Arial"/>
          <w:sz w:val="18"/>
          <w:szCs w:val="18"/>
          <w:b w:val="1"/>
          <w:bCs w:val="1"/>
          <w:color w:val="auto"/>
        </w:rPr>
        <w:t>Luxembourg</w:t>
      </w:r>
    </w:p>
    <w:p>
      <w:pPr>
        <w:sectPr>
          <w:pgSz w:w="11900" w:h="16838" w:orient="portrait"/>
          <w:cols w:equalWidth="0" w:num="1">
            <w:col w:w="11060"/>
          </w:cols>
          <w:pgMar w:left="240" w:top="230" w:right="599" w:bottom="1440" w:gutter="0" w:footer="0" w:header="0"/>
        </w:sectPr>
      </w:pPr>
    </w:p>
    <w:p>
      <w:pPr>
        <w:spacing w:after="0" w:line="12"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25"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(State or other jurisdiction of</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incorporation or organization)</w:t>
      </w:r>
    </w:p>
    <w:p>
      <w:pPr>
        <w:spacing w:after="0" w:line="19" w:lineRule="exact"/>
        <w:rPr>
          <w:sz w:val="24"/>
          <w:szCs w:val="24"/>
          <w:color w:val="auto"/>
        </w:rPr>
      </w:pPr>
    </w:p>
    <w:p>
      <w:pPr>
        <w:sectPr>
          <w:pgSz w:w="11900" w:h="16838" w:orient="portrait"/>
          <w:cols w:equalWidth="0" w:num="2">
            <w:col w:w="7080" w:space="720"/>
            <w:col w:w="3260"/>
          </w:cols>
          <w:pgMar w:left="240" w:top="230" w:right="599" w:bottom="1440" w:gutter="0" w:footer="0" w:header="0"/>
          <w:type w:val="continuous"/>
        </w:sectPr>
      </w:pPr>
    </w:p>
    <w:tbl>
      <w:tblPr>
        <w:tblLayout w:type="fixed"/>
        <w:tblInd w:w="1840" w:type="dxa"/>
        <w:tblCellMar>
          <w:top w:w="0" w:type="dxa"/>
          <w:left w:w="0" w:type="dxa"/>
          <w:bottom w:w="0" w:type="dxa"/>
          <w:right w:w="0" w:type="dxa"/>
        </w:tblCellMar>
      </w:tblPr>
      <w:tr>
        <w:trPr>
          <w:trHeight w:val="207"/>
        </w:trPr>
        <w:tc>
          <w:tcPr>
            <w:tcW w:w="39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1389</w:t>
            </w:r>
          </w:p>
        </w:tc>
        <w:tc>
          <w:tcPr>
            <w:tcW w:w="4040" w:type="dxa"/>
            <w:vAlign w:val="bottom"/>
          </w:tcPr>
          <w:p>
            <w:pPr>
              <w:jc w:val="right"/>
              <w:ind w:right="840"/>
              <w:spacing w:after="0"/>
              <w:rPr>
                <w:sz w:val="20"/>
                <w:szCs w:val="20"/>
                <w:color w:val="auto"/>
              </w:rPr>
            </w:pPr>
            <w:r>
              <w:rPr>
                <w:rFonts w:ascii="Arial" w:cs="Arial" w:eastAsia="Arial" w:hAnsi="Arial"/>
                <w:sz w:val="18"/>
                <w:szCs w:val="18"/>
                <w:b w:val="1"/>
                <w:bCs w:val="1"/>
                <w:color w:val="auto"/>
              </w:rPr>
              <w:t>1389</w:t>
            </w:r>
          </w:p>
        </w:tc>
      </w:tr>
      <w:tr>
        <w:trPr>
          <w:trHeight w:val="149"/>
        </w:trPr>
        <w:tc>
          <w:tcPr>
            <w:tcW w:w="3900" w:type="dxa"/>
            <w:vAlign w:val="bottom"/>
          </w:tcPr>
          <w:p>
            <w:pPr>
              <w:jc w:val="center"/>
              <w:ind w:right="1777"/>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4040" w:type="dxa"/>
            <w:vAlign w:val="bottom"/>
          </w:tcPr>
          <w:p>
            <w:pPr>
              <w:jc w:val="center"/>
              <w:ind w:left="176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r>
      <w:tr>
        <w:trPr>
          <w:trHeight w:val="160"/>
        </w:trPr>
        <w:tc>
          <w:tcPr>
            <w:tcW w:w="3900" w:type="dxa"/>
            <w:vAlign w:val="bottom"/>
          </w:tcPr>
          <w:p>
            <w:pPr>
              <w:jc w:val="center"/>
              <w:ind w:right="1777"/>
              <w:spacing w:after="0"/>
              <w:rPr>
                <w:sz w:val="20"/>
                <w:szCs w:val="20"/>
                <w:color w:val="auto"/>
              </w:rPr>
            </w:pPr>
            <w:r>
              <w:rPr>
                <w:rFonts w:ascii="Arial" w:cs="Arial" w:eastAsia="Arial" w:hAnsi="Arial"/>
                <w:sz w:val="14"/>
                <w:szCs w:val="14"/>
                <w:b w:val="1"/>
                <w:bCs w:val="1"/>
                <w:color w:val="auto"/>
                <w:w w:val="87"/>
              </w:rPr>
              <w:t>Classification Code Number)</w:t>
            </w:r>
          </w:p>
        </w:tc>
        <w:tc>
          <w:tcPr>
            <w:tcW w:w="4040" w:type="dxa"/>
            <w:vAlign w:val="bottom"/>
          </w:tcPr>
          <w:p>
            <w:pPr>
              <w:jc w:val="center"/>
              <w:ind w:left="1760"/>
              <w:spacing w:after="0"/>
              <w:rPr>
                <w:sz w:val="20"/>
                <w:szCs w:val="20"/>
                <w:color w:val="auto"/>
              </w:rPr>
            </w:pPr>
            <w:r>
              <w:rPr>
                <w:rFonts w:ascii="Arial" w:cs="Arial" w:eastAsia="Arial" w:hAnsi="Arial"/>
                <w:sz w:val="14"/>
                <w:szCs w:val="14"/>
                <w:b w:val="1"/>
                <w:bCs w:val="1"/>
                <w:color w:val="auto"/>
                <w:w w:val="87"/>
              </w:rPr>
              <w:t>Classification Code Number)</w:t>
            </w:r>
          </w:p>
        </w:tc>
      </w:tr>
      <w:tr>
        <w:trPr>
          <w:trHeight w:val="218"/>
        </w:trPr>
        <w:tc>
          <w:tcPr>
            <w:tcW w:w="39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7"/>
              </w:rPr>
              <w:t>52-0684746</w:t>
            </w:r>
          </w:p>
        </w:tc>
        <w:tc>
          <w:tcPr>
            <w:tcW w:w="4040" w:type="dxa"/>
            <w:vAlign w:val="bottom"/>
          </w:tcPr>
          <w:p>
            <w:pPr>
              <w:jc w:val="right"/>
              <w:ind w:right="600"/>
              <w:spacing w:after="0"/>
              <w:rPr>
                <w:sz w:val="20"/>
                <w:szCs w:val="20"/>
                <w:color w:val="auto"/>
              </w:rPr>
            </w:pPr>
            <w:r>
              <w:rPr>
                <w:rFonts w:ascii="Arial" w:cs="Arial" w:eastAsia="Arial" w:hAnsi="Arial"/>
                <w:sz w:val="18"/>
                <w:szCs w:val="18"/>
                <w:b w:val="1"/>
                <w:bCs w:val="1"/>
                <w:color w:val="auto"/>
              </w:rPr>
              <w:t>00-0000000</w:t>
            </w:r>
          </w:p>
        </w:tc>
      </w:tr>
      <w:tr>
        <w:trPr>
          <w:trHeight w:val="149"/>
        </w:trPr>
        <w:tc>
          <w:tcPr>
            <w:tcW w:w="3900" w:type="dxa"/>
            <w:vAlign w:val="bottom"/>
          </w:tcPr>
          <w:p>
            <w:pPr>
              <w:jc w:val="center"/>
              <w:ind w:right="175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4040" w:type="dxa"/>
            <w:vAlign w:val="bottom"/>
          </w:tcPr>
          <w:p>
            <w:pPr>
              <w:jc w:val="center"/>
              <w:ind w:left="1760"/>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900" w:type="dxa"/>
            <w:vAlign w:val="bottom"/>
          </w:tcPr>
          <w:p>
            <w:pPr>
              <w:jc w:val="center"/>
              <w:ind w:right="1757"/>
              <w:spacing w:after="0"/>
              <w:rPr>
                <w:sz w:val="20"/>
                <w:szCs w:val="20"/>
                <w:color w:val="auto"/>
              </w:rPr>
            </w:pPr>
            <w:r>
              <w:rPr>
                <w:rFonts w:ascii="Arial" w:cs="Arial" w:eastAsia="Arial" w:hAnsi="Arial"/>
                <w:sz w:val="14"/>
                <w:szCs w:val="14"/>
                <w:b w:val="1"/>
                <w:bCs w:val="1"/>
                <w:color w:val="auto"/>
                <w:w w:val="90"/>
              </w:rPr>
              <w:t>Identification Number)</w:t>
            </w:r>
          </w:p>
        </w:tc>
        <w:tc>
          <w:tcPr>
            <w:tcW w:w="4040" w:type="dxa"/>
            <w:vAlign w:val="bottom"/>
          </w:tcPr>
          <w:p>
            <w:pPr>
              <w:jc w:val="center"/>
              <w:ind w:left="1740"/>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9"/>
              </w:rPr>
              <w:t>Schlumberger Limited</w:t>
            </w:r>
          </w:p>
        </w:tc>
        <w:tc>
          <w:tcPr>
            <w:tcW w:w="4040" w:type="dxa"/>
            <w:vAlign w:val="bottom"/>
          </w:tcPr>
          <w:p>
            <w:pPr>
              <w:jc w:val="center"/>
              <w:ind w:left="1760"/>
              <w:spacing w:after="0"/>
              <w:rPr>
                <w:sz w:val="20"/>
                <w:szCs w:val="20"/>
                <w:color w:val="auto"/>
              </w:rPr>
            </w:pPr>
            <w:r>
              <w:rPr>
                <w:rFonts w:ascii="Arial" w:cs="Arial" w:eastAsia="Arial" w:hAnsi="Arial"/>
                <w:sz w:val="18"/>
                <w:szCs w:val="18"/>
                <w:b w:val="1"/>
                <w:bCs w:val="1"/>
                <w:color w:val="auto"/>
                <w:w w:val="87"/>
              </w:rPr>
              <w:t>Schlumberger Investment SA</w:t>
            </w:r>
          </w:p>
        </w:tc>
      </w:tr>
      <w:tr>
        <w:trPr>
          <w:trHeight w:val="216"/>
        </w:trPr>
        <w:tc>
          <w:tcPr>
            <w:tcW w:w="39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42, rue Saint-Dominique</w:t>
            </w:r>
          </w:p>
        </w:tc>
        <w:tc>
          <w:tcPr>
            <w:tcW w:w="4040" w:type="dxa"/>
            <w:vAlign w:val="bottom"/>
          </w:tcPr>
          <w:p>
            <w:pPr>
              <w:jc w:val="center"/>
              <w:ind w:left="1760"/>
              <w:spacing w:after="0"/>
              <w:rPr>
                <w:sz w:val="20"/>
                <w:szCs w:val="20"/>
                <w:color w:val="auto"/>
              </w:rPr>
            </w:pPr>
            <w:r>
              <w:rPr>
                <w:rFonts w:ascii="Arial" w:cs="Arial" w:eastAsia="Arial" w:hAnsi="Arial"/>
                <w:sz w:val="18"/>
                <w:szCs w:val="18"/>
                <w:b w:val="1"/>
                <w:bCs w:val="1"/>
                <w:color w:val="auto"/>
                <w:w w:val="87"/>
              </w:rPr>
              <w:t>5 Avenue Gaston Diderich</w:t>
            </w:r>
          </w:p>
        </w:tc>
      </w:tr>
      <w:tr>
        <w:trPr>
          <w:trHeight w:val="216"/>
        </w:trPr>
        <w:tc>
          <w:tcPr>
            <w:tcW w:w="39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8"/>
              </w:rPr>
              <w:t>Paris, France 75007</w:t>
            </w:r>
          </w:p>
        </w:tc>
        <w:tc>
          <w:tcPr>
            <w:tcW w:w="4040" w:type="dxa"/>
            <w:vAlign w:val="bottom"/>
          </w:tcPr>
          <w:p>
            <w:pPr>
              <w:jc w:val="center"/>
              <w:ind w:left="1760"/>
              <w:spacing w:after="0"/>
              <w:rPr>
                <w:sz w:val="20"/>
                <w:szCs w:val="20"/>
                <w:color w:val="auto"/>
              </w:rPr>
            </w:pPr>
            <w:r>
              <w:rPr>
                <w:rFonts w:ascii="Arial" w:cs="Arial" w:eastAsia="Arial" w:hAnsi="Arial"/>
                <w:sz w:val="18"/>
                <w:szCs w:val="18"/>
                <w:b w:val="1"/>
                <w:bCs w:val="1"/>
                <w:color w:val="auto"/>
                <w:w w:val="88"/>
              </w:rPr>
              <w:t>Luxembourg</w:t>
            </w:r>
          </w:p>
        </w:tc>
      </w:tr>
      <w:tr>
        <w:trPr>
          <w:trHeight w:val="216"/>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8"/>
              </w:rPr>
              <w:t>33-1-4062-1000</w:t>
            </w:r>
          </w:p>
        </w:tc>
        <w:tc>
          <w:tcPr>
            <w:tcW w:w="4040" w:type="dxa"/>
            <w:vAlign w:val="bottom"/>
          </w:tcPr>
          <w:p>
            <w:pPr>
              <w:jc w:val="center"/>
              <w:ind w:left="1760"/>
              <w:spacing w:after="0"/>
              <w:rPr>
                <w:sz w:val="20"/>
                <w:szCs w:val="20"/>
                <w:color w:val="auto"/>
              </w:rPr>
            </w:pPr>
            <w:r>
              <w:rPr>
                <w:rFonts w:ascii="Arial" w:cs="Arial" w:eastAsia="Arial" w:hAnsi="Arial"/>
                <w:sz w:val="18"/>
                <w:szCs w:val="18"/>
                <w:b w:val="1"/>
                <w:bCs w:val="1"/>
                <w:color w:val="auto"/>
                <w:w w:val="91"/>
              </w:rPr>
              <w:t>L-1420</w:t>
            </w:r>
          </w:p>
        </w:tc>
      </w:tr>
      <w:tr>
        <w:trPr>
          <w:trHeight w:val="216"/>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8"/>
              </w:rPr>
              <w:t>5599 San Felipe, 17th Floor</w:t>
            </w:r>
          </w:p>
        </w:tc>
        <w:tc>
          <w:tcPr>
            <w:tcW w:w="4040" w:type="dxa"/>
            <w:vAlign w:val="bottom"/>
          </w:tcPr>
          <w:p>
            <w:pPr>
              <w:jc w:val="center"/>
              <w:ind w:left="1760"/>
              <w:spacing w:after="0"/>
              <w:rPr>
                <w:sz w:val="20"/>
                <w:szCs w:val="20"/>
                <w:color w:val="auto"/>
              </w:rPr>
            </w:pPr>
            <w:r>
              <w:rPr>
                <w:rFonts w:ascii="Arial" w:cs="Arial" w:eastAsia="Arial" w:hAnsi="Arial"/>
                <w:sz w:val="18"/>
                <w:szCs w:val="18"/>
                <w:b w:val="1"/>
                <w:bCs w:val="1"/>
                <w:color w:val="auto"/>
                <w:w w:val="88"/>
              </w:rPr>
              <w:t>Luxembourg</w:t>
            </w:r>
          </w:p>
        </w:tc>
      </w:tr>
      <w:tr>
        <w:trPr>
          <w:trHeight w:val="216"/>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5"/>
              </w:rPr>
              <w:t>Houston, Texas 77056</w:t>
            </w:r>
          </w:p>
        </w:tc>
        <w:tc>
          <w:tcPr>
            <w:tcW w:w="4040" w:type="dxa"/>
            <w:vAlign w:val="bottom"/>
          </w:tcPr>
          <w:p>
            <w:pPr>
              <w:spacing w:after="0"/>
              <w:rPr>
                <w:sz w:val="18"/>
                <w:szCs w:val="18"/>
                <w:color w:val="auto"/>
              </w:rPr>
            </w:pPr>
          </w:p>
        </w:tc>
      </w:tr>
      <w:tr>
        <w:trPr>
          <w:trHeight w:val="216"/>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9"/>
              </w:rPr>
              <w:t>(713) 375-3400</w:t>
            </w:r>
          </w:p>
        </w:tc>
        <w:tc>
          <w:tcPr>
            <w:tcW w:w="4040" w:type="dxa"/>
            <w:vAlign w:val="bottom"/>
          </w:tcPr>
          <w:p>
            <w:pPr>
              <w:spacing w:after="0"/>
              <w:rPr>
                <w:sz w:val="18"/>
                <w:szCs w:val="18"/>
                <w:color w:val="auto"/>
              </w:rPr>
            </w:pPr>
          </w:p>
        </w:tc>
      </w:tr>
      <w:tr>
        <w:trPr>
          <w:trHeight w:val="216"/>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90"/>
              </w:rPr>
              <w:t>Parkstraat 83, The Hague</w:t>
            </w:r>
          </w:p>
        </w:tc>
        <w:tc>
          <w:tcPr>
            <w:tcW w:w="4040" w:type="dxa"/>
            <w:vAlign w:val="bottom"/>
          </w:tcPr>
          <w:p>
            <w:pPr>
              <w:spacing w:after="0"/>
              <w:rPr>
                <w:sz w:val="18"/>
                <w:szCs w:val="18"/>
                <w:color w:val="auto"/>
              </w:rPr>
            </w:pPr>
          </w:p>
        </w:tc>
      </w:tr>
      <w:tr>
        <w:trPr>
          <w:trHeight w:val="216"/>
        </w:trPr>
        <w:tc>
          <w:tcPr>
            <w:tcW w:w="39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The Netherlands, 2514 JG</w:t>
            </w:r>
          </w:p>
        </w:tc>
        <w:tc>
          <w:tcPr>
            <w:tcW w:w="4040" w:type="dxa"/>
            <w:vAlign w:val="bottom"/>
          </w:tcPr>
          <w:p>
            <w:pPr>
              <w:spacing w:after="0"/>
              <w:rPr>
                <w:sz w:val="18"/>
                <w:szCs w:val="18"/>
                <w:color w:val="auto"/>
              </w:rPr>
            </w:pPr>
          </w:p>
        </w:tc>
      </w:tr>
      <w:tr>
        <w:trPr>
          <w:trHeight w:val="228"/>
        </w:trPr>
        <w:tc>
          <w:tcPr>
            <w:tcW w:w="3900" w:type="dxa"/>
            <w:vAlign w:val="bottom"/>
          </w:tcPr>
          <w:p>
            <w:pPr>
              <w:jc w:val="center"/>
              <w:ind w:right="1757"/>
              <w:spacing w:after="0"/>
              <w:rPr>
                <w:sz w:val="20"/>
                <w:szCs w:val="20"/>
                <w:color w:val="auto"/>
              </w:rPr>
            </w:pPr>
            <w:r>
              <w:rPr>
                <w:rFonts w:ascii="Arial" w:cs="Arial" w:eastAsia="Arial" w:hAnsi="Arial"/>
                <w:sz w:val="18"/>
                <w:szCs w:val="18"/>
                <w:b w:val="1"/>
                <w:bCs w:val="1"/>
                <w:color w:val="auto"/>
                <w:w w:val="88"/>
              </w:rPr>
              <w:t>31-70-310-5400</w:t>
            </w:r>
          </w:p>
        </w:tc>
        <w:tc>
          <w:tcPr>
            <w:tcW w:w="4040" w:type="dxa"/>
            <w:vAlign w:val="bottom"/>
          </w:tcPr>
          <w:p>
            <w:pPr>
              <w:spacing w:after="0"/>
              <w:rPr>
                <w:sz w:val="19"/>
                <w:szCs w:val="19"/>
                <w:color w:val="auto"/>
              </w:rPr>
            </w:pPr>
          </w:p>
        </w:tc>
      </w:tr>
    </w:tbl>
    <w:p>
      <w:pPr>
        <w:spacing w:after="0" w:line="3" w:lineRule="exact"/>
        <w:rPr>
          <w:sz w:val="24"/>
          <w:szCs w:val="24"/>
          <w:color w:val="auto"/>
        </w:rPr>
      </w:pPr>
    </w:p>
    <w:p>
      <w:pPr>
        <w:sectPr>
          <w:pgSz w:w="11900" w:h="16838" w:orient="portrait"/>
          <w:cols w:equalWidth="0" w:num="1">
            <w:col w:w="11060"/>
          </w:cols>
          <w:pgMar w:left="240" w:top="230" w:right="599" w:bottom="1440" w:gutter="0" w:footer="0" w:header="0"/>
          <w:type w:val="continuous"/>
        </w:sectPr>
      </w:pPr>
    </w:p>
    <w:p>
      <w:pPr>
        <w:jc w:val="center"/>
        <w:ind w:right="1020"/>
        <w:spacing w:after="0"/>
        <w:rPr>
          <w:sz w:val="20"/>
          <w:szCs w:val="20"/>
          <w:color w:val="auto"/>
        </w:rPr>
      </w:pPr>
      <w:r>
        <w:rPr>
          <w:rFonts w:ascii="Arial" w:cs="Arial" w:eastAsia="Arial" w:hAnsi="Arial"/>
          <w:sz w:val="14"/>
          <w:szCs w:val="14"/>
          <w:b w:val="1"/>
          <w:bCs w:val="1"/>
          <w:color w:val="auto"/>
        </w:rPr>
        <w:t>(Address, including zip code, and</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2"/>
          <w:szCs w:val="12"/>
          <w:b w:val="1"/>
          <w:bCs w:val="1"/>
          <w:color w:val="auto"/>
        </w:rPr>
        <w:t>telephone number, including area code,</w:t>
      </w:r>
    </w:p>
    <w:p>
      <w:pPr>
        <w:spacing w:after="0" w:line="11" w:lineRule="exact"/>
        <w:rPr>
          <w:sz w:val="24"/>
          <w:szCs w:val="24"/>
          <w:color w:val="auto"/>
        </w:rPr>
      </w:pPr>
    </w:p>
    <w:p>
      <w:pPr>
        <w:jc w:val="center"/>
        <w:ind w:right="1020"/>
        <w:spacing w:after="0"/>
        <w:rPr>
          <w:sz w:val="20"/>
          <w:szCs w:val="20"/>
          <w:color w:val="auto"/>
        </w:rPr>
      </w:pPr>
      <w:r>
        <w:rPr>
          <w:rFonts w:ascii="Arial" w:cs="Arial" w:eastAsia="Arial" w:hAnsi="Arial"/>
          <w:sz w:val="12"/>
          <w:szCs w:val="12"/>
          <w:b w:val="1"/>
          <w:bCs w:val="1"/>
          <w:color w:val="auto"/>
        </w:rPr>
        <w:t>of registrant’s principal executive offices)</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(Address, including zip code, and</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2"/>
          <w:szCs w:val="12"/>
          <w:b w:val="1"/>
          <w:bCs w:val="1"/>
          <w:color w:val="auto"/>
        </w:rPr>
        <w:t>telephone number, including area code,</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12"/>
          <w:szCs w:val="12"/>
          <w:b w:val="1"/>
          <w:bCs w:val="1"/>
          <w:color w:val="auto"/>
        </w:rPr>
        <w:t>of registrant’s principal executive offices)</w:t>
      </w:r>
    </w:p>
    <w:p>
      <w:pPr>
        <w:spacing w:after="0" w:line="200" w:lineRule="exact"/>
        <w:rPr>
          <w:sz w:val="24"/>
          <w:szCs w:val="24"/>
          <w:color w:val="auto"/>
        </w:rPr>
      </w:pPr>
    </w:p>
    <w:p>
      <w:pPr>
        <w:sectPr>
          <w:pgSz w:w="11900" w:h="16838" w:orient="portrait"/>
          <w:cols w:equalWidth="0" w:num="2">
            <w:col w:w="6760" w:space="720"/>
            <w:col w:w="3580"/>
          </w:cols>
          <w:pgMar w:left="240" w:top="230" w:right="599" w:bottom="1440" w:gutter="0" w:footer="0" w:header="0"/>
          <w:type w:val="continuous"/>
        </w:sectPr>
      </w:pPr>
    </w:p>
    <w:p>
      <w:pPr>
        <w:spacing w:after="0" w:line="11" w:lineRule="exact"/>
        <w:rPr>
          <w:sz w:val="24"/>
          <w:szCs w:val="24"/>
          <w:color w:val="auto"/>
        </w:rPr>
      </w:pPr>
    </w:p>
    <w:tbl>
      <w:tblPr>
        <w:tblLayout w:type="fixed"/>
        <w:tblInd w:w="1840" w:type="dxa"/>
        <w:tblCellMar>
          <w:top w:w="0" w:type="dxa"/>
          <w:left w:w="0" w:type="dxa"/>
          <w:bottom w:w="0" w:type="dxa"/>
          <w:right w:w="0" w:type="dxa"/>
        </w:tblCellMar>
      </w:tblPr>
      <w:tr>
        <w:trPr>
          <w:trHeight w:val="216"/>
        </w:trPr>
        <w:tc>
          <w:tcPr>
            <w:tcW w:w="3940" w:type="dxa"/>
            <w:vAlign w:val="bottom"/>
          </w:tcPr>
          <w:p>
            <w:pPr>
              <w:jc w:val="center"/>
              <w:ind w:right="1812"/>
              <w:spacing w:after="0"/>
              <w:rPr>
                <w:sz w:val="20"/>
                <w:szCs w:val="20"/>
                <w:color w:val="auto"/>
              </w:rPr>
            </w:pPr>
            <w:r>
              <w:rPr>
                <w:rFonts w:ascii="Arial" w:cs="Arial" w:eastAsia="Arial" w:hAnsi="Arial"/>
                <w:sz w:val="18"/>
                <w:szCs w:val="18"/>
                <w:b w:val="1"/>
                <w:bCs w:val="1"/>
                <w:color w:val="auto"/>
                <w:w w:val="88"/>
              </w:rPr>
              <w:t>Saul R. Laureles</w:t>
            </w:r>
          </w:p>
        </w:tc>
        <w:tc>
          <w:tcPr>
            <w:tcW w:w="3920" w:type="dxa"/>
            <w:vAlign w:val="bottom"/>
          </w:tcPr>
          <w:p>
            <w:pPr>
              <w:jc w:val="center"/>
              <w:ind w:left="1792"/>
              <w:spacing w:after="0"/>
              <w:rPr>
                <w:sz w:val="20"/>
                <w:szCs w:val="20"/>
                <w:color w:val="auto"/>
              </w:rPr>
            </w:pPr>
            <w:r>
              <w:rPr>
                <w:rFonts w:ascii="Arial" w:cs="Arial" w:eastAsia="Arial" w:hAnsi="Arial"/>
                <w:sz w:val="18"/>
                <w:szCs w:val="18"/>
                <w:b w:val="1"/>
                <w:bCs w:val="1"/>
                <w:i w:val="1"/>
                <w:iCs w:val="1"/>
                <w:color w:val="auto"/>
                <w:w w:val="82"/>
              </w:rPr>
              <w:t>Copy to:</w:t>
            </w:r>
          </w:p>
        </w:tc>
      </w:tr>
      <w:tr>
        <w:trPr>
          <w:trHeight w:val="216"/>
        </w:trPr>
        <w:tc>
          <w:tcPr>
            <w:tcW w:w="3940" w:type="dxa"/>
            <w:vAlign w:val="bottom"/>
          </w:tcPr>
          <w:p>
            <w:pPr>
              <w:jc w:val="center"/>
              <w:ind w:right="1812"/>
              <w:spacing w:after="0"/>
              <w:rPr>
                <w:sz w:val="20"/>
                <w:szCs w:val="20"/>
                <w:color w:val="auto"/>
              </w:rPr>
            </w:pPr>
            <w:r>
              <w:rPr>
                <w:rFonts w:ascii="Arial" w:cs="Arial" w:eastAsia="Arial" w:hAnsi="Arial"/>
                <w:sz w:val="18"/>
                <w:szCs w:val="18"/>
                <w:b w:val="1"/>
                <w:bCs w:val="1"/>
                <w:color w:val="auto"/>
                <w:w w:val="87"/>
              </w:rPr>
              <w:t>Deputy General Counsel,</w:t>
            </w:r>
          </w:p>
        </w:tc>
        <w:tc>
          <w:tcPr>
            <w:tcW w:w="3920" w:type="dxa"/>
            <w:vAlign w:val="bottom"/>
          </w:tcPr>
          <w:p>
            <w:pPr>
              <w:jc w:val="center"/>
              <w:ind w:left="1792"/>
              <w:spacing w:after="0"/>
              <w:rPr>
                <w:sz w:val="20"/>
                <w:szCs w:val="20"/>
                <w:color w:val="auto"/>
              </w:rPr>
            </w:pPr>
            <w:r>
              <w:rPr>
                <w:rFonts w:ascii="Arial" w:cs="Arial" w:eastAsia="Arial" w:hAnsi="Arial"/>
                <w:sz w:val="18"/>
                <w:szCs w:val="18"/>
                <w:b w:val="1"/>
                <w:bCs w:val="1"/>
                <w:color w:val="auto"/>
                <w:w w:val="93"/>
              </w:rPr>
              <w:t>J. David Kirkland</w:t>
            </w:r>
          </w:p>
        </w:tc>
      </w:tr>
      <w:tr>
        <w:trPr>
          <w:trHeight w:val="216"/>
        </w:trPr>
        <w:tc>
          <w:tcPr>
            <w:tcW w:w="3940" w:type="dxa"/>
            <w:vAlign w:val="bottom"/>
          </w:tcPr>
          <w:p>
            <w:pPr>
              <w:jc w:val="center"/>
              <w:ind w:right="1812"/>
              <w:spacing w:after="0"/>
              <w:rPr>
                <w:sz w:val="20"/>
                <w:szCs w:val="20"/>
                <w:color w:val="auto"/>
              </w:rPr>
            </w:pPr>
            <w:r>
              <w:rPr>
                <w:rFonts w:ascii="Arial" w:cs="Arial" w:eastAsia="Arial" w:hAnsi="Arial"/>
                <w:sz w:val="18"/>
                <w:szCs w:val="18"/>
                <w:b w:val="1"/>
                <w:bCs w:val="1"/>
                <w:color w:val="auto"/>
                <w:w w:val="86"/>
              </w:rPr>
              <w:t>Governance and Securities</w:t>
            </w:r>
          </w:p>
        </w:tc>
        <w:tc>
          <w:tcPr>
            <w:tcW w:w="3920" w:type="dxa"/>
            <w:vAlign w:val="bottom"/>
          </w:tcPr>
          <w:p>
            <w:pPr>
              <w:jc w:val="center"/>
              <w:ind w:left="1792"/>
              <w:spacing w:after="0"/>
              <w:rPr>
                <w:sz w:val="20"/>
                <w:szCs w:val="20"/>
                <w:color w:val="auto"/>
              </w:rPr>
            </w:pPr>
            <w:r>
              <w:rPr>
                <w:rFonts w:ascii="Arial" w:cs="Arial" w:eastAsia="Arial" w:hAnsi="Arial"/>
                <w:sz w:val="18"/>
                <w:szCs w:val="18"/>
                <w:b w:val="1"/>
                <w:bCs w:val="1"/>
                <w:color w:val="auto"/>
                <w:w w:val="91"/>
              </w:rPr>
              <w:t>M. Breen Haire</w:t>
            </w:r>
          </w:p>
        </w:tc>
      </w:tr>
      <w:tr>
        <w:trPr>
          <w:trHeight w:val="216"/>
        </w:trPr>
        <w:tc>
          <w:tcPr>
            <w:tcW w:w="394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Schlumberger Limited</w:t>
            </w:r>
          </w:p>
        </w:tc>
        <w:tc>
          <w:tcPr>
            <w:tcW w:w="3920" w:type="dxa"/>
            <w:vAlign w:val="bottom"/>
          </w:tcPr>
          <w:p>
            <w:pPr>
              <w:jc w:val="center"/>
              <w:ind w:left="1792"/>
              <w:spacing w:after="0"/>
              <w:rPr>
                <w:sz w:val="20"/>
                <w:szCs w:val="20"/>
                <w:color w:val="auto"/>
              </w:rPr>
            </w:pPr>
            <w:r>
              <w:rPr>
                <w:rFonts w:ascii="Arial" w:cs="Arial" w:eastAsia="Arial" w:hAnsi="Arial"/>
                <w:sz w:val="18"/>
                <w:szCs w:val="18"/>
                <w:b w:val="1"/>
                <w:bCs w:val="1"/>
                <w:color w:val="auto"/>
                <w:w w:val="90"/>
              </w:rPr>
              <w:t>Baker Botts L.L.P.</w:t>
            </w:r>
          </w:p>
        </w:tc>
      </w:tr>
      <w:tr>
        <w:trPr>
          <w:trHeight w:val="216"/>
        </w:trPr>
        <w:tc>
          <w:tcPr>
            <w:tcW w:w="394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5599 San Felipe, 17th Floor</w:t>
            </w:r>
          </w:p>
        </w:tc>
        <w:tc>
          <w:tcPr>
            <w:tcW w:w="392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910 Louisiana Street</w:t>
            </w:r>
          </w:p>
        </w:tc>
      </w:tr>
      <w:tr>
        <w:trPr>
          <w:trHeight w:val="216"/>
        </w:trPr>
        <w:tc>
          <w:tcPr>
            <w:tcW w:w="3940" w:type="dxa"/>
            <w:vAlign w:val="bottom"/>
          </w:tcPr>
          <w:p>
            <w:pPr>
              <w:jc w:val="center"/>
              <w:ind w:right="1792"/>
              <w:spacing w:after="0"/>
              <w:rPr>
                <w:sz w:val="20"/>
                <w:szCs w:val="20"/>
                <w:color w:val="auto"/>
              </w:rPr>
            </w:pPr>
            <w:r>
              <w:rPr>
                <w:rFonts w:ascii="Arial" w:cs="Arial" w:eastAsia="Arial" w:hAnsi="Arial"/>
                <w:sz w:val="18"/>
                <w:szCs w:val="18"/>
                <w:b w:val="1"/>
                <w:bCs w:val="1"/>
                <w:color w:val="auto"/>
                <w:w w:val="85"/>
              </w:rPr>
              <w:t>Houston, Texas 77056</w:t>
            </w:r>
          </w:p>
        </w:tc>
        <w:tc>
          <w:tcPr>
            <w:tcW w:w="392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Houston, Texas 77002-4995</w:t>
            </w:r>
          </w:p>
        </w:tc>
      </w:tr>
      <w:tr>
        <w:trPr>
          <w:trHeight w:val="228"/>
        </w:trPr>
        <w:tc>
          <w:tcPr>
            <w:tcW w:w="394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(713) 375-3400</w:t>
            </w:r>
          </w:p>
        </w:tc>
        <w:tc>
          <w:tcPr>
            <w:tcW w:w="3920" w:type="dxa"/>
            <w:vAlign w:val="bottom"/>
          </w:tcPr>
          <w:p>
            <w:pPr>
              <w:jc w:val="center"/>
              <w:ind w:left="1772"/>
              <w:spacing w:after="0"/>
              <w:rPr>
                <w:sz w:val="20"/>
                <w:szCs w:val="20"/>
                <w:color w:val="auto"/>
              </w:rPr>
            </w:pPr>
            <w:r>
              <w:rPr>
                <w:rFonts w:ascii="Arial" w:cs="Arial" w:eastAsia="Arial" w:hAnsi="Arial"/>
                <w:sz w:val="18"/>
                <w:szCs w:val="18"/>
                <w:b w:val="1"/>
                <w:bCs w:val="1"/>
                <w:color w:val="auto"/>
                <w:w w:val="89"/>
              </w:rPr>
              <w:t>(713) 229-1234</w:t>
            </w:r>
          </w:p>
        </w:tc>
      </w:tr>
    </w:tbl>
    <w:p>
      <w:pPr>
        <w:spacing w:after="0" w:line="3" w:lineRule="exact"/>
        <w:rPr>
          <w:sz w:val="24"/>
          <w:szCs w:val="24"/>
          <w:color w:val="auto"/>
        </w:rPr>
      </w:pPr>
    </w:p>
    <w:p>
      <w:pPr>
        <w:ind w:left="1420"/>
        <w:spacing w:after="0"/>
        <w:rPr>
          <w:sz w:val="20"/>
          <w:szCs w:val="20"/>
          <w:color w:val="auto"/>
        </w:rPr>
      </w:pPr>
      <w:r>
        <w:rPr>
          <w:rFonts w:ascii="Arial" w:cs="Arial" w:eastAsia="Arial" w:hAnsi="Arial"/>
          <w:sz w:val="14"/>
          <w:szCs w:val="14"/>
          <w:b w:val="1"/>
          <w:bCs w:val="1"/>
          <w:color w:val="auto"/>
        </w:rPr>
        <w:t>(Name, address, including zip code, and telephone</w:t>
      </w:r>
    </w:p>
    <w:p>
      <w:pPr>
        <w:spacing w:after="0" w:line="1"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as determined by the Registrant.</w:t>
      </w:r>
    </w:p>
    <w:p>
      <w:pPr>
        <w:sectPr>
          <w:pgSz w:w="11900" w:h="16838" w:orient="portrait"/>
          <w:cols w:equalWidth="0" w:num="1">
            <w:col w:w="11060"/>
          </w:cols>
          <w:pgMar w:left="240" w:top="230" w:right="5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0"/>
          <w:szCs w:val="20"/>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0"/>
          <w:szCs w:val="20"/>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0"/>
          <w:szCs w:val="20"/>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384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40" w:type="dxa"/>
            <w:vAlign w:val="bottom"/>
          </w:tcPr>
          <w:p>
            <w:pPr>
              <w:ind w:left="560"/>
              <w:spacing w:after="0"/>
              <w:rPr>
                <w:sz w:val="20"/>
                <w:szCs w:val="20"/>
                <w:color w:val="auto"/>
              </w:rPr>
            </w:pPr>
            <w:r>
              <w:rPr>
                <w:rFonts w:ascii="Arial" w:cs="Arial" w:eastAsia="Arial" w:hAnsi="Arial"/>
                <w:sz w:val="18"/>
                <w:szCs w:val="18"/>
                <w:color w:val="auto"/>
                <w:w w:val="96"/>
              </w:rPr>
              <w:t>Accelerated filer</w:t>
            </w:r>
          </w:p>
        </w:tc>
        <w:tc>
          <w:tcPr>
            <w:tcW w:w="1480" w:type="dxa"/>
            <w:vAlign w:val="bottom"/>
          </w:tcPr>
          <w:p>
            <w:pPr>
              <w:spacing w:after="0"/>
              <w:rPr>
                <w:sz w:val="23"/>
                <w:szCs w:val="23"/>
                <w:color w:val="auto"/>
              </w:rPr>
            </w:pP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3840" w:type="dxa"/>
            <w:vAlign w:val="bottom"/>
            <w:gridSpan w:val="2"/>
          </w:tcPr>
          <w:p>
            <w:pPr>
              <w:ind w:left="16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(Do not check if smaller reporting company)</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gridSpan w:val="2"/>
          </w:tcPr>
          <w:p>
            <w:pPr>
              <w:ind w:left="560"/>
              <w:spacing w:after="0"/>
              <w:rPr>
                <w:sz w:val="20"/>
                <w:szCs w:val="20"/>
                <w:color w:val="auto"/>
              </w:rPr>
            </w:pPr>
            <w:r>
              <w:rPr>
                <w:rFonts w:ascii="Arial" w:cs="Arial" w:eastAsia="Arial" w:hAnsi="Arial"/>
                <w:sz w:val="18"/>
                <w:szCs w:val="18"/>
                <w:color w:val="auto"/>
              </w:rPr>
              <w:t>Smaller reporting company</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60" w:type="dxa"/>
            <w:vAlign w:val="bottom"/>
            <w:gridSpan w:val="4"/>
          </w:tcPr>
          <w:p>
            <w:pPr>
              <w:ind w:left="1880"/>
              <w:spacing w:after="0"/>
              <w:rPr>
                <w:sz w:val="20"/>
                <w:szCs w:val="20"/>
                <w:color w:val="auto"/>
              </w:rPr>
            </w:pPr>
            <w:r>
              <w:rPr>
                <w:rFonts w:ascii="Arial" w:cs="Arial" w:eastAsia="Arial" w:hAnsi="Arial"/>
                <w:sz w:val="18"/>
                <w:szCs w:val="18"/>
                <w:b w:val="1"/>
                <w:bCs w:val="1"/>
                <w:color w:val="auto"/>
              </w:rPr>
              <w:t>CALCULATION OF REGISTRATION FEE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gridSpan w:val="2"/>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gridSpan w:val="2"/>
          </w:tcPr>
          <w:p>
            <w:pPr>
              <w:jc w:val="center"/>
              <w:ind w:left="5"/>
              <w:spacing w:after="0" w:line="117" w:lineRule="exact"/>
              <w:rPr>
                <w:sz w:val="20"/>
                <w:szCs w:val="20"/>
                <w:color w:val="auto"/>
              </w:rPr>
            </w:pPr>
            <w:r>
              <w:rPr>
                <w:rFonts w:ascii="Arial" w:cs="Arial" w:eastAsia="Arial" w:hAnsi="Arial"/>
                <w:sz w:val="12"/>
                <w:szCs w:val="12"/>
                <w:b w:val="1"/>
                <w:bCs w:val="1"/>
                <w:color w:val="auto"/>
              </w:rPr>
              <w:t>Amount</w:t>
            </w:r>
          </w:p>
        </w:tc>
        <w:tc>
          <w:tcPr>
            <w:tcW w:w="1840" w:type="dxa"/>
            <w:vAlign w:val="bottom"/>
            <w:tcBorders>
              <w:right w:val="single" w:sz="8" w:color="auto"/>
            </w:tcBorders>
          </w:tcPr>
          <w:p>
            <w:pPr>
              <w:jc w:val="center"/>
              <w:ind w:left="2"/>
              <w:spacing w:after="0" w:line="117" w:lineRule="exact"/>
              <w:rPr>
                <w:sz w:val="20"/>
                <w:szCs w:val="20"/>
                <w:color w:val="auto"/>
              </w:rPr>
            </w:pPr>
            <w:r>
              <w:rPr>
                <w:rFonts w:ascii="Arial" w:cs="Arial" w:eastAsia="Arial" w:hAnsi="Arial"/>
                <w:sz w:val="12"/>
                <w:szCs w:val="12"/>
                <w:b w:val="1"/>
                <w:bCs w:val="1"/>
                <w:color w:val="auto"/>
                <w:w w:val="93"/>
              </w:rPr>
              <w:t>Proposed</w:t>
            </w: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840" w:type="dxa"/>
            <w:vAlign w:val="bottom"/>
            <w:tcBorders>
              <w:right w:val="single" w:sz="8" w:color="auto"/>
            </w:tcBorders>
            <w:gridSpan w:val="2"/>
          </w:tcPr>
          <w:p>
            <w:pPr>
              <w:jc w:val="center"/>
              <w:ind w:right="2160"/>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820" w:type="dxa"/>
            <w:vAlign w:val="bottom"/>
            <w:tcBorders>
              <w:right w:val="single" w:sz="8" w:color="auto"/>
            </w:tcBorders>
            <w:gridSpan w:val="2"/>
          </w:tcPr>
          <w:p>
            <w:pPr>
              <w:jc w:val="center"/>
              <w:ind w:left="5"/>
              <w:spacing w:after="0" w:line="149" w:lineRule="exact"/>
              <w:rPr>
                <w:sz w:val="20"/>
                <w:szCs w:val="20"/>
                <w:color w:val="auto"/>
              </w:rPr>
            </w:pPr>
            <w:r>
              <w:rPr>
                <w:rFonts w:ascii="Arial" w:cs="Arial" w:eastAsia="Arial" w:hAnsi="Arial"/>
                <w:sz w:val="14"/>
                <w:szCs w:val="14"/>
                <w:b w:val="1"/>
                <w:bCs w:val="1"/>
                <w:color w:val="auto"/>
                <w:w w:val="89"/>
              </w:rPr>
              <w:t>to be</w:t>
            </w:r>
          </w:p>
        </w:tc>
        <w:tc>
          <w:tcPr>
            <w:tcW w:w="184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2"/>
              </w:rPr>
              <w:t>Maximum</w:t>
            </w:r>
          </w:p>
        </w:tc>
        <w:tc>
          <w:tcPr>
            <w:tcW w:w="148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88"/>
              </w:rPr>
              <w:t>Amount of</w:t>
            </w:r>
          </w:p>
        </w:tc>
        <w:tc>
          <w:tcPr>
            <w:tcW w:w="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3840" w:type="dxa"/>
            <w:vAlign w:val="bottom"/>
            <w:tcBorders>
              <w:bottom w:val="single" w:sz="8" w:color="auto"/>
              <w:right w:val="single" w:sz="8" w:color="auto"/>
            </w:tcBorders>
            <w:gridSpan w:val="2"/>
          </w:tcPr>
          <w:p>
            <w:pPr>
              <w:jc w:val="center"/>
              <w:ind w:right="2160"/>
              <w:spacing w:after="0"/>
              <w:rPr>
                <w:sz w:val="20"/>
                <w:szCs w:val="20"/>
                <w:color w:val="auto"/>
              </w:rPr>
            </w:pPr>
            <w:r>
              <w:rPr>
                <w:rFonts w:ascii="Arial" w:cs="Arial" w:eastAsia="Arial" w:hAnsi="Arial"/>
                <w:sz w:val="14"/>
                <w:szCs w:val="14"/>
                <w:b w:val="1"/>
                <w:bCs w:val="1"/>
                <w:color w:val="auto"/>
                <w:w w:val="84"/>
              </w:rPr>
              <w:t>Securities to be Registered</w:t>
            </w:r>
          </w:p>
        </w:tc>
        <w:tc>
          <w:tcPr>
            <w:tcW w:w="1820" w:type="dxa"/>
            <w:vAlign w:val="bottom"/>
            <w:tcBorders>
              <w:bottom w:val="single" w:sz="8" w:color="auto"/>
              <w:right w:val="single" w:sz="8" w:color="auto"/>
            </w:tcBorders>
            <w:gridSpan w:val="2"/>
          </w:tcPr>
          <w:p>
            <w:pPr>
              <w:jc w:val="center"/>
              <w:ind w:left="5"/>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Offering Price</w:t>
            </w:r>
          </w:p>
        </w:tc>
        <w:tc>
          <w:tcPr>
            <w:tcW w:w="148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85"/>
              </w:rPr>
              <w:t>Registration Fee</w:t>
            </w:r>
          </w:p>
        </w:tc>
        <w:tc>
          <w:tcPr>
            <w:tcW w:w="30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Senior Debt Securities of Schlumberger Investment SA</w:t>
            </w:r>
          </w:p>
        </w:tc>
        <w:tc>
          <w:tcPr>
            <w:tcW w:w="1820" w:type="dxa"/>
            <w:vAlign w:val="bottom"/>
            <w:tcBorders>
              <w:bottom w:val="single" w:sz="8" w:color="auto"/>
              <w:right w:val="single" w:sz="8" w:color="auto"/>
            </w:tcBorders>
            <w:gridSpan w:val="2"/>
          </w:tcPr>
          <w:p>
            <w:pPr>
              <w:jc w:val="center"/>
              <w:ind w:left="5"/>
              <w:spacing w:after="0"/>
              <w:rPr>
                <w:sz w:val="20"/>
                <w:szCs w:val="20"/>
                <w:color w:val="auto"/>
              </w:rPr>
            </w:pPr>
            <w:r>
              <w:rPr>
                <w:rFonts w:ascii="Arial" w:cs="Arial" w:eastAsia="Arial" w:hAnsi="Arial"/>
                <w:sz w:val="18"/>
                <w:szCs w:val="18"/>
                <w:color w:val="auto"/>
                <w:w w:val="99"/>
              </w:rPr>
              <w:t>(1)</w:t>
            </w:r>
          </w:p>
        </w:tc>
        <w:tc>
          <w:tcPr>
            <w:tcW w:w="184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(1)</w:t>
            </w:r>
          </w:p>
        </w:tc>
        <w:tc>
          <w:tcPr>
            <w:tcW w:w="1480" w:type="dxa"/>
            <w:vAlign w:val="bottom"/>
            <w:tcBorders>
              <w:bottom w:val="single" w:sz="8" w:color="auto"/>
            </w:tcBorders>
          </w:tcPr>
          <w:p>
            <w:pPr>
              <w:jc w:val="center"/>
              <w:ind w:left="302"/>
              <w:spacing w:after="0"/>
              <w:rPr>
                <w:sz w:val="20"/>
                <w:szCs w:val="20"/>
                <w:color w:val="auto"/>
              </w:rPr>
            </w:pPr>
            <w:r>
              <w:rPr>
                <w:rFonts w:ascii="Arial" w:cs="Arial" w:eastAsia="Arial" w:hAnsi="Arial"/>
                <w:sz w:val="18"/>
                <w:szCs w:val="18"/>
                <w:color w:val="auto"/>
                <w:w w:val="99"/>
              </w:rPr>
              <w:t>(2)</w:t>
            </w:r>
          </w:p>
        </w:tc>
        <w:tc>
          <w:tcPr>
            <w:tcW w:w="300" w:type="dxa"/>
            <w:vAlign w:val="bottom"/>
            <w:tcBorders>
              <w:bottom w:val="single" w:sz="8" w:color="auto"/>
            </w:tcBorders>
          </w:tcPr>
          <w:p>
            <w:pPr>
              <w:spacing w:after="0"/>
              <w:rPr>
                <w:sz w:val="18"/>
                <w:szCs w:val="18"/>
                <w:color w:val="auto"/>
              </w:rPr>
            </w:pPr>
          </w:p>
        </w:tc>
      </w:tr>
      <w:tr>
        <w:trPr>
          <w:trHeight w:val="201"/>
        </w:trPr>
        <w:tc>
          <w:tcPr>
            <w:tcW w:w="598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Guarantees of Senior Debt Securities of Schlumberger Investment SA by</w:t>
            </w:r>
          </w:p>
        </w:tc>
        <w:tc>
          <w:tcPr>
            <w:tcW w:w="9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Schlumberger Limited (3)</w:t>
            </w:r>
          </w:p>
        </w:tc>
        <w:tc>
          <w:tcPr>
            <w:tcW w:w="238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gridSpan w:val="2"/>
          </w:tcPr>
          <w:p>
            <w:pPr>
              <w:jc w:val="center"/>
              <w:ind w:left="5"/>
              <w:spacing w:after="0"/>
              <w:rPr>
                <w:sz w:val="20"/>
                <w:szCs w:val="20"/>
                <w:color w:val="auto"/>
              </w:rPr>
            </w:pPr>
            <w:r>
              <w:rPr>
                <w:rFonts w:ascii="Arial" w:cs="Arial" w:eastAsia="Arial" w:hAnsi="Arial"/>
                <w:sz w:val="18"/>
                <w:szCs w:val="18"/>
                <w:color w:val="auto"/>
                <w:w w:val="99"/>
              </w:rPr>
              <w:t>(1)</w:t>
            </w:r>
          </w:p>
        </w:tc>
        <w:tc>
          <w:tcPr>
            <w:tcW w:w="184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(1)</w:t>
            </w:r>
          </w:p>
        </w:tc>
        <w:tc>
          <w:tcPr>
            <w:tcW w:w="1480" w:type="dxa"/>
            <w:vAlign w:val="bottom"/>
            <w:tcBorders>
              <w:bottom w:val="single" w:sz="8" w:color="auto"/>
            </w:tcBorders>
          </w:tcPr>
          <w:p>
            <w:pPr>
              <w:jc w:val="center"/>
              <w:ind w:left="302"/>
              <w:spacing w:after="0"/>
              <w:rPr>
                <w:sz w:val="20"/>
                <w:szCs w:val="20"/>
                <w:color w:val="auto"/>
              </w:rPr>
            </w:pPr>
            <w:r>
              <w:rPr>
                <w:rFonts w:ascii="Arial" w:cs="Arial" w:eastAsia="Arial" w:hAnsi="Arial"/>
                <w:sz w:val="18"/>
                <w:szCs w:val="18"/>
                <w:color w:val="auto"/>
                <w:w w:val="99"/>
              </w:rPr>
              <w:t>(2)</w:t>
            </w:r>
          </w:p>
        </w:tc>
        <w:tc>
          <w:tcPr>
            <w:tcW w:w="30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18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General Instructions II.E of Form S-3. An indeterminate amount of securities of each identified class is being registered as may from time to time be issued at indeterminate prices.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of the registration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is payable with respect to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136334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Investment SA</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Senior Debt Securities</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Fully and Unconditionally Guaranteed by</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07"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Investing in the securities involves risks. </w:t>
      </w:r>
      <w:r>
        <w:rPr>
          <w:rFonts w:ascii="Arial" w:cs="Arial" w:eastAsia="Arial" w:hAnsi="Arial"/>
          <w:sz w:val="18"/>
          <w:szCs w:val="18"/>
          <w:color w:val="auto"/>
        </w:rPr>
        <w:t>You should consider carefully the risk factors identified in Part I, Item 1A “Risk Factors” of our most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August 26, 2013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80" w:type="dxa"/>
            <w:vAlign w:val="bottom"/>
            <w:gridSpan w:val="8"/>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19"/>
                <w:szCs w:val="19"/>
                <w:color w:val="auto"/>
              </w:rPr>
            </w:pPr>
          </w:p>
        </w:tc>
      </w:tr>
      <w:tr>
        <w:trPr>
          <w:trHeight w:val="421"/>
        </w:trPr>
        <w:tc>
          <w:tcPr>
            <w:tcW w:w="1540" w:type="dxa"/>
            <w:vAlign w:val="bottom"/>
            <w:gridSpan w:val="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About this Prospectus</w:t>
              </w:r>
            </w:hyperlink>
          </w:p>
        </w:tc>
        <w:tc>
          <w:tcPr>
            <w:tcW w:w="2860" w:type="dxa"/>
            <w:vAlign w:val="bottom"/>
            <w:gridSpan w:val="3"/>
          </w:tcPr>
          <w:p>
            <w:pPr>
              <w:spacing w:after="0"/>
              <w:rPr>
                <w:sz w:val="24"/>
                <w:szCs w:val="24"/>
                <w:color w:val="auto"/>
              </w:rPr>
            </w:pPr>
          </w:p>
        </w:tc>
        <w:tc>
          <w:tcPr>
            <w:tcW w:w="140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388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About the Guarantor</w:t>
              </w:r>
            </w:hyperlink>
          </w:p>
        </w:tc>
        <w:tc>
          <w:tcPr>
            <w:tcW w:w="2860" w:type="dxa"/>
            <w:vAlign w:val="bottom"/>
            <w:gridSpan w:val="3"/>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1</w:t>
            </w:r>
          </w:p>
        </w:tc>
        <w:tc>
          <w:tcPr>
            <w:tcW w:w="3880" w:type="dxa"/>
            <w:vAlign w:val="bottom"/>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the Company</w:t>
              </w:r>
            </w:hyperlink>
          </w:p>
        </w:tc>
        <w:tc>
          <w:tcPr>
            <w:tcW w:w="20" w:type="dxa"/>
            <w:vAlign w:val="bottom"/>
            <w:tcBorders>
              <w:top w:val="single" w:sz="8" w:color="0000EE"/>
            </w:tcBorders>
          </w:tcPr>
          <w:p>
            <w:pPr>
              <w:spacing w:after="0"/>
              <w:rPr>
                <w:sz w:val="17"/>
                <w:szCs w:val="17"/>
                <w:color w:val="auto"/>
              </w:rPr>
            </w:pPr>
          </w:p>
        </w:tc>
        <w:tc>
          <w:tcPr>
            <w:tcW w:w="2960" w:type="dxa"/>
            <w:vAlign w:val="bottom"/>
            <w:gridSpan w:val="4"/>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2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Description of Debt Securities</w:t>
              </w:r>
            </w:hyperlink>
          </w:p>
        </w:tc>
        <w:tc>
          <w:tcPr>
            <w:tcW w:w="42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3880" w:type="dxa"/>
            <w:vAlign w:val="bottom"/>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960" w:type="dxa"/>
            <w:vAlign w:val="bottom"/>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Incorporation of Documents by Reference</w:t>
              </w:r>
            </w:hyperlink>
          </w:p>
        </w:tc>
        <w:tc>
          <w:tcPr>
            <w:tcW w:w="1440" w:type="dxa"/>
            <w:vAlign w:val="bottom"/>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3880" w:type="dxa"/>
            <w:vAlign w:val="bottom"/>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Validity of the Securities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960" w:type="dxa"/>
            <w:vAlign w:val="bottom"/>
            <w:gridSpan w:val="5"/>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4400" w:type="dxa"/>
            <w:vAlign w:val="bottom"/>
            <w:gridSpan w:val="6"/>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Cautionary Statement Regarding Forward-Looking Statements</w:t>
              </w:r>
            </w:hyperlink>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w:t>
            </w:r>
          </w:p>
        </w:tc>
        <w:tc>
          <w:tcPr>
            <w:tcW w:w="3880" w:type="dxa"/>
            <w:vAlign w:val="bottom"/>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274320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to the Company.</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Guarantor</w:t>
      </w:r>
    </w:p>
    <w:p>
      <w:pPr>
        <w:spacing w:after="0" w:line="17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Guarantor, together with its subsidiaries, is the world’s leading supplier of technology, integrated project management and information solutions to the international oil and gas exploration and production industry, and provides the industry’s widest range of products and services from exploration through production.</w:t>
      </w:r>
    </w:p>
    <w:p>
      <w:pPr>
        <w:spacing w:after="0" w:line="14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Guarantor was founded in 1926 and incorporated under the then applicable laws of the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Guarantor has principal executive offices in Paris, Houston and The Hague. The principal United States market for Schlumberger’s common stock is the NYSE, where it is traded under the symbol “SLB.”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organizational status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5 Avenue Gaston Diderich, L-1420 Luxembourg and its telephone number is +352 2744 8402.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 You may also read and copy its SEC filings at the SEC’s public reference room located at 100 F Street N.E., Washington, D.C. 20549. Please call the SEC at 1-800-SEC-0330 for further information concerning the public reference room and any applicable copy charges. You may also inspect its SEC reports and other information at the New York Stock Exchange, 20 Broad Street, New York, New York 10005.</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4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6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Annual Report on Form 10-K of Schlumberger Limited for the fiscal year ended December 31, 2012, as filed with the SEC on January 31, 2013;</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Quarterly Reports on Form 10-Q of Schlumberger Limited for the quarter ended March 31, 2013, as filed with the SEC on April 24, 2013, and for the quarter ended June 30, 2013, as filed with the SEC on July 24, 2013;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Reports on Form 8-K of Schlumberger Limited as filed with the SEC on February 11, 2013; April 11, 2013; May 15, 2013; and June 17,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Schlumberger Limited 5599 San Felipe Street, 17th Floor Houston, Texas 77056 (713) 375-3400 Attention: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growth for the Schlumberger Group as a whole and for each of its segments (and for specified products or geographic areas within each segment);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statement speaks only as of the date of the particular statement, and we undertake no obligation to publicly update or revise any forward-looking statements except as required by law.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sets forth the Guarantor’s and its consolidated subsidiaries’ historical ratios of earnings to fixed charges for the periods indicated. This information should be read in conjunction with the Guarantor’s and its consolidated subsidiaries’ consolidated financial statements and the accompanying notes incorporated by reference in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5"/>
              </w:rPr>
              <w:t>Years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020" w:type="dxa"/>
            <w:vAlign w:val="bottom"/>
          </w:tcPr>
          <w:p>
            <w:pPr>
              <w:spacing w:after="0"/>
              <w:rPr>
                <w:sz w:val="5"/>
                <w:szCs w:val="5"/>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gridSpan w:val="6"/>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70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13.2x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86"/>
              </w:rPr>
              <w:t>12.3x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Earnings available for fixed charges represent earnings before income taxes, noncontrolling interests and fixed charges excluding capitalized interest, net of amortization, reduced by undistributed earnings of the Guarantor’s less than 50% owned affiliates. Fixed charges represent interest expense, amortization of debt discount and expenses, capitalized interest, plus that portion of rental expense deemed to be the equivalent of interest. Interest expense excludes interest related to uncertain tax positions, which has been included in the provision for income taxes.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which we refer to as the indenture, to be entered into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the indenture has been filed as an exhibit to the registration statement of which this prospectus is a part. The indenture is subject to, and is governed by, the Trust Indenture Act of 1939, as amended.</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90" w:lineRule="exact"/>
        <w:rPr>
          <w:rFonts w:ascii="Arial" w:cs="Arial" w:eastAsia="Arial" w:hAnsi="Arial"/>
          <w:sz w:val="18"/>
          <w:szCs w:val="18"/>
          <w:color w:val="auto"/>
        </w:rPr>
      </w:pPr>
    </w:p>
    <w:p>
      <w:pPr>
        <w:ind w:left="900" w:hanging="325"/>
        <w:spacing w:after="0" w:line="35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right, if any, to extend the interest payment periods or defer the payment of interest and the duration of such extension or deferral;</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currency or currencies in which payment of the principal of, premium, if any, and interest on, debt securities of the series shall be payable;</w:t>
      </w:r>
    </w:p>
    <w:p>
      <w:pPr>
        <w:spacing w:after="0" w:line="113" w:lineRule="exact"/>
        <w:rPr>
          <w:rFonts w:ascii="Arial" w:cs="Arial" w:eastAsia="Arial" w:hAnsi="Arial"/>
          <w:sz w:val="16"/>
          <w:szCs w:val="16"/>
          <w:color w:val="auto"/>
        </w:rPr>
      </w:pPr>
    </w:p>
    <w:p>
      <w:pPr>
        <w:ind w:left="900" w:right="7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90" w:lineRule="exact"/>
        <w:rPr>
          <w:rFonts w:ascii="Arial" w:cs="Arial" w:eastAsia="Arial" w:hAnsi="Arial"/>
          <w:sz w:val="18"/>
          <w:szCs w:val="18"/>
          <w:color w:val="auto"/>
        </w:rPr>
      </w:pPr>
    </w:p>
    <w:p>
      <w:pPr>
        <w:ind w:left="900" w:right="100" w:hanging="325"/>
        <w:spacing w:after="0" w:line="323"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16" w:lineRule="exact"/>
        <w:rPr>
          <w:rFonts w:ascii="Arial" w:cs="Arial" w:eastAsia="Arial" w:hAnsi="Arial"/>
          <w:sz w:val="15"/>
          <w:szCs w:val="15"/>
          <w:color w:val="auto"/>
        </w:rPr>
      </w:pPr>
    </w:p>
    <w:p>
      <w:pPr>
        <w:ind w:left="900" w:right="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3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17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4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indenture. The debt securities will not be guaranteed by any of the Guarantor’s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 will:</w:t>
      </w:r>
    </w:p>
    <w:p>
      <w:pPr>
        <w:spacing w:after="0" w:line="90" w:lineRule="exact"/>
        <w:rPr>
          <w:sz w:val="20"/>
          <w:szCs w:val="20"/>
          <w:color w:val="auto"/>
        </w:rPr>
      </w:pPr>
    </w:p>
    <w:p>
      <w:pPr>
        <w:ind w:left="900" w:right="2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4"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debt securities of any series will be:</w:t>
      </w:r>
    </w:p>
    <w:p>
      <w:pPr>
        <w:spacing w:after="0" w:line="90" w:lineRule="exact"/>
        <w:rPr>
          <w:sz w:val="20"/>
          <w:szCs w:val="20"/>
          <w:color w:val="auto"/>
        </w:rPr>
      </w:pPr>
    </w:p>
    <w:p>
      <w:pPr>
        <w:ind w:left="900" w:right="5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40" w:lineRule="exact"/>
        <w:rPr>
          <w:sz w:val="20"/>
          <w:szCs w:val="20"/>
          <w:color w:val="auto"/>
        </w:rPr>
      </w:pPr>
    </w:p>
    <w:p>
      <w:pPr>
        <w:ind w:left="900" w:right="20" w:hanging="446"/>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3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available for payment to the holder (except to the extent that the holder would have been entitled to Additional Amounts had the applicable debt securities been presented on the last day of such 30 day period);</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25"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13"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4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 deemed to include mention of the payment of Additional Amounts to the extent that, in such context, Additional Amounts are, were or would be payable in respect thereof.</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37" w:lineRule="exact"/>
        <w:rPr>
          <w:sz w:val="20"/>
          <w:szCs w:val="20"/>
          <w:color w:val="auto"/>
        </w:rPr>
      </w:pPr>
    </w:p>
    <w:p>
      <w:pPr>
        <w:ind w:left="900" w:right="1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59"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1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0" w:lineRule="exact"/>
        <w:rPr>
          <w:rFonts w:ascii="Arial" w:cs="Arial" w:eastAsia="Arial" w:hAnsi="Arial"/>
          <w:sz w:val="18"/>
          <w:szCs w:val="18"/>
          <w:color w:val="auto"/>
        </w:rPr>
      </w:pPr>
    </w:p>
    <w:p>
      <w:pPr>
        <w:ind w:left="900" w:right="200" w:hanging="446"/>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13"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2"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90" w:lineRule="exact"/>
        <w:rPr>
          <w:rFonts w:ascii="Arial" w:cs="Arial" w:eastAsia="Arial" w:hAnsi="Arial"/>
          <w:sz w:val="18"/>
          <w:szCs w:val="18"/>
          <w:color w:val="auto"/>
        </w:rPr>
      </w:pPr>
    </w:p>
    <w:p>
      <w:pPr>
        <w:jc w:val="both"/>
        <w:ind w:left="900" w:right="80" w:hanging="446"/>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“mortgage” means and includes any mortgage, pledge, lien, security interest, conditional sale or other title retention agreement or other similar encumbrance.</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 w:lineRule="exact"/>
        <w:rPr>
          <w:sz w:val="20"/>
          <w:szCs w:val="20"/>
          <w:color w:val="auto"/>
        </w:rPr>
      </w:pPr>
    </w:p>
    <w:p>
      <w:pPr>
        <w:ind w:firstLine="8"/>
        <w:spacing w:after="0" w:line="295"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 by an Affiliate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 that:</w:t>
      </w:r>
    </w:p>
    <w:p>
      <w:pPr>
        <w:spacing w:after="0" w:line="113" w:lineRule="exact"/>
        <w:rPr>
          <w:sz w:val="20"/>
          <w:szCs w:val="20"/>
          <w:color w:val="auto"/>
        </w:rPr>
      </w:pPr>
    </w:p>
    <w:p>
      <w:pPr>
        <w:ind w:left="900" w:right="2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failure to pay any interest on any of the debt securities of such series within 30 days after such interest becomes due and payable;</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50"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31"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This provision does not, however, affect the right of any holder to sue for enforcement of any overdue payment with respect to the debt securities of such series.</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requires the Company to file with the trustee each year a written statement as to its compliance with the covenants contained in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an Affiliate” above;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26" w:lineRule="exact"/>
        <w:rPr>
          <w:sz w:val="20"/>
          <w:szCs w:val="20"/>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4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90" w:lineRule="exact"/>
        <w:rPr>
          <w:sz w:val="20"/>
          <w:szCs w:val="20"/>
          <w:color w:val="auto"/>
        </w:rPr>
      </w:pPr>
    </w:p>
    <w:p>
      <w:pPr>
        <w:ind w:left="900" w:right="6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0"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59"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26" w:lineRule="exact"/>
        <w:rPr>
          <w:sz w:val="20"/>
          <w:szCs w:val="20"/>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0"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may experience delays in receiving distributions on their debt securities since distributions will initially be made to DTC and must then be transferred through the chain of intermediaries to the beneficial owner’s account.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Clearstream</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w:t>
      </w:r>
    </w:p>
    <w:p>
      <w:pPr>
        <w:spacing w:after="0" w:line="9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Euroclear Operator advises us that it is regulated and examined by the Belgian banking and Finance Commission and the National Bank of Belgium.</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54" w:lineRule="exact"/>
        <w:rPr>
          <w:sz w:val="20"/>
          <w:szCs w:val="20"/>
          <w:color w:val="auto"/>
        </w:rPr>
      </w:pPr>
    </w:p>
    <w:p>
      <w:pPr>
        <w:jc w:val="right"/>
        <w:ind w:right="49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980"/>
        <w:spacing w:after="0"/>
        <w:rPr>
          <w:sz w:val="20"/>
          <w:szCs w:val="20"/>
          <w:color w:val="auto"/>
        </w:rPr>
      </w:pPr>
      <w:r>
        <w:rPr>
          <w:rFonts w:ascii="Arial" w:cs="Arial" w:eastAsia="Arial" w:hAnsi="Arial"/>
          <w:sz w:val="16"/>
          <w:szCs w:val="16"/>
          <w:color w:val="auto"/>
        </w:rPr>
        <w:t>We may sell the securities offered pursuant to this prospectus in any of the following ways:</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Validity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debt securities offered hereby will be passed upon for us by Baker Botts L.L.P., Houston, Texas.</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2012 have been so incorporated in reliance on the report of PricewaterhouseCoopers LLP, an independent registered public accounting firm, given on the authority of that firm as experts in auditing and accounting.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r>
        <w:rPr>
          <w:rFonts w:ascii="Arial" w:cs="Arial" w:eastAsia="Arial" w:hAnsi="Arial"/>
          <w:sz w:val="15"/>
          <w:szCs w:val="15"/>
          <w:b w:val="1"/>
          <w:bCs w:val="1"/>
          <w:color w:val="auto"/>
        </w:rPr>
        <w:t>.</w:t>
      </w:r>
    </w:p>
    <w:p>
      <w:pPr>
        <w:spacing w:after="0" w:line="9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 All amounts shown are estimates, except the registration fee.</w:t>
      </w:r>
    </w:p>
    <w:p>
      <w:pPr>
        <w:spacing w:after="0" w:line="12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68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7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Rules 456(b) and 457(r) of the Securities Act of 1933, we are deferring payment of all of the registration fee for the securities offered by this registration statement.</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estimate of the aggregate amount of these expenses will be reflected in the applicable prospectus supplement.</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To the fullest extent permitted by applicable law, Schlumberger will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4" w:lineRule="exact"/>
        <w:rPr>
          <w:sz w:val="20"/>
          <w:szCs w:val="20"/>
          <w:color w:val="auto"/>
        </w:rPr>
      </w:pPr>
    </w:p>
    <w:p>
      <w:pPr>
        <w:ind w:left="900" w:right="6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25" w:lineRule="exact"/>
        <w:rPr>
          <w:rFonts w:ascii="Arial" w:cs="Arial" w:eastAsia="Arial" w:hAnsi="Arial"/>
          <w:sz w:val="16"/>
          <w:szCs w:val="16"/>
          <w:color w:val="auto"/>
        </w:rPr>
      </w:pPr>
    </w:p>
    <w:p>
      <w:pPr>
        <w:ind w:left="900" w:right="3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59"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1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the fullest extent permitted by applicable law, Schlumberger shall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indemnification under the preceding three paragraphs (unless ordered by a court) may be extended to current or former employees or agents of Schlumberger only as authorized by the Chief Executive Officer or by contract approved, or by-laws, resolution or other action adopted or taken, by Schlumberger’s board of directors or by Schlumberger’s stockholders.</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Expenses (including attorneys’ fees) incurred by a current or former director or a current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Schlumberger.”</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13"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 Investment SA</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Articles of Association of Schlumberger Investment SA provide that directors may not be held personally liable by reason of their mandate for any commitment they have validly made in the Company’s name, provided those commitments comply with the Articles of Association and Luxembourg law. Under Luxembourg law, the Company may not indemnify its directors against any matter arising from a director’s fraud, dishonesty, gross negligence or willful misconduct or any criminal actions.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Luxembourg law, the duties of directors of the Company are generally owed to the Company only. Third parties of the Company generally do not have rights to take action against directors of the Company, except in limited circumstances. Directors of the Company must, in exercising their powers and performing their duties,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act in good faith and in the interests of the Company as a whole and must exercise due care, skill and diligence. Directors have a duty not to put themselves in a position in which their duties to the Company and their personal interests may conflict and also are under a duty to disclose any personal interest in any contract or arrangement with the Company or any of its subsidiaries. If a director of the Company is found to have breached his or her duties to the Company, he or she may be held personally liable to the Company with respect to that breach of duty. A director may be jointly and severally liable with other directors implicated in the same breach of duty.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96"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460" w:firstLine="443"/>
        <w:spacing w:after="0" w:line="291" w:lineRule="auto"/>
        <w:tabs>
          <w:tab w:leader="none" w:pos="1157" w:val="left"/>
        </w:tabs>
        <w:numPr>
          <w:ilvl w:val="2"/>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9" w:lineRule="exact"/>
        <w:rPr>
          <w:rFonts w:ascii="Arial" w:cs="Arial" w:eastAsia="Arial" w:hAnsi="Arial"/>
          <w:sz w:val="16"/>
          <w:szCs w:val="16"/>
          <w:color w:val="auto"/>
        </w:rPr>
      </w:pPr>
    </w:p>
    <w:p>
      <w:pPr>
        <w:ind w:left="460" w:right="60" w:firstLine="443"/>
        <w:spacing w:after="0" w:line="268" w:lineRule="auto"/>
        <w:tabs>
          <w:tab w:leader="none" w:pos="120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a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2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
        <w:spacing w:after="0" w:line="294" w:lineRule="auto"/>
        <w:tabs>
          <w:tab w:leader="none" w:pos="806"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5" w:lineRule="exact"/>
        <w:rPr>
          <w:sz w:val="20"/>
          <w:szCs w:val="20"/>
          <w:color w:val="auto"/>
        </w:rPr>
      </w:pPr>
    </w:p>
    <w:p>
      <w:pPr>
        <w:ind w:left="460" w:right="420"/>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3" w:lineRule="exact"/>
        <w:rPr>
          <w:sz w:val="20"/>
          <w:szCs w:val="20"/>
          <w:color w:val="auto"/>
        </w:rPr>
      </w:pPr>
    </w:p>
    <w:p>
      <w:pPr>
        <w:ind w:firstLine="464"/>
        <w:spacing w:after="0" w:line="298" w:lineRule="auto"/>
        <w:tabs>
          <w:tab w:leader="none" w:pos="7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31" w:lineRule="exact"/>
        <w:rPr>
          <w:rFonts w:ascii="Arial" w:cs="Arial" w:eastAsia="Arial" w:hAnsi="Arial"/>
          <w:sz w:val="16"/>
          <w:szCs w:val="16"/>
          <w:color w:val="auto"/>
        </w:rPr>
      </w:pPr>
    </w:p>
    <w:p>
      <w:pPr>
        <w:ind w:left="1200" w:hanging="297"/>
        <w:spacing w:after="0"/>
        <w:tabs>
          <w:tab w:leader="none" w:pos="12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preliminary prospectus or prospectus of an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40" w:firstLine="443"/>
        <w:spacing w:after="0" w:line="268" w:lineRule="auto"/>
        <w:tabs>
          <w:tab w:leader="none" w:pos="1176"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an undersigned Registrant;</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76"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71" w:lineRule="exact"/>
        <w:rPr>
          <w:rFonts w:ascii="Arial" w:cs="Arial" w:eastAsia="Arial" w:hAnsi="Arial"/>
          <w:sz w:val="18"/>
          <w:szCs w:val="18"/>
          <w:color w:val="auto"/>
        </w:rPr>
      </w:pPr>
    </w:p>
    <w:p>
      <w:pPr>
        <w:ind w:right="60" w:firstLine="8"/>
        <w:spacing w:after="0" w:line="255"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undersigned Registrants hereby undertake that, for purposes of determining any liability under the Securities Act of 1933, each filing of Schlumberger’s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2" w:lineRule="exact"/>
        <w:rPr>
          <w:rFonts w:ascii="Arial" w:cs="Arial" w:eastAsia="Arial" w:hAnsi="Arial"/>
          <w:sz w:val="18"/>
          <w:szCs w:val="18"/>
          <w:color w:val="auto"/>
        </w:rPr>
      </w:pPr>
    </w:p>
    <w:p>
      <w:pPr>
        <w:ind w:right="80" w:firstLine="8"/>
        <w:spacing w:after="0" w:line="290"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8" w:lineRule="exact"/>
        <w:rPr>
          <w:rFonts w:ascii="Arial" w:cs="Arial" w:eastAsia="Arial" w:hAnsi="Arial"/>
          <w:sz w:val="16"/>
          <w:szCs w:val="16"/>
          <w:color w:val="auto"/>
        </w:rPr>
      </w:pPr>
    </w:p>
    <w:p>
      <w:pPr>
        <w:ind w:right="160" w:firstLine="8"/>
        <w:spacing w:after="0" w:line="332"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undersigned Registrants hereby undertake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26th day of August, 2013.</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N.V.</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124"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r>
      <w:tr>
        <w:trPr>
          <w:trHeight w:val="316"/>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Chief Executive Officer and 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8"/>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(Paal Kibsgaard)</w:t>
            </w:r>
          </w:p>
        </w:tc>
        <w:tc>
          <w:tcPr>
            <w:tcW w:w="458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1"/>
              </w:rPr>
              <w:t>(Principal Executive Officer)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29"/>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Executive Vice President and Chief Financial Officer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8"/>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(Simon Ayat)</w:t>
            </w:r>
          </w:p>
        </w:tc>
        <w:tc>
          <w:tcPr>
            <w:tcW w:w="458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2"/>
              </w:rPr>
              <w:t>(Principal Financial Officer)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29"/>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Howard Guild</w:t>
            </w:r>
          </w:p>
        </w:tc>
        <w:tc>
          <w:tcPr>
            <w:tcW w:w="45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Chief Accounting Officer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8"/>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4"/>
              </w:rPr>
              <w:t>(Howard Guild)</w:t>
            </w:r>
          </w:p>
        </w:tc>
        <w:tc>
          <w:tcPr>
            <w:tcW w:w="458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2"/>
              </w:rPr>
              <w:t>(Principal Accounting Officer)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(Peter L.S. Currie)</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Chairman</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(Tony Isaac)</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9"/>
              </w:rPr>
              <w:t>(K. Vaman Kamath)</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(Nikolay Kudryavtsev)</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3"/>
              </w:rPr>
              <w:t>(Adrian Lajous)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1"/>
              </w:rPr>
              <w:t>(Michael E. Marks)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(Lubna S. Olayan)</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0"/>
        </w:trPr>
        <w:tc>
          <w:tcPr>
            <w:tcW w:w="2660" w:type="dxa"/>
            <w:vAlign w:val="bottom"/>
            <w:tcBorders>
              <w:bottom w:val="single" w:sz="8" w:color="auto"/>
            </w:tcBorders>
            <w:gridSpan w:val="2"/>
          </w:tcPr>
          <w:p>
            <w:pPr>
              <w:jc w:val="center"/>
              <w:ind w:left="199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Director</w:t>
            </w:r>
          </w:p>
        </w:tc>
        <w:tc>
          <w:tcPr>
            <w:tcW w:w="16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August 26, 2013</w:t>
            </w:r>
          </w:p>
        </w:tc>
      </w:tr>
      <w:tr>
        <w:trPr>
          <w:trHeight w:val="217"/>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1"/>
              </w:rPr>
              <w:t>(Leo Rafael Reif)</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70"/>
        </w:trPr>
        <w:tc>
          <w:tcPr>
            <w:tcW w:w="2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580" w:type="dxa"/>
            <w:vAlign w:val="bottom"/>
            <w:gridSpan w:val="3"/>
          </w:tcPr>
          <w:p>
            <w:pPr>
              <w:ind w:left="840"/>
              <w:spacing w:after="0"/>
              <w:rPr>
                <w:sz w:val="20"/>
                <w:szCs w:val="20"/>
                <w:color w:val="auto"/>
              </w:rPr>
            </w:pPr>
            <w:r>
              <w:rPr>
                <w:rFonts w:ascii="Arial" w:cs="Arial" w:eastAsia="Arial" w:hAnsi="Arial"/>
                <w:sz w:val="18"/>
                <w:szCs w:val="18"/>
                <w:color w:val="auto"/>
              </w:rPr>
              <w:t>II-6</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3780" w:type="dxa"/>
            <w:vAlign w:val="bottom"/>
          </w:tcPr>
          <w:p>
            <w:pPr>
              <w:ind w:left="19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280"/>
              <w:spacing w:after="0"/>
              <w:rPr>
                <w:sz w:val="20"/>
                <w:szCs w:val="20"/>
                <w:color w:val="auto"/>
              </w:rPr>
            </w:pPr>
            <w:r>
              <w:rPr>
                <w:rFonts w:ascii="Arial" w:cs="Arial" w:eastAsia="Arial" w:hAnsi="Arial"/>
                <w:sz w:val="18"/>
                <w:szCs w:val="18"/>
                <w:color w:val="auto"/>
                <w:w w:val="86"/>
              </w:rPr>
              <w:t>August 26, 2013</w:t>
            </w:r>
          </w:p>
        </w:tc>
      </w:tr>
      <w:tr>
        <w:trPr>
          <w:trHeight w:val="217"/>
        </w:trPr>
        <w:tc>
          <w:tcPr>
            <w:tcW w:w="420" w:type="dxa"/>
            <w:vAlign w:val="bottom"/>
          </w:tcPr>
          <w:p>
            <w:pPr>
              <w:spacing w:after="0"/>
              <w:rPr>
                <w:sz w:val="18"/>
                <w:szCs w:val="18"/>
                <w:color w:val="auto"/>
              </w:rPr>
            </w:pPr>
          </w:p>
        </w:tc>
        <w:tc>
          <w:tcPr>
            <w:tcW w:w="43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(Tore I. Sandvold)</w:t>
            </w:r>
          </w:p>
        </w:tc>
        <w:tc>
          <w:tcPr>
            <w:tcW w:w="37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30"/>
        </w:trPr>
        <w:tc>
          <w:tcPr>
            <w:tcW w:w="4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3780" w:type="dxa"/>
            <w:vAlign w:val="bottom"/>
          </w:tcPr>
          <w:p>
            <w:pPr>
              <w:ind w:left="19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280"/>
              <w:spacing w:after="0"/>
              <w:rPr>
                <w:sz w:val="20"/>
                <w:szCs w:val="20"/>
                <w:color w:val="auto"/>
              </w:rPr>
            </w:pPr>
            <w:r>
              <w:rPr>
                <w:rFonts w:ascii="Arial" w:cs="Arial" w:eastAsia="Arial" w:hAnsi="Arial"/>
                <w:sz w:val="18"/>
                <w:szCs w:val="18"/>
                <w:color w:val="auto"/>
                <w:w w:val="86"/>
              </w:rPr>
              <w:t>August 26, 2013</w:t>
            </w:r>
          </w:p>
        </w:tc>
      </w:tr>
      <w:tr>
        <w:trPr>
          <w:trHeight w:val="217"/>
        </w:trPr>
        <w:tc>
          <w:tcPr>
            <w:tcW w:w="420" w:type="dxa"/>
            <w:vAlign w:val="bottom"/>
          </w:tcPr>
          <w:p>
            <w:pPr>
              <w:spacing w:after="0"/>
              <w:rPr>
                <w:sz w:val="18"/>
                <w:szCs w:val="18"/>
                <w:color w:val="auto"/>
              </w:rPr>
            </w:pPr>
          </w:p>
        </w:tc>
        <w:tc>
          <w:tcPr>
            <w:tcW w:w="43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(Henri Seydoux)</w:t>
            </w:r>
          </w:p>
        </w:tc>
        <w:tc>
          <w:tcPr>
            <w:tcW w:w="37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/s/ Howard Guild</w:t>
            </w:r>
          </w:p>
        </w:tc>
        <w:tc>
          <w:tcPr>
            <w:tcW w:w="37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02"/>
        </w:trPr>
        <w:tc>
          <w:tcPr>
            <w:tcW w:w="420" w:type="dxa"/>
            <w:vAlign w:val="bottom"/>
          </w:tcPr>
          <w:p>
            <w:pPr>
              <w:spacing w:after="0"/>
              <w:rPr>
                <w:sz w:val="17"/>
                <w:szCs w:val="17"/>
                <w:color w:val="auto"/>
              </w:rPr>
            </w:pPr>
          </w:p>
        </w:tc>
        <w:tc>
          <w:tcPr>
            <w:tcW w:w="4160" w:type="dxa"/>
            <w:vAlign w:val="bottom"/>
            <w:tcBorders>
              <w:top w:val="single" w:sz="8" w:color="auto"/>
            </w:tcBorders>
          </w:tcPr>
          <w:p>
            <w:pPr>
              <w:ind w:left="280"/>
              <w:spacing w:after="0" w:line="202" w:lineRule="exact"/>
              <w:rPr>
                <w:sz w:val="20"/>
                <w:szCs w:val="20"/>
                <w:color w:val="auto"/>
              </w:rPr>
            </w:pPr>
            <w:r>
              <w:rPr>
                <w:rFonts w:ascii="Arial" w:cs="Arial" w:eastAsia="Arial" w:hAnsi="Arial"/>
                <w:sz w:val="18"/>
                <w:szCs w:val="18"/>
                <w:color w:val="auto"/>
              </w:rPr>
              <w:t>Howard Guild</w:t>
            </w:r>
          </w:p>
        </w:tc>
        <w:tc>
          <w:tcPr>
            <w:tcW w:w="1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22"/>
        </w:trPr>
        <w:tc>
          <w:tcPr>
            <w:tcW w:w="420" w:type="dxa"/>
            <w:vAlign w:val="bottom"/>
          </w:tcPr>
          <w:p>
            <w:pPr>
              <w:spacing w:after="0"/>
              <w:rPr>
                <w:sz w:val="19"/>
                <w:szCs w:val="19"/>
                <w:color w:val="auto"/>
              </w:rPr>
            </w:pP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Attorney-in-Fact</w:t>
            </w:r>
          </w:p>
        </w:tc>
        <w:tc>
          <w:tcPr>
            <w:tcW w:w="37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78"/>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Arial" w:cs="Arial" w:eastAsia="Arial" w:hAnsi="Arial"/>
                <w:sz w:val="18"/>
                <w:szCs w:val="18"/>
                <w:color w:val="auto"/>
              </w:rPr>
              <w:t>II-7</w:t>
            </w:r>
          </w:p>
        </w:tc>
        <w:tc>
          <w:tcPr>
            <w:tcW w:w="244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Hamilton, Bermuda, on the 26th day of August, 2013.</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INVESTMENT SA</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Philippe Petre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Class B Director</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368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0"/>
              </w:rPr>
              <w:t>Title</w:t>
            </w:r>
          </w:p>
        </w:tc>
        <w:tc>
          <w:tcPr>
            <w:tcW w:w="1480" w:type="dxa"/>
            <w:vAlign w:val="bottom"/>
          </w:tcPr>
          <w:p>
            <w:pPr>
              <w:spacing w:after="0"/>
              <w:rPr>
                <w:sz w:val="14"/>
                <w:szCs w:val="14"/>
                <w:color w:val="auto"/>
              </w:rPr>
            </w:pPr>
          </w:p>
        </w:tc>
        <w:tc>
          <w:tcPr>
            <w:tcW w:w="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377"/>
              <w:spacing w:after="0"/>
              <w:rPr>
                <w:sz w:val="20"/>
                <w:szCs w:val="20"/>
                <w:color w:val="auto"/>
              </w:rPr>
            </w:pPr>
            <w:r>
              <w:rPr>
                <w:rFonts w:ascii="Arial" w:cs="Arial" w:eastAsia="Arial" w:hAnsi="Arial"/>
                <w:sz w:val="18"/>
                <w:szCs w:val="18"/>
                <w:color w:val="auto"/>
                <w:w w:val="90"/>
              </w:rPr>
              <w:t>Class B Director</w:t>
            </w:r>
          </w:p>
        </w:tc>
        <w:tc>
          <w:tcPr>
            <w:tcW w:w="220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August 26, 2013</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(Philippe Petre)</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2"/>
          </w:tcPr>
          <w:p>
            <w:pPr>
              <w:jc w:val="center"/>
              <w:ind w:left="215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377"/>
              <w:spacing w:after="0"/>
              <w:rPr>
                <w:sz w:val="20"/>
                <w:szCs w:val="20"/>
                <w:color w:val="auto"/>
              </w:rPr>
            </w:pPr>
            <w:r>
              <w:rPr>
                <w:rFonts w:ascii="Arial" w:cs="Arial" w:eastAsia="Arial" w:hAnsi="Arial"/>
                <w:sz w:val="18"/>
                <w:szCs w:val="18"/>
                <w:color w:val="auto"/>
                <w:w w:val="90"/>
              </w:rPr>
              <w:t>Class A Director</w:t>
            </w:r>
          </w:p>
        </w:tc>
        <w:tc>
          <w:tcPr>
            <w:tcW w:w="220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August 26, 2013</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7"/>
              </w:rPr>
              <w:t>(Sinan Sar)</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840" w:type="dxa"/>
            <w:vAlign w:val="bottom"/>
            <w:tcBorders>
              <w:bottom w:val="single" w:sz="8" w:color="auto"/>
            </w:tcBorders>
            <w:gridSpan w:val="2"/>
          </w:tcPr>
          <w:p>
            <w:pPr>
              <w:jc w:val="center"/>
              <w:ind w:left="215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3680" w:type="dxa"/>
            <w:vAlign w:val="bottom"/>
            <w:gridSpan w:val="3"/>
          </w:tcPr>
          <w:p>
            <w:pPr>
              <w:jc w:val="center"/>
              <w:ind w:left="377"/>
              <w:spacing w:after="0"/>
              <w:rPr>
                <w:sz w:val="20"/>
                <w:szCs w:val="20"/>
                <w:color w:val="auto"/>
              </w:rPr>
            </w:pPr>
            <w:r>
              <w:rPr>
                <w:rFonts w:ascii="Arial" w:cs="Arial" w:eastAsia="Arial" w:hAnsi="Arial"/>
                <w:sz w:val="18"/>
                <w:szCs w:val="18"/>
                <w:color w:val="auto"/>
                <w:w w:val="90"/>
              </w:rPr>
              <w:t>Class A Director</w:t>
            </w:r>
          </w:p>
        </w:tc>
        <w:tc>
          <w:tcPr>
            <w:tcW w:w="2200" w:type="dxa"/>
            <w:vAlign w:val="bottom"/>
            <w:gridSpan w:val="3"/>
          </w:tcPr>
          <w:p>
            <w:pPr>
              <w:jc w:val="center"/>
              <w:ind w:left="952"/>
              <w:spacing w:after="0"/>
              <w:rPr>
                <w:sz w:val="20"/>
                <w:szCs w:val="20"/>
                <w:color w:val="auto"/>
              </w:rPr>
            </w:pPr>
            <w:r>
              <w:rPr>
                <w:rFonts w:ascii="Arial" w:cs="Arial" w:eastAsia="Arial" w:hAnsi="Arial"/>
                <w:sz w:val="18"/>
                <w:szCs w:val="18"/>
                <w:color w:val="auto"/>
                <w:w w:val="88"/>
              </w:rPr>
              <w:t>August 26, 2013</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(Gerard Matheis)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tab/>
        <w:t>/s/ Philippe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26327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Philippe Petre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Attorney-in-Fact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5"/>
                <w:szCs w:val="15"/>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5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309"/>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89"/>
              </w:rPr>
              <w:t>Articles of Incorporation of Schlumberger Limited (Schlumberger N.V.), as last amended on April 6, 2011 (incorporated by reference to Exhibit</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3.1 to Schlumberger’s Current Report on Form 8-K filed on April 7, 2011).</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88"/>
              </w:rPr>
              <w:t>Amended and Restated By-laws of Schlumberger N.V. (Schlumberger Limited), as last amended on July 19, 2012 (incorporated by reference to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Exhibit 3.1 to Schlumberger’s Current Report on Form 8-K filed on July 19, 2012).</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Consolidated Text of the Articles of Association of Schlumberger Investment SA.</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Indenture.</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Debt Securities.*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Opinion of Baker Botts L.L.P.</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Opinion of STvB Advocaten.</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Opinion of Loyens Loeff.</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12.1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23.1</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23.2</w:t>
            </w:r>
          </w:p>
        </w:tc>
        <w:tc>
          <w:tcPr>
            <w:tcW w:w="80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of Baker Botts L.L.P. (set forth in Exhibit 5.1).</w:t>
            </w:r>
          </w:p>
        </w:tc>
      </w:tr>
    </w:tbl>
    <w:p>
      <w:pPr>
        <w:spacing w:after="0" w:line="102" w:lineRule="exact"/>
        <w:rPr>
          <w:sz w:val="20"/>
          <w:szCs w:val="20"/>
          <w:color w:val="auto"/>
        </w:rPr>
      </w:pPr>
    </w:p>
    <w:p>
      <w:pPr>
        <w:ind w:left="1300" w:hanging="129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rFonts w:ascii="Arial" w:cs="Arial" w:eastAsia="Arial" w:hAnsi="Arial"/>
          <w:sz w:val="18"/>
          <w:szCs w:val="18"/>
          <w:color w:val="auto"/>
        </w:rPr>
      </w:pPr>
    </w:p>
    <w:p>
      <w:pPr>
        <w:ind w:right="1320" w:firstLine="8"/>
        <w:spacing w:after="0" w:line="440" w:lineRule="auto"/>
        <w:tabs>
          <w:tab w:leader="none" w:pos="12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Statement of Eligibility and Qualification under the Trust Indenture Act of 1939 of The Bank of New York Mellon, as trustee * To be filed by amendment or via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jc w:val="center"/>
        <w:ind w:right="-760"/>
        <w:spacing w:after="0"/>
        <w:rPr>
          <w:sz w:val="20"/>
          <w:szCs w:val="20"/>
          <w:color w:val="auto"/>
        </w:rPr>
      </w:pPr>
      <w:r>
        <w:rPr>
          <w:rFonts w:ascii="Arial" w:cs="Arial" w:eastAsia="Arial" w:hAnsi="Arial"/>
          <w:sz w:val="18"/>
          <w:szCs w:val="18"/>
          <w:b w:val="1"/>
          <w:bCs w:val="1"/>
          <w:color w:val="auto"/>
        </w:rPr>
        <w:t>Schlumberger Investment S.A.</w:t>
      </w:r>
    </w:p>
    <w:p>
      <w:pPr>
        <w:spacing w:after="0" w:line="21"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i w:val="1"/>
          <w:iCs w:val="1"/>
          <w:color w:val="auto"/>
        </w:rPr>
        <w:t>Société anonyme</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Siège social: 5, avenue Gaston Diderich</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L-1420 Luxembourg</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R.C.S. Luxembourg : B 163.122</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Les statuts coordonnés de la société ont été déposés au Registre de Commerce et des Sociétés de Luxembourg.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Luxembourg, 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Pour mention, aux fins de publication au Mémorial C, Recueil des Sociétés et Associations.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Luxembourg, le 8 septembre 2011</w:t>
      </w:r>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9759"/>
          </w:cols>
          <w:pgMar w:left="700" w:top="125" w:right="1440"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Investment S.A.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Société anonyme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Siège social: 5, avenue Gaston Diderich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L-1420 Luxembourg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R.C.S. Luxembourg : B 163.122</w:t>
      </w:r>
    </w:p>
    <w:p>
      <w:pPr>
        <w:spacing w:after="0" w:line="15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STATUTS COORDONNES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au 2 septembre 2011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tels qu’ils résultent des actes suivants reçus par: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Maître Martine SCHAEFFER, notaire de résidence à Luxembourg:</w:t>
      </w:r>
    </w:p>
    <w:p>
      <w:pPr>
        <w:spacing w:after="0" w:line="9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 18 août 2011 (constitution), non encore publié au Mémorial 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 2 septembre 2011, non encore publié au Mémorial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 NAME – REGISTERED OFFICE – OBJECT – DURATION</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w:t>
      </w:r>
      <w:r>
        <w:rPr>
          <w:sz w:val="20"/>
          <w:szCs w:val="20"/>
          <w:color w:val="auto"/>
        </w:rPr>
        <w:tab/>
      </w:r>
      <w:r>
        <w:rPr>
          <w:rFonts w:ascii="Arial" w:cs="Arial" w:eastAsia="Arial" w:hAnsi="Arial"/>
          <w:sz w:val="18"/>
          <w:szCs w:val="18"/>
          <w:b w:val="1"/>
          <w:bCs w:val="1"/>
          <w:color w:val="auto"/>
        </w:rPr>
        <w:t>Name</w:t>
      </w:r>
    </w:p>
    <w:p>
      <w:pPr>
        <w:spacing w:after="0" w:line="9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The name of the company is “</w:t>
      </w:r>
      <w:r>
        <w:rPr>
          <w:rFonts w:ascii="Arial" w:cs="Arial" w:eastAsia="Arial" w:hAnsi="Arial"/>
          <w:sz w:val="18"/>
          <w:szCs w:val="18"/>
          <w:b w:val="1"/>
          <w:bCs w:val="1"/>
          <w:color w:val="auto"/>
        </w:rPr>
        <w:t>Schlumberger Investment SA</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The Company is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governed by the laws of the Grand Duchy of Luxembourg, in particular the law of August 10th, 1915, on commercial companies, as amended (the </w:t>
      </w:r>
      <w:r>
        <w:rPr>
          <w:rFonts w:ascii="Arial" w:cs="Arial" w:eastAsia="Arial" w:hAnsi="Arial"/>
          <w:sz w:val="18"/>
          <w:szCs w:val="18"/>
          <w:b w:val="1"/>
          <w:bCs w:val="1"/>
          <w:color w:val="auto"/>
        </w:rPr>
        <w:t>Law</w:t>
      </w:r>
      <w:r>
        <w:rPr>
          <w:rFonts w:ascii="Arial" w:cs="Arial" w:eastAsia="Arial" w:hAnsi="Arial"/>
          <w:sz w:val="18"/>
          <w:szCs w:val="18"/>
          <w:color w:val="auto"/>
        </w:rPr>
        <w:t xml:space="preserve">), and these articles of incorporation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54"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Art.2.</w:t>
      </w:r>
      <w:r>
        <w:rPr>
          <w:sz w:val="20"/>
          <w:szCs w:val="20"/>
          <w:color w:val="auto"/>
        </w:rPr>
        <w:tab/>
      </w:r>
      <w:r>
        <w:rPr>
          <w:rFonts w:ascii="Arial" w:cs="Arial" w:eastAsia="Arial" w:hAnsi="Arial"/>
          <w:sz w:val="18"/>
          <w:szCs w:val="18"/>
          <w:b w:val="1"/>
          <w:bCs w:val="1"/>
          <w:color w:val="auto"/>
        </w:rPr>
        <w:t>Registered office</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2.1. The Company’s registered office is established in Luxembourg, Grand Duchy of Luxembourg. It may be transferred within that municipality by a resolution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It may be transferred to any other location in the Grand Duchy of Luxembourg by a resolution of the general meeting of shareholders (the </w:t>
      </w:r>
      <w:r>
        <w:rPr>
          <w:rFonts w:ascii="Arial" w:cs="Arial" w:eastAsia="Arial" w:hAnsi="Arial"/>
          <w:sz w:val="16"/>
          <w:szCs w:val="16"/>
          <w:b w:val="1"/>
          <w:bCs w:val="1"/>
          <w:color w:val="auto"/>
        </w:rPr>
        <w:t>General Meeting</w:t>
      </w:r>
      <w:r>
        <w:rPr>
          <w:rFonts w:ascii="Arial" w:cs="Arial" w:eastAsia="Arial" w:hAnsi="Arial"/>
          <w:sz w:val="16"/>
          <w:szCs w:val="16"/>
          <w:color w:val="auto"/>
        </w:rPr>
        <w:t>), acting in accordance with the conditions prescribed for the amendment of the Articles.</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2.2. Branches, subsidiaries or other offices may be established in the Grand Duchy of Luxembourg or abroad by a resolution of the Board. If the Board determines that extraordinary political or military developments or events have occurred or are imminent, and that those developments or events may interfere with the normal activities of the Company at its registered office, or with ease of communication between that office and persons abroad, the registered office may be temporarily transferred abroad until the developments or events in question have completely ceased. Any such temporary measures do not affect the nationality of the Company, which, notwithstanding the temporary transfer of its registered office, will remain a Luxembourg incorporated company.</w:t>
      </w:r>
    </w:p>
    <w:p>
      <w:pPr>
        <w:spacing w:after="0" w:line="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140"/>
          </w:cols>
          <w:pgMar w:left="240" w:top="274" w:right="519" w:bottom="1440" w:gutter="0" w:footer="0" w:header="0"/>
        </w:sectPr>
      </w:pPr>
    </w:p>
    <w:bookmarkStart w:id="40" w:name="page41"/>
    <w:bookmarkEnd w:id="40"/>
    <w:p>
      <w:pPr>
        <w:ind w:left="460"/>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Art.3.</w:t>
      </w:r>
      <w:r>
        <w:rPr>
          <w:sz w:val="20"/>
          <w:szCs w:val="20"/>
          <w:color w:val="auto"/>
        </w:rPr>
        <w:tab/>
      </w:r>
      <w:r>
        <w:rPr>
          <w:rFonts w:ascii="Arial" w:cs="Arial" w:eastAsia="Arial" w:hAnsi="Arial"/>
          <w:sz w:val="18"/>
          <w:szCs w:val="18"/>
          <w:b w:val="1"/>
          <w:bCs w:val="1"/>
          <w:color w:val="auto"/>
        </w:rPr>
        <w:t>Corporate object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3.1. The Company’s object is the acquisition of participations, in Luxembourg or abroad, in any company or enterprise in any form whatsoever, and the management of those participations. The Company may in particular acquire, by subscription, purchase and exchange or in any other manner, any stock, shares and other participation securities, bonds, debentures, certificates of deposit and other debt instruments and, more generally, any securities and financial instruments issued by any public or private entity. It may participate in the creation, development, management and control of any company or enterprise. Further, it may invest in the acquisition and management of a portfolio of patents or other intellectual property rights of any nature or origin.</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3.2. The Company may borrow in any form. It may issue notes, bonds and any kind of debt and equity securities. It may lend funds, including, without limitation, the proceeds of any borrowings, to its subsidiaries, affiliated companies and any other companies. It may also give guarantees and pledge, transfer, encumber or otherwise create and grant security over some or all of its assets to guarantee its own obligations and those of any other company, and, generally, for its own benefit and that of any other company or person.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3.3. The Company may provide advisory and management services with respect to, amongst others, investments, investment portfolios, hedging activities and/or currency management of related entities and their employee funds.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3.4. The Company may use any techniques, legal means and instruments to manage its investments efficiently and protect itself against credit risks, currency exchange exposure, interest rate risks and other risks.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3.5. The Company may carry out any commercial, financial or industrial operation and any transaction with respect to real estate or movable property, which directly or indirectly, favours or relates to its corporate object.</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Art.4.</w:t>
      </w:r>
      <w:r>
        <w:rPr>
          <w:sz w:val="20"/>
          <w:szCs w:val="20"/>
          <w:color w:val="auto"/>
        </w:rPr>
        <w:tab/>
      </w:r>
      <w:r>
        <w:rPr>
          <w:rFonts w:ascii="Arial" w:cs="Arial" w:eastAsia="Arial" w:hAnsi="Arial"/>
          <w:sz w:val="18"/>
          <w:szCs w:val="18"/>
          <w:b w:val="1"/>
          <w:bCs w:val="1"/>
          <w:color w:val="auto"/>
        </w:rPr>
        <w:t>Duration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The Company is formed for an unlimited period.</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4.2. The Company is not to be dissolved by reason of the death, suspension of civil rights, incapacity, insolvency, bankruptcy or any similar event affecting one or more shareholders.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 CAPITAL – SHARES</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Art.5.</w:t>
      </w:r>
      <w:r>
        <w:rPr>
          <w:sz w:val="20"/>
          <w:szCs w:val="20"/>
          <w:color w:val="auto"/>
        </w:rPr>
        <w:tab/>
      </w:r>
      <w:r>
        <w:rPr>
          <w:rFonts w:ascii="Arial" w:cs="Arial" w:eastAsia="Arial" w:hAnsi="Arial"/>
          <w:sz w:val="18"/>
          <w:szCs w:val="18"/>
          <w:b w:val="1"/>
          <w:bCs w:val="1"/>
          <w:color w:val="auto"/>
        </w:rPr>
        <w:t>Capital</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5.1. The share capital is set at one hundred thousand US Dollars (USD 100,000), represented by one thousand (1000) shares in registered form, having a nominal value of one hundred US Dollars nominal (USD 100) each.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41" w:name="page42"/>
    <w:bookmarkEnd w:id="4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 The share capital may be increased or reduced once or more by a resolution of the General Meeting acting in accordance with the conditions prescribed for the amendment of the Articles.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The Board is authorised, for a period of five (5) years from the date of the publication of the deed of incorporation, to:</w:t>
      </w:r>
    </w:p>
    <w:p>
      <w:pPr>
        <w:spacing w:after="0" w:line="171" w:lineRule="exact"/>
        <w:rPr>
          <w:sz w:val="20"/>
          <w:szCs w:val="20"/>
          <w:color w:val="auto"/>
        </w:rPr>
      </w:pPr>
    </w:p>
    <w:p>
      <w:pPr>
        <w:ind w:left="680" w:hanging="216"/>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the current share capital once or more up to three million US Dollars (USD 3,000,000), by the issue of twenty-nine thousand five hundred fifty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(29,550) new shares, having a nominal value of one hundred US Dollars nominal (USD 100) each and having the same rights as the existing shares;</w:t>
      </w:r>
    </w:p>
    <w:p>
      <w:pPr>
        <w:spacing w:after="0" w:line="187" w:lineRule="exact"/>
        <w:rPr>
          <w:rFonts w:ascii="Arial" w:cs="Arial" w:eastAsia="Arial" w:hAnsi="Arial"/>
          <w:sz w:val="16"/>
          <w:szCs w:val="16"/>
          <w:color w:val="auto"/>
        </w:rPr>
      </w:pPr>
    </w:p>
    <w:p>
      <w:pPr>
        <w:ind w:right="180" w:firstLine="464"/>
        <w:spacing w:after="0" w:line="268"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or withdraw the shareholders’ preferential subscription rights to the new shares and determine the persons who are authorised to subscribe to the new shares; and</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record each share capital increase by way of a notarial deed and amend the share register accordingly.</w:t>
      </w:r>
    </w:p>
    <w:p>
      <w:pPr>
        <w:spacing w:after="0" w:line="28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Art.6.</w:t>
      </w:r>
      <w:r>
        <w:rPr>
          <w:sz w:val="20"/>
          <w:szCs w:val="20"/>
          <w:color w:val="auto"/>
        </w:rPr>
        <w:tab/>
      </w:r>
      <w:r>
        <w:rPr>
          <w:rFonts w:ascii="Arial" w:cs="Arial" w:eastAsia="Arial" w:hAnsi="Arial"/>
          <w:sz w:val="18"/>
          <w:szCs w:val="18"/>
          <w:b w:val="1"/>
          <w:bCs w:val="1"/>
          <w:color w:val="auto"/>
        </w:rPr>
        <w:t>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The shares are and will remain in registered form (</w:t>
      </w:r>
      <w:r>
        <w:rPr>
          <w:rFonts w:ascii="Arial" w:cs="Arial" w:eastAsia="Arial" w:hAnsi="Arial"/>
          <w:sz w:val="18"/>
          <w:szCs w:val="18"/>
          <w:i w:val="1"/>
          <w:iCs w:val="1"/>
          <w:color w:val="auto"/>
        </w:rPr>
        <w:t>actions nominatives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 A register of shares is kept at the registered office and may be examined by any shareholder on request.</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6.3. A share transfer is carried out by the entry in the register of shares of a declaration of transfer, duly signed and dated by both the transferor and the transferee or their authorised representatives, following a notification to or acceptance by the Company, in accordance with Article 1690 of the Civil Code. The Company may also accept other documents recording the agreement between the transferor and the transferee as evidence of a share transfer.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 The shares are indivisible and the Company recognises only one (1) owner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The Company may redeem its own shares within the limits set forth by the Law.</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 MANAGEMENT – REPRESENTATION</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Art.7.</w:t>
      </w:r>
      <w:r>
        <w:rPr>
          <w:sz w:val="20"/>
          <w:szCs w:val="20"/>
          <w:color w:val="auto"/>
        </w:rPr>
        <w:tab/>
      </w:r>
      <w:r>
        <w:rPr>
          <w:rFonts w:ascii="Arial" w:cs="Arial" w:eastAsia="Arial" w:hAnsi="Arial"/>
          <w:sz w:val="18"/>
          <w:szCs w:val="18"/>
          <w:b w:val="1"/>
          <w:bCs w:val="1"/>
          <w:color w:val="auto"/>
        </w:rPr>
        <w:t>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Composition of the board of directors</w:t>
      </w:r>
    </w:p>
    <w:p>
      <w:pPr>
        <w:spacing w:after="0" w:line="177" w:lineRule="exact"/>
        <w:rPr>
          <w:sz w:val="20"/>
          <w:szCs w:val="20"/>
          <w:color w:val="auto"/>
        </w:rPr>
      </w:pPr>
    </w:p>
    <w:p>
      <w:pPr>
        <w:ind w:right="300" w:firstLine="464"/>
        <w:spacing w:after="0" w:line="268" w:lineRule="auto"/>
        <w:tabs>
          <w:tab w:leader="none" w:pos="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managed by the Board, which is composed of at least three (3) members or less if article 8 hereof applies. The directors need not be shareholders. The Board may be composed of different classes of directors.</w:t>
      </w:r>
    </w:p>
    <w:p>
      <w:pPr>
        <w:spacing w:after="0" w:line="131" w:lineRule="exact"/>
        <w:rPr>
          <w:rFonts w:ascii="Arial" w:cs="Arial" w:eastAsia="Arial" w:hAnsi="Arial"/>
          <w:sz w:val="18"/>
          <w:szCs w:val="18"/>
          <w:color w:val="auto"/>
        </w:rPr>
      </w:pPr>
    </w:p>
    <w:p>
      <w:pPr>
        <w:ind w:right="680" w:firstLine="464"/>
        <w:spacing w:after="0" w:line="268"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Meeting appoints the directors, and determines their number and remuneration and the term of their mandate. Directors cannot be appointed for more than six (6) years and are re-eligible.</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may be removed at any time (with or without cause), by a resolution of the General Meeting.</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42" w:name="page43"/>
    <w:bookmarkEnd w:id="42"/>
    <w:p>
      <w:pPr>
        <w:ind w:left="-460" w:right="60" w:firstLine="464"/>
        <w:spacing w:after="0" w:line="259" w:lineRule="auto"/>
        <w:tabs>
          <w:tab w:leader="none" w:pos="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legal entity is appointed as director, it must appoint a permanent representative to perform its duties. The permanent representative is subject to the same rules and incurs the same liabilities as if he had exercised his functions in his own name and on his own behalf, without prejudice to the joint and several liability of the legal entity which it represents.</w:t>
      </w:r>
    </w:p>
    <w:p>
      <w:pPr>
        <w:spacing w:after="0" w:line="140" w:lineRule="exact"/>
        <w:rPr>
          <w:rFonts w:ascii="Arial" w:cs="Arial" w:eastAsia="Arial" w:hAnsi="Arial"/>
          <w:sz w:val="18"/>
          <w:szCs w:val="18"/>
          <w:color w:val="auto"/>
        </w:rPr>
      </w:pPr>
    </w:p>
    <w:p>
      <w:pPr>
        <w:ind w:left="260" w:hanging="256"/>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Should the permanent representative be unable to perform its duties, the legal entity must immediately appoint another permanent representative.</w:t>
      </w:r>
    </w:p>
    <w:p>
      <w:pPr>
        <w:spacing w:after="0" w:line="194" w:lineRule="exact"/>
        <w:rPr>
          <w:rFonts w:ascii="Arial" w:cs="Arial" w:eastAsia="Arial" w:hAnsi="Arial"/>
          <w:sz w:val="16"/>
          <w:szCs w:val="16"/>
          <w:color w:val="auto"/>
        </w:rPr>
      </w:pPr>
    </w:p>
    <w:p>
      <w:pPr>
        <w:ind w:left="-460" w:right="500" w:firstLine="464"/>
        <w:spacing w:after="0" w:line="268" w:lineRule="auto"/>
        <w:tabs>
          <w:tab w:leader="none" w:pos="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office of a director becomes vacant, the other directors, acting by a simple majority, may fill the vacancy on a provisional basis until a new director is appointed by the next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Powers of the board of directors</w:t>
      </w:r>
    </w:p>
    <w:p>
      <w:pPr>
        <w:spacing w:after="0" w:line="177" w:lineRule="exact"/>
        <w:rPr>
          <w:sz w:val="20"/>
          <w:szCs w:val="20"/>
          <w:color w:val="auto"/>
        </w:rPr>
      </w:pPr>
    </w:p>
    <w:p>
      <w:pPr>
        <w:ind w:left="-460" w:firstLine="464"/>
        <w:spacing w:after="0" w:line="268" w:lineRule="auto"/>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powers not expressly reserved to the shareholder(s) by the Law or the Articles fall within the competence of the Board, which has full power to carry out and approve all acts and operations consistent with the Company’s corporate object.</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may delegate special and limited powers to one or more agents for specific matters.</w:t>
      </w:r>
    </w:p>
    <w:p>
      <w:pPr>
        <w:spacing w:after="0" w:line="171" w:lineRule="exact"/>
        <w:rPr>
          <w:rFonts w:ascii="Arial" w:cs="Arial" w:eastAsia="Arial" w:hAnsi="Arial"/>
          <w:sz w:val="18"/>
          <w:szCs w:val="18"/>
          <w:color w:val="auto"/>
        </w:rPr>
      </w:pPr>
    </w:p>
    <w:p>
      <w:pPr>
        <w:ind w:left="-460" w:right="20" w:firstLine="464"/>
        <w:spacing w:after="0" w:line="256" w:lineRule="auto"/>
        <w:tabs>
          <w:tab w:leader="none" w:pos="3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is authorised to delegate the day-to-day management, and the power to represent the Company in this respect, to one or more directors, officers, managers or other agents, whether shareholders or not, acting either individually or jointly. If the day-to-day management is delegated to one or more directors, the Board must report to the annual General Meeting any salary, fee and/or any other advantage granted to those director(s) during the relevant financial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Procedure</w:t>
      </w:r>
    </w:p>
    <w:p>
      <w:pPr>
        <w:spacing w:after="0" w:line="177" w:lineRule="exact"/>
        <w:rPr>
          <w:sz w:val="20"/>
          <w:szCs w:val="20"/>
          <w:color w:val="auto"/>
        </w:rPr>
      </w:pPr>
    </w:p>
    <w:p>
      <w:pPr>
        <w:ind w:left="-460" w:right="60" w:firstLine="464"/>
        <w:spacing w:after="0" w:line="268" w:lineRule="auto"/>
        <w:tabs>
          <w:tab w:leader="none" w:pos="2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must appoint a chairperson from among its members, and may choose a secretary who need not be a director and who will be responsible for keeping the minutes of the meetings of the Board and of General Meetings.</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Board meets at the request of the chairperson or any director, at the place indicated in the notice, which in principle is in Luxembourg.</w:t>
      </w:r>
    </w:p>
    <w:p>
      <w:pPr>
        <w:spacing w:after="0" w:line="194" w:lineRule="exact"/>
        <w:rPr>
          <w:rFonts w:ascii="Arial" w:cs="Arial" w:eastAsia="Arial" w:hAnsi="Arial"/>
          <w:sz w:val="16"/>
          <w:szCs w:val="16"/>
          <w:color w:val="auto"/>
        </w:rPr>
      </w:pPr>
    </w:p>
    <w:p>
      <w:pPr>
        <w:ind w:left="-460" w:right="420" w:firstLine="464"/>
        <w:spacing w:after="0" w:line="268" w:lineRule="auto"/>
        <w:tabs>
          <w:tab w:leader="none" w:pos="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Written notice of any Board meeting is given to all directors at least twenty-four (24) hours in advance, except in the case of an emergency whose nature and circumstances are set forth in the notice.</w:t>
      </w:r>
    </w:p>
    <w:p>
      <w:pPr>
        <w:spacing w:after="0" w:line="131" w:lineRule="exact"/>
        <w:rPr>
          <w:rFonts w:ascii="Arial" w:cs="Arial" w:eastAsia="Arial" w:hAnsi="Arial"/>
          <w:sz w:val="18"/>
          <w:szCs w:val="18"/>
          <w:color w:val="auto"/>
        </w:rPr>
      </w:pPr>
    </w:p>
    <w:p>
      <w:pPr>
        <w:ind w:left="-460" w:right="20" w:firstLine="464"/>
        <w:spacing w:after="0" w:line="259" w:lineRule="auto"/>
        <w:tabs>
          <w:tab w:leader="none" w:pos="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notice is required if all members of the Board are present or represented and state that they know the agenda for the meeting. A director may also waive notice of a meeting, either before or after the meeting. Separate written notices are not required for meetings which are held at times and places indicated in a schedule previously adopted by the Board.</w:t>
      </w:r>
    </w:p>
    <w:p>
      <w:pPr>
        <w:spacing w:after="0" w:line="140" w:lineRule="exact"/>
        <w:rPr>
          <w:rFonts w:ascii="Arial" w:cs="Arial" w:eastAsia="Arial" w:hAnsi="Arial"/>
          <w:sz w:val="18"/>
          <w:szCs w:val="18"/>
          <w:color w:val="auto"/>
        </w:rPr>
      </w:pPr>
    </w:p>
    <w:p>
      <w:pPr>
        <w:ind w:left="260" w:hanging="256"/>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director may grant another director a power of attorney in order to be represented at any Board meeting.</w:t>
      </w:r>
    </w:p>
    <w:p>
      <w:pPr>
        <w:spacing w:after="0" w:line="157" w:lineRule="exact"/>
        <w:rPr>
          <w:rFonts w:ascii="Arial" w:cs="Arial" w:eastAsia="Arial" w:hAnsi="Arial"/>
          <w:sz w:val="18"/>
          <w:szCs w:val="18"/>
          <w:color w:val="auto"/>
        </w:rPr>
      </w:pPr>
    </w:p>
    <w:p>
      <w:pPr>
        <w:ind w:left="5220" w:hanging="112"/>
        <w:spacing w:after="0"/>
        <w:tabs>
          <w:tab w:leader="none" w:pos="52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60"/>
          </w:cols>
          <w:pgMar w:left="700" w:top="280" w:right="239" w:bottom="1440" w:gutter="0" w:footer="0" w:header="0"/>
        </w:sectPr>
      </w:pPr>
    </w:p>
    <w:bookmarkStart w:id="43" w:name="page44"/>
    <w:bookmarkEnd w:id="43"/>
    <w:p>
      <w:pPr>
        <w:jc w:val="both"/>
        <w:ind w:right="20" w:firstLine="464"/>
        <w:spacing w:after="0" w:line="256" w:lineRule="auto"/>
        <w:tabs>
          <w:tab w:leader="none" w:pos="754"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composed only by one (1) single class of directors only, the Board may only validly deliberate and act if a majority of its members are present or represented. Board Resolutions are validly adopted by a majority of the votes by the directors present or represented. The chairman has a casting vote in the event of a tie vote. Board resolutions are recorded in minutes signed by the chairperson, by all directors present or represented at the meeting, or by the secretary (if any).</w:t>
      </w:r>
    </w:p>
    <w:p>
      <w:pPr>
        <w:spacing w:after="0" w:line="143" w:lineRule="exact"/>
        <w:rPr>
          <w:rFonts w:ascii="Arial" w:cs="Arial" w:eastAsia="Arial" w:hAnsi="Arial"/>
          <w:sz w:val="18"/>
          <w:szCs w:val="18"/>
          <w:color w:val="auto"/>
        </w:rPr>
      </w:pPr>
    </w:p>
    <w:p>
      <w:pPr>
        <w:ind w:firstLine="464"/>
        <w:spacing w:after="0" w:line="255" w:lineRule="auto"/>
        <w:tabs>
          <w:tab w:leader="none" w:pos="8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composed by different classes of directors, the Board may only validly deliberate and act if a majority of its members are present or represented and at least one (1) director of each class is present or represented. Board Resolutions are validly adopted by a majority of the votes by the directors present or represented provided that any resolution shall not validly be passed unless it is approved by at least one (1) director of each class. The chairman has a casting vote in the event of a tie vote. Board resolutions are recorded in minutes signed by the chairperson, by all directors present or represented at the meeting, or by the secretary (if any).</w:t>
      </w:r>
    </w:p>
    <w:p>
      <w:pPr>
        <w:spacing w:after="0" w:line="142" w:lineRule="exact"/>
        <w:rPr>
          <w:rFonts w:ascii="Arial" w:cs="Arial" w:eastAsia="Arial" w:hAnsi="Arial"/>
          <w:sz w:val="18"/>
          <w:szCs w:val="18"/>
          <w:color w:val="auto"/>
        </w:rPr>
      </w:pPr>
    </w:p>
    <w:p>
      <w:pPr>
        <w:ind w:right="80" w:firstLine="464"/>
        <w:spacing w:after="0" w:line="259" w:lineRule="auto"/>
        <w:tabs>
          <w:tab w:leader="none" w:pos="8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director may participate in any meeting of the Board by telephone or video conference, or by any other means of communication which allows all those taking part in the meeting to identify, hear and speak to each other. Participation by such means is deemed equivalent to participation in person at a duly convened and held meeting.</w:t>
      </w:r>
    </w:p>
    <w:p>
      <w:pPr>
        <w:spacing w:after="0" w:line="134" w:lineRule="exact"/>
        <w:rPr>
          <w:rFonts w:ascii="Arial" w:cs="Arial" w:eastAsia="Arial" w:hAnsi="Arial"/>
          <w:sz w:val="18"/>
          <w:szCs w:val="18"/>
          <w:color w:val="auto"/>
        </w:rPr>
      </w:pPr>
    </w:p>
    <w:p>
      <w:pPr>
        <w:ind w:right="220" w:firstLine="464"/>
        <w:spacing w:after="0" w:line="275" w:lineRule="auto"/>
        <w:tabs>
          <w:tab w:leader="none" w:pos="7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Circular resolutions signed by all the directors (the </w:t>
      </w:r>
      <w:r>
        <w:rPr>
          <w:rFonts w:ascii="Arial" w:cs="Arial" w:eastAsia="Arial" w:hAnsi="Arial"/>
          <w:sz w:val="18"/>
          <w:szCs w:val="18"/>
          <w:b w:val="1"/>
          <w:bCs w:val="1"/>
          <w:color w:val="auto"/>
        </w:rPr>
        <w:t>Directors’ Circular Resolutions</w:t>
      </w:r>
      <w:r>
        <w:rPr>
          <w:rFonts w:ascii="Arial" w:cs="Arial" w:eastAsia="Arial" w:hAnsi="Arial"/>
          <w:sz w:val="18"/>
          <w:szCs w:val="18"/>
          <w:color w:val="auto"/>
        </w:rPr>
        <w:t>) are valid and binding as if passed at a duly convened and held Board meeting, and bear the date of the last signature.</w:t>
      </w:r>
    </w:p>
    <w:p>
      <w:pPr>
        <w:spacing w:after="0" w:line="125" w:lineRule="exact"/>
        <w:rPr>
          <w:rFonts w:ascii="Arial" w:cs="Arial" w:eastAsia="Arial" w:hAnsi="Arial"/>
          <w:sz w:val="18"/>
          <w:szCs w:val="18"/>
          <w:color w:val="auto"/>
        </w:rPr>
      </w:pPr>
    </w:p>
    <w:p>
      <w:pPr>
        <w:ind w:right="320" w:firstLine="464"/>
        <w:spacing w:after="0" w:line="256"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director who has an interest in a transaction carried out other than in the ordinary course of business which conflicts with the interests of the Company must advise the Board accordingly and have the statement recorded in the minutes of the meeting. The director concerned may not take part in the deliberations concerning that transaction. A special report on the relevant transaction is submitted to the shareholders at the next General Meeting, before any vote on the matter.</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Representation</w:t>
      </w:r>
    </w:p>
    <w:p>
      <w:pPr>
        <w:spacing w:after="0" w:line="177" w:lineRule="exact"/>
        <w:rPr>
          <w:sz w:val="20"/>
          <w:szCs w:val="20"/>
          <w:color w:val="auto"/>
        </w:rPr>
      </w:pPr>
    </w:p>
    <w:p>
      <w:pPr>
        <w:ind w:left="680" w:hanging="216"/>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the Board is composed by one (1) single class of directors, the Company is bound towards third parties in all matters by the single signature of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w:t>
      </w:r>
    </w:p>
    <w:p>
      <w:pPr>
        <w:spacing w:after="0" w:line="164" w:lineRule="exact"/>
        <w:rPr>
          <w:rFonts w:ascii="Arial" w:cs="Arial" w:eastAsia="Arial" w:hAnsi="Arial"/>
          <w:sz w:val="16"/>
          <w:szCs w:val="16"/>
          <w:color w:val="auto"/>
        </w:rPr>
      </w:pPr>
    </w:p>
    <w:p>
      <w:pPr>
        <w:ind w:right="200" w:firstLine="464"/>
        <w:spacing w:after="0" w:line="268"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 the Board is composed by different classes of directors, the Company is bound towards third parties in all matters by the the joint signatures of one (1) director of each class.</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Company is also bound towards third parties by the joint or single signature of any person to whom special signatory powers have been delegated.</w:t>
      </w:r>
    </w:p>
    <w:p>
      <w:pPr>
        <w:spacing w:after="0" w:line="321"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Art.8.</w:t>
      </w:r>
      <w:r>
        <w:rPr>
          <w:sz w:val="20"/>
          <w:szCs w:val="20"/>
          <w:color w:val="auto"/>
        </w:rPr>
        <w:tab/>
      </w:r>
      <w:r>
        <w:rPr>
          <w:rFonts w:ascii="Arial" w:cs="Arial" w:eastAsia="Arial" w:hAnsi="Arial"/>
          <w:sz w:val="18"/>
          <w:szCs w:val="18"/>
          <w:b w:val="1"/>
          <w:bCs w:val="1"/>
          <w:color w:val="auto"/>
        </w:rPr>
        <w:t>Sole director</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8.1. Where the number of shareholders is reduced to one (1), the Company may be managed by one or several director(s) until the ordinary General Meeting following the introduction of an additional shareholder. In this case, any reference in the Articles to the Board or the directors should be read as a reference to that sole director, as appropriate.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44" w:name="page45"/>
    <w:bookmarkEnd w:id="44"/>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 Transactions entered into by the Company which conflict with the interest of its sole director must be recorded in minutes. This does not apply to transactions carried out under normal circumstances in the ordinary course of business.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8.3. The Company is bound towards third parties by the signature of the sole director or by the joint or single signature of any person to whom the sole director has delegated special signatory powers.</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Art.9.</w:t>
      </w:r>
      <w:r>
        <w:rPr>
          <w:sz w:val="20"/>
          <w:szCs w:val="20"/>
          <w:color w:val="auto"/>
        </w:rPr>
        <w:tab/>
      </w:r>
      <w:r>
        <w:rPr>
          <w:rFonts w:ascii="Arial" w:cs="Arial" w:eastAsia="Arial" w:hAnsi="Arial"/>
          <w:sz w:val="18"/>
          <w:szCs w:val="18"/>
          <w:b w:val="1"/>
          <w:bCs w:val="1"/>
          <w:color w:val="auto"/>
        </w:rPr>
        <w:t>Liability of the directors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9.1. The directors may not be held personally liable by reason of their mandate for any commitment they have validly made in the name of the Company’s name, provided those commitments comply with the Articles and the Law.</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 SHAREHOLDER(S)</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Art.10.</w:t>
      </w:r>
      <w:r>
        <w:rPr>
          <w:sz w:val="20"/>
          <w:szCs w:val="20"/>
          <w:color w:val="auto"/>
        </w:rPr>
        <w:tab/>
      </w:r>
      <w:r>
        <w:rPr>
          <w:rFonts w:ascii="Arial" w:cs="Arial" w:eastAsia="Arial" w:hAnsi="Arial"/>
          <w:sz w:val="18"/>
          <w:szCs w:val="18"/>
          <w:b w:val="1"/>
          <w:bCs w:val="1"/>
          <w:color w:val="auto"/>
        </w:rPr>
        <w:t>General meetings of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Powers and voting rights</w:t>
      </w:r>
    </w:p>
    <w:p>
      <w:pPr>
        <w:spacing w:after="0" w:line="171" w:lineRule="exact"/>
        <w:rPr>
          <w:sz w:val="20"/>
          <w:szCs w:val="20"/>
          <w:color w:val="auto"/>
        </w:rPr>
      </w:pPr>
    </w:p>
    <w:p>
      <w:pPr>
        <w:ind w:right="20" w:firstLine="464"/>
        <w:spacing w:after="0" w:line="275" w:lineRule="auto"/>
        <w:tabs>
          <w:tab w:leader="none" w:pos="6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Resolutions of the shareholders are adopted at a general meeting of shareholders (the </w:t>
      </w:r>
      <w:r>
        <w:rPr>
          <w:rFonts w:ascii="Arial" w:cs="Arial" w:eastAsia="Arial" w:hAnsi="Arial"/>
          <w:sz w:val="18"/>
          <w:szCs w:val="18"/>
          <w:b w:val="1"/>
          <w:bCs w:val="1"/>
          <w:color w:val="auto"/>
        </w:rPr>
        <w:t>General Meeting</w:t>
      </w:r>
      <w:r>
        <w:rPr>
          <w:rFonts w:ascii="Arial" w:cs="Arial" w:eastAsia="Arial" w:hAnsi="Arial"/>
          <w:sz w:val="18"/>
          <w:szCs w:val="18"/>
          <w:color w:val="auto"/>
        </w:rPr>
        <w:t>). The General Meeting has full powers to adopt and ratify all acts and operations which are consistent with the company’s corporate object.</w:t>
      </w:r>
    </w:p>
    <w:p>
      <w:pPr>
        <w:spacing w:after="0" w:line="125"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share gives entitlement to one (1) vote.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Notices, quorum, majority and voting proceedings</w:t>
      </w:r>
    </w:p>
    <w:p>
      <w:pPr>
        <w:spacing w:after="0" w:line="177" w:lineRule="exact"/>
        <w:rPr>
          <w:sz w:val="20"/>
          <w:szCs w:val="20"/>
          <w:color w:val="auto"/>
        </w:rPr>
      </w:pPr>
    </w:p>
    <w:p>
      <w:pPr>
        <w:ind w:left="680" w:hanging="21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Meetings are held at the time and place specified in the notices.</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all the shareholders are present or represented and consider themselves duly convened and informed of the agenda, the General Meeting may be held without prior notice.</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shareholder may grant written power of attorney to another person (shareholder or otherwise), in order to be represented at any General Meeting.</w:t>
      </w:r>
    </w:p>
    <w:p>
      <w:pPr>
        <w:spacing w:after="0" w:line="194" w:lineRule="exact"/>
        <w:rPr>
          <w:rFonts w:ascii="Arial" w:cs="Arial" w:eastAsia="Arial" w:hAnsi="Arial"/>
          <w:sz w:val="16"/>
          <w:szCs w:val="16"/>
          <w:color w:val="auto"/>
        </w:rPr>
      </w:pPr>
    </w:p>
    <w:p>
      <w:pPr>
        <w:ind w:right="20" w:firstLine="464"/>
        <w:spacing w:after="0" w:line="259" w:lineRule="auto"/>
        <w:tabs>
          <w:tab w:leader="none" w:pos="7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shareholder may participate in any General Meeting by telephone or video conference, or by any other means of communication which allows all those taking part in the meeting to identify, hear and speak to each other. Participation by such means is deemed equivalent to participation in person at the meeting.</w:t>
      </w:r>
    </w:p>
    <w:p>
      <w:pPr>
        <w:spacing w:after="0" w:line="140" w:lineRule="exact"/>
        <w:rPr>
          <w:rFonts w:ascii="Arial" w:cs="Arial" w:eastAsia="Arial" w:hAnsi="Arial"/>
          <w:sz w:val="18"/>
          <w:szCs w:val="18"/>
          <w:color w:val="auto"/>
        </w:rPr>
      </w:pPr>
    </w:p>
    <w:p>
      <w:pPr>
        <w:ind w:firstLine="464"/>
        <w:spacing w:after="0" w:line="298"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shareholder may vote by using the forms provided to that effect by the Company. Voting forms contain the date, place and agenda of the meeting and the text of the proposed resolutions. For each resolution, the form must contain three boxes allowing for a vote for or against that resolution or an abstention. Shareholders must return the voting forms to the registered office. Only voting forms received prior to the General Meeting are taken into account for calculation of the quorum. Forms which indicate neither a voting intention nor an abstention are void.</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40"/>
          </w:cols>
          <w:pgMar w:left="240" w:top="280" w:right="319" w:bottom="1440" w:gutter="0" w:footer="0" w:header="0"/>
        </w:sectPr>
      </w:pPr>
    </w:p>
    <w:bookmarkStart w:id="45" w:name="page46"/>
    <w:bookmarkEnd w:id="45"/>
    <w:p>
      <w:pPr>
        <w:ind w:left="760" w:hanging="296"/>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Resolutions of the General Meeting are passed by a simple majority vote, regardless of the proportion of share capital represented.</w:t>
      </w:r>
    </w:p>
    <w:p>
      <w:pPr>
        <w:spacing w:after="0" w:line="171" w:lineRule="exact"/>
        <w:rPr>
          <w:rFonts w:ascii="Arial" w:cs="Arial" w:eastAsia="Arial" w:hAnsi="Arial"/>
          <w:sz w:val="18"/>
          <w:szCs w:val="18"/>
          <w:color w:val="auto"/>
        </w:rPr>
      </w:pPr>
    </w:p>
    <w:p>
      <w:pPr>
        <w:ind w:right="20" w:firstLine="464"/>
        <w:spacing w:after="0" w:line="254" w:lineRule="auto"/>
        <w:tabs>
          <w:tab w:leader="none" w:pos="8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An Extraordinary General Meeting may only amend the Articles if at least onehalf of the share capital is represented and the agenda indicates the proposed amendments to the Articles, including the text of any proposed amendment to the Company’s object or form. If this quorum is not reached, a second General Meeting may be convened by means of notices published twice in the </w:t>
      </w:r>
      <w:r>
        <w:rPr>
          <w:rFonts w:ascii="Arial" w:cs="Arial" w:eastAsia="Arial" w:hAnsi="Arial"/>
          <w:sz w:val="18"/>
          <w:szCs w:val="18"/>
          <w:i w:val="1"/>
          <w:iCs w:val="1"/>
          <w:color w:val="auto"/>
        </w:rPr>
        <w:t>Mémorial</w:t>
      </w:r>
      <w:r>
        <w:rPr>
          <w:rFonts w:ascii="Arial" w:cs="Arial" w:eastAsia="Arial" w:hAnsi="Arial"/>
          <w:sz w:val="18"/>
          <w:szCs w:val="18"/>
          <w:color w:val="auto"/>
        </w:rPr>
        <w:t xml:space="preserve"> and two Luxembourg newspapers, at an interval of at fifteen (15) days and fifteen (15) days before the meeting. These notices state the date and agenda of the General Meeting and the results of the previous General Meeting. The second General Meeting deliberates validly regardless of the proportion of capital represented. At both General Meetings, resolutions must be adopted by at least two-thirds of the votes cast.</w:t>
      </w:r>
    </w:p>
    <w:p>
      <w:pPr>
        <w:spacing w:after="0" w:line="144" w:lineRule="exact"/>
        <w:rPr>
          <w:rFonts w:ascii="Arial" w:cs="Arial" w:eastAsia="Arial" w:hAnsi="Arial"/>
          <w:sz w:val="18"/>
          <w:szCs w:val="18"/>
          <w:color w:val="auto"/>
        </w:rPr>
      </w:pPr>
    </w:p>
    <w:p>
      <w:pPr>
        <w:ind w:firstLine="464"/>
        <w:spacing w:after="0" w:line="268" w:lineRule="auto"/>
        <w:tabs>
          <w:tab w:leader="none" w:pos="8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 in the nationality of the Company and any increase in a shareholder’s commitment in the Company require the unanimous consent of the shareholders and bondholders (if any).</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Art.11.</w:t>
      </w:r>
      <w:r>
        <w:rPr>
          <w:sz w:val="20"/>
          <w:szCs w:val="20"/>
          <w:color w:val="auto"/>
        </w:rPr>
        <w:tab/>
      </w:r>
      <w:r>
        <w:rPr>
          <w:rFonts w:ascii="Arial" w:cs="Arial" w:eastAsia="Arial" w:hAnsi="Arial"/>
          <w:sz w:val="18"/>
          <w:szCs w:val="18"/>
          <w:b w:val="1"/>
          <w:bCs w:val="1"/>
          <w:color w:val="auto"/>
        </w:rPr>
        <w:t>Sole shareholder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11.1. When the number of shareholders is reduced to one (1), the sole shareholder exercises all powers granted by the Law to the General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Any reference to the General Meeting in the Articles is to be read as a reference to the sole shareholder, as appropriate.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The resolutions of the sole shareholder are recorded in minutes.</w:t>
      </w:r>
    </w:p>
    <w:p>
      <w:pPr>
        <w:spacing w:after="0" w:line="3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V. ANNUAL ACCOUNTS – ALLOCATION OF PROFITS – SUPERVISION</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Art.12.</w:t>
      </w:r>
      <w:r>
        <w:rPr>
          <w:sz w:val="20"/>
          <w:szCs w:val="20"/>
          <w:color w:val="auto"/>
        </w:rPr>
        <w:tab/>
      </w:r>
      <w:r>
        <w:rPr>
          <w:rFonts w:ascii="Arial" w:cs="Arial" w:eastAsia="Arial" w:hAnsi="Arial"/>
          <w:sz w:val="18"/>
          <w:szCs w:val="18"/>
          <w:b w:val="1"/>
          <w:bCs w:val="1"/>
          <w:color w:val="auto"/>
        </w:rPr>
        <w:t>Financial year and approval of annual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The financial year begins on 1 January and ends on 31 December of each year.</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12.2. The Board prepares the balance sheet and profit and loss account annually, together with as an inventory stating the value of the Company’s assets and liabilities, with an annex summarising its commitments and the debts owed by its officers, directors and statutory auditors to the Company.</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12.3. One month before the Annual General Meeting, the Board provides the statutory auditors with a report on and documentary evidence of the Company’s operations. The statutory auditors then prepare a report stating their findings and proposals.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12.4. The annual General Meeting is held at the registered office or in any other place within the municipality of the registered office, as specified in the notice, on the second Monday of May of each year at 10.00 a.m. If such day is a legal or a bank holiday in Luxembourg, the annual general meeting shall be held on the next following business day in Luxembourg.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80" w:right="29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 The annual General Meeting may be held abroad if, in the Board’s, absolute and final judgement, exceptional circumstances so require.</w:t>
      </w:r>
    </w:p>
    <w:p>
      <w:pPr>
        <w:spacing w:after="0" w:line="310"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Art.13.</w:t>
      </w:r>
      <w:r>
        <w:rPr>
          <w:sz w:val="20"/>
          <w:szCs w:val="20"/>
          <w:color w:val="auto"/>
        </w:rPr>
        <w:tab/>
      </w:r>
      <w:r>
        <w:rPr>
          <w:rFonts w:ascii="Arial" w:cs="Arial" w:eastAsia="Arial" w:hAnsi="Arial"/>
          <w:sz w:val="18"/>
          <w:szCs w:val="18"/>
          <w:b w:val="1"/>
          <w:bCs w:val="1"/>
          <w:color w:val="auto"/>
        </w:rPr>
        <w:t>Auditors / External auditors (</w:t>
      </w:r>
      <w:r>
        <w:rPr>
          <w:rFonts w:ascii="Arial" w:cs="Arial" w:eastAsia="Arial" w:hAnsi="Arial"/>
          <w:sz w:val="18"/>
          <w:szCs w:val="18"/>
          <w:b w:val="1"/>
          <w:bCs w:val="1"/>
          <w:i w:val="1"/>
          <w:iCs w:val="1"/>
          <w:color w:val="auto"/>
        </w:rPr>
        <w:t>réviseurs d’entreprises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13.1. The Company’s operations are supervised by one or more statutory auditors (</w:t>
      </w:r>
      <w:r>
        <w:rPr>
          <w:rFonts w:ascii="Arial" w:cs="Arial" w:eastAsia="Arial" w:hAnsi="Arial"/>
          <w:sz w:val="18"/>
          <w:szCs w:val="18"/>
          <w:i w:val="1"/>
          <w:iCs w:val="1"/>
          <w:color w:val="auto"/>
        </w:rPr>
        <w:t>commissaires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13.2. When so required by law, the Company’s operations are supervised by one or more approved external auditors (</w:t>
      </w:r>
      <w:r>
        <w:rPr>
          <w:rFonts w:ascii="Arial" w:cs="Arial" w:eastAsia="Arial" w:hAnsi="Arial"/>
          <w:sz w:val="16"/>
          <w:szCs w:val="16"/>
          <w:i w:val="1"/>
          <w:iCs w:val="1"/>
          <w:color w:val="auto"/>
        </w:rPr>
        <w:t>réviseurs d’entreprises agréés</w:t>
      </w:r>
      <w:r>
        <w:rPr>
          <w:rFonts w:ascii="Arial" w:cs="Arial" w:eastAsia="Arial" w:hAnsi="Arial"/>
          <w:sz w:val="16"/>
          <w:szCs w:val="16"/>
          <w:color w:val="auto"/>
        </w:rPr>
        <w:t>).</w:t>
      </w:r>
    </w:p>
    <w:p>
      <w:pPr>
        <w:spacing w:after="0" w:line="19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13.3. The General Meeting appoints the statutory auditors (</w:t>
      </w:r>
      <w:r>
        <w:rPr>
          <w:rFonts w:ascii="Arial" w:cs="Arial" w:eastAsia="Arial" w:hAnsi="Arial"/>
          <w:sz w:val="16"/>
          <w:szCs w:val="16"/>
          <w:i w:val="1"/>
          <w:iCs w:val="1"/>
          <w:color w:val="auto"/>
        </w:rPr>
        <w:t>commissaires</w:t>
      </w:r>
      <w:r>
        <w:rPr>
          <w:rFonts w:ascii="Arial" w:cs="Arial" w:eastAsia="Arial" w:hAnsi="Arial"/>
          <w:sz w:val="16"/>
          <w:szCs w:val="16"/>
          <w:color w:val="auto"/>
        </w:rPr>
        <w:t>) / approved external auditors (</w:t>
      </w:r>
      <w:r>
        <w:rPr>
          <w:rFonts w:ascii="Arial" w:cs="Arial" w:eastAsia="Arial" w:hAnsi="Arial"/>
          <w:sz w:val="16"/>
          <w:szCs w:val="16"/>
          <w:i w:val="1"/>
          <w:iCs w:val="1"/>
          <w:color w:val="auto"/>
        </w:rPr>
        <w:t>réviseurs d’entreprises agréés</w:t>
      </w:r>
      <w:r>
        <w:rPr>
          <w:rFonts w:ascii="Arial" w:cs="Arial" w:eastAsia="Arial" w:hAnsi="Arial"/>
          <w:sz w:val="16"/>
          <w:szCs w:val="16"/>
          <w:color w:val="auto"/>
        </w:rPr>
        <w:t>), and determines their number and remuneration and the term of their mandate, which may not exceed six (6) years but may be renewed.</w:t>
      </w:r>
    </w:p>
    <w:p>
      <w:pPr>
        <w:spacing w:after="0" w:line="201"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Art.14.</w:t>
      </w:r>
      <w:r>
        <w:rPr>
          <w:sz w:val="20"/>
          <w:szCs w:val="20"/>
          <w:color w:val="auto"/>
        </w:rPr>
        <w:tab/>
      </w:r>
      <w:r>
        <w:rPr>
          <w:rFonts w:ascii="Arial" w:cs="Arial" w:eastAsia="Arial" w:hAnsi="Arial"/>
          <w:sz w:val="18"/>
          <w:szCs w:val="18"/>
          <w:b w:val="1"/>
          <w:bCs w:val="1"/>
          <w:color w:val="auto"/>
        </w:rPr>
        <w:t>Allocation of profits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14.1. Five per cent (5%) of the Company’s annual net profits are allocated to the reserve required by law. This requirement ceases when the legal reserve reaches an amount equal to ten per cent (10%) of the share capital.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14.2. The General Meeting determines the allocation of the balance of the annual net profits. They may decide on the payment of a dividend, to transfer the balance to a reserve account, or to carry it forward in accordance with the applicable legal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Interim dividends may be distributed at any time, under the following conditions:</w:t>
      </w:r>
    </w:p>
    <w:p>
      <w:pPr>
        <w:spacing w:after="0" w:line="171" w:lineRule="exact"/>
        <w:rPr>
          <w:sz w:val="20"/>
          <w:szCs w:val="20"/>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draws up interim accounts;</w:t>
      </w:r>
    </w:p>
    <w:p>
      <w:pPr>
        <w:spacing w:after="0" w:line="171" w:lineRule="exact"/>
        <w:rPr>
          <w:rFonts w:ascii="Arial" w:cs="Arial" w:eastAsia="Arial" w:hAnsi="Arial"/>
          <w:sz w:val="18"/>
          <w:szCs w:val="18"/>
          <w:color w:val="auto"/>
        </w:rPr>
      </w:pPr>
    </w:p>
    <w:p>
      <w:pPr>
        <w:jc w:val="both"/>
        <w:ind w:right="100" w:firstLine="464"/>
        <w:spacing w:after="0" w:line="335" w:lineRule="auto"/>
        <w:tabs>
          <w:tab w:leader="none" w:pos="715"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interim accounts show that sufficient profits and other reserves (including share premiums) are available for distribution; it being understood that the amount to be distributed may not exceed the profits made since the end of the last financial year for which the annual accounts have been approved, if any, increased by profits carried forward and distributable reserves, and reduced by losses carried forward and sums to be allocated to the legal or a statutory reserve;</w:t>
      </w:r>
    </w:p>
    <w:p>
      <w:pPr>
        <w:spacing w:after="0" w:line="88" w:lineRule="exact"/>
        <w:rPr>
          <w:rFonts w:ascii="Arial" w:cs="Arial" w:eastAsia="Arial" w:hAnsi="Arial"/>
          <w:sz w:val="15"/>
          <w:szCs w:val="15"/>
          <w:color w:val="auto"/>
        </w:rPr>
      </w:pPr>
    </w:p>
    <w:p>
      <w:pPr>
        <w:ind w:left="780" w:hanging="31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decision to distribute interim dividends is made by the Board within two (2) months from the date of the interim accounts.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their report to the Board, the statutory auditors (</w:t>
      </w:r>
      <w:r>
        <w:rPr>
          <w:rFonts w:ascii="Arial" w:cs="Arial" w:eastAsia="Arial" w:hAnsi="Arial"/>
          <w:sz w:val="18"/>
          <w:szCs w:val="18"/>
          <w:i w:val="1"/>
          <w:iCs w:val="1"/>
          <w:color w:val="auto"/>
        </w:rPr>
        <w:t>commissaires</w:t>
      </w:r>
      <w:r>
        <w:rPr>
          <w:rFonts w:ascii="Arial" w:cs="Arial" w:eastAsia="Arial" w:hAnsi="Arial"/>
          <w:sz w:val="18"/>
          <w:szCs w:val="18"/>
          <w:color w:val="auto"/>
        </w:rPr>
        <w:t>) or the approved external auditors (</w:t>
      </w:r>
      <w:r>
        <w:rPr>
          <w:rFonts w:ascii="Arial" w:cs="Arial" w:eastAsia="Arial" w:hAnsi="Arial"/>
          <w:sz w:val="18"/>
          <w:szCs w:val="18"/>
          <w:i w:val="1"/>
          <w:iCs w:val="1"/>
          <w:color w:val="auto"/>
        </w:rPr>
        <w:t>réviseurs d’entreprises agréés</w:t>
      </w:r>
      <w:r>
        <w:rPr>
          <w:rFonts w:ascii="Arial" w:cs="Arial" w:eastAsia="Arial" w:hAnsi="Arial"/>
          <w:sz w:val="18"/>
          <w:szCs w:val="18"/>
          <w:color w:val="auto"/>
        </w:rPr>
        <w:t>), as applicable, must verify whether the above conditions have been satisfied.</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 DISSOLUTION – LIQUIDATION</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15.1. The Company may be dissolved at any time by a resolution of the General Meeting, acting in accordance with the conditions prescribed for the amendment of the Articles. The General Meeting appoints one or more liquidators, who need not be shareholders, to carry out the liquidation, and determines their number, powers and remuneration. Unless otherwise decided by the General Meeting, the liquidators have full powers to realise the Company’s assets and pay its liabilities.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80" w:right="279" w:bottom="1440" w:gutter="0" w:footer="0" w:header="0"/>
        </w:sectPr>
      </w:pPr>
    </w:p>
    <w:bookmarkStart w:id="47" w:name="page48"/>
    <w:bookmarkEnd w:id="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15.2. The surplus after realisation of the assets and payment of the liabilities is distributed to the shareholders in proportion to the shares held by each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VII. GENERAL PROVISION</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16.1. Notices and communications may be made or waived and circular resolutions may be evidenced in writing, fax, email or any other means of electronic communication.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16.2. Powers of attorney are granted by any of the means described above. Powers of attorney in connection with Board meetings may also be granted by a director, in accordance with such conditions as may be accepted by the Board.</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16.3. Signatures may be in handwritten or electronic form, provided they fulfil all legal requirements for being deemed equivalent to handwritten signatures. Signatures of circular resolutions or resolutions adopted by telephone or video conference are affixed to one original or several counterparts of the same document, all of which taken together constitute one and the same document.</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16.4. All matters not expressly governed by these Articles shall be determined in accordance with the applicable law and, subject to any non-waivable provisions of the law, with any agreement entered into by the shareholders from time to time.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SUIT LA TRADUCTION FRANCAISE DU TEXTE QUI PRECEDE: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 DENOMINATION – SIEGE SOCIAL – OBJET – DUREE</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w:t>
      </w:r>
      <w:r>
        <w:rPr>
          <w:sz w:val="20"/>
          <w:szCs w:val="20"/>
          <w:color w:val="auto"/>
        </w:rPr>
        <w:tab/>
      </w:r>
      <w:r>
        <w:rPr>
          <w:rFonts w:ascii="Arial" w:cs="Arial" w:eastAsia="Arial" w:hAnsi="Arial"/>
          <w:sz w:val="18"/>
          <w:szCs w:val="18"/>
          <w:b w:val="1"/>
          <w:bCs w:val="1"/>
          <w:color w:val="auto"/>
        </w:rPr>
        <w:t>Dénomination</w:t>
      </w:r>
    </w:p>
    <w:p>
      <w:pPr>
        <w:spacing w:after="0" w:line="90" w:lineRule="exact"/>
        <w:rPr>
          <w:sz w:val="20"/>
          <w:szCs w:val="20"/>
          <w:color w:val="auto"/>
        </w:rPr>
      </w:pPr>
    </w:p>
    <w:p>
      <w:pPr>
        <w:ind w:right="40" w:firstLine="456"/>
        <w:spacing w:after="0" w:line="378" w:lineRule="auto"/>
        <w:rPr>
          <w:sz w:val="20"/>
          <w:szCs w:val="20"/>
          <w:color w:val="auto"/>
        </w:rPr>
      </w:pPr>
      <w:r>
        <w:rPr>
          <w:rFonts w:ascii="Arial" w:cs="Arial" w:eastAsia="Arial" w:hAnsi="Arial"/>
          <w:sz w:val="15"/>
          <w:szCs w:val="15"/>
          <w:color w:val="auto"/>
        </w:rPr>
        <w:t>Le nom de la société est “</w:t>
      </w:r>
      <w:r>
        <w:rPr>
          <w:rFonts w:ascii="Arial" w:cs="Arial" w:eastAsia="Arial" w:hAnsi="Arial"/>
          <w:sz w:val="15"/>
          <w:szCs w:val="15"/>
          <w:b w:val="1"/>
          <w:bCs w:val="1"/>
          <w:color w:val="auto"/>
        </w:rPr>
        <w:t>Schlumberger Investment SA</w:t>
      </w:r>
      <w:r>
        <w:rPr>
          <w:rFonts w:ascii="Arial" w:cs="Arial" w:eastAsia="Arial" w:hAnsi="Arial"/>
          <w:sz w:val="15"/>
          <w:szCs w:val="15"/>
          <w:color w:val="auto"/>
        </w:rPr>
        <w:t xml:space="preserve">” (la </w:t>
      </w:r>
      <w:r>
        <w:rPr>
          <w:rFonts w:ascii="Arial" w:cs="Arial" w:eastAsia="Arial" w:hAnsi="Arial"/>
          <w:sz w:val="15"/>
          <w:szCs w:val="15"/>
          <w:b w:val="1"/>
          <w:bCs w:val="1"/>
          <w:color w:val="auto"/>
        </w:rPr>
        <w:t>Société</w:t>
      </w:r>
      <w:r>
        <w:rPr>
          <w:rFonts w:ascii="Arial" w:cs="Arial" w:eastAsia="Arial" w:hAnsi="Arial"/>
          <w:sz w:val="15"/>
          <w:szCs w:val="15"/>
          <w:color w:val="auto"/>
        </w:rPr>
        <w:t xml:space="preserve">). La Société est une société anonyme régie par les lois du Grand-Duché de Luxembourg, et en particulier par la loi du 10 août 1915 sur les sociétés commerciales, telle que modifiée (la </w:t>
      </w:r>
      <w:r>
        <w:rPr>
          <w:rFonts w:ascii="Arial" w:cs="Arial" w:eastAsia="Arial" w:hAnsi="Arial"/>
          <w:sz w:val="15"/>
          <w:szCs w:val="15"/>
          <w:b w:val="1"/>
          <w:bCs w:val="1"/>
          <w:color w:val="auto"/>
        </w:rPr>
        <w:t>Loi</w:t>
      </w:r>
      <w:r>
        <w:rPr>
          <w:rFonts w:ascii="Arial" w:cs="Arial" w:eastAsia="Arial" w:hAnsi="Arial"/>
          <w:sz w:val="15"/>
          <w:szCs w:val="15"/>
          <w:color w:val="auto"/>
        </w:rPr>
        <w:t xml:space="preserve">), ainsi que par les présents statuts (les </w:t>
      </w:r>
      <w:r>
        <w:rPr>
          <w:rFonts w:ascii="Arial" w:cs="Arial" w:eastAsia="Arial" w:hAnsi="Arial"/>
          <w:sz w:val="15"/>
          <w:szCs w:val="15"/>
          <w:b w:val="1"/>
          <w:bCs w:val="1"/>
          <w:color w:val="auto"/>
        </w:rPr>
        <w:t>Statuts</w:t>
      </w:r>
      <w:r>
        <w:rPr>
          <w:rFonts w:ascii="Arial" w:cs="Arial" w:eastAsia="Arial" w:hAnsi="Arial"/>
          <w:sz w:val="15"/>
          <w:szCs w:val="15"/>
          <w:color w:val="auto"/>
        </w:rPr>
        <w:t>).</w:t>
      </w:r>
    </w:p>
    <w:p>
      <w:pPr>
        <w:spacing w:after="0" w:line="17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Art.2.</w:t>
      </w:r>
      <w:r>
        <w:rPr>
          <w:sz w:val="20"/>
          <w:szCs w:val="20"/>
          <w:color w:val="auto"/>
        </w:rPr>
        <w:tab/>
      </w:r>
      <w:r>
        <w:rPr>
          <w:rFonts w:ascii="Arial" w:cs="Arial" w:eastAsia="Arial" w:hAnsi="Arial"/>
          <w:sz w:val="18"/>
          <w:szCs w:val="18"/>
          <w:b w:val="1"/>
          <w:bCs w:val="1"/>
          <w:color w:val="auto"/>
        </w:rPr>
        <w:t>Siège social</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2.1. Le siège social de la Société est établi à Luxembourg, Grand-Duché de Luxembourg. Il peut être transféré dans cette même commune par décision du conseil d’administration (le </w:t>
      </w:r>
      <w:r>
        <w:rPr>
          <w:rFonts w:ascii="Arial" w:cs="Arial" w:eastAsia="Arial" w:hAnsi="Arial"/>
          <w:sz w:val="16"/>
          <w:szCs w:val="16"/>
          <w:b w:val="1"/>
          <w:bCs w:val="1"/>
          <w:color w:val="auto"/>
        </w:rPr>
        <w:t>Conseil</w:t>
      </w:r>
      <w:r>
        <w:rPr>
          <w:rFonts w:ascii="Arial" w:cs="Arial" w:eastAsia="Arial" w:hAnsi="Arial"/>
          <w:sz w:val="16"/>
          <w:szCs w:val="16"/>
          <w:color w:val="auto"/>
        </w:rPr>
        <w:t>). Le siège social peut être transféré en tout autre endroit du Grand-Duché de Luxembourg par une résolution de l’assemblée générale des actionnaires (l’</w:t>
      </w:r>
      <w:r>
        <w:rPr>
          <w:rFonts w:ascii="Arial" w:cs="Arial" w:eastAsia="Arial" w:hAnsi="Arial"/>
          <w:sz w:val="16"/>
          <w:szCs w:val="16"/>
          <w:b w:val="1"/>
          <w:bCs w:val="1"/>
          <w:color w:val="auto"/>
        </w:rPr>
        <w:t>Assemblée Générale</w:t>
      </w:r>
      <w:r>
        <w:rPr>
          <w:rFonts w:ascii="Arial" w:cs="Arial" w:eastAsia="Arial" w:hAnsi="Arial"/>
          <w:sz w:val="16"/>
          <w:szCs w:val="16"/>
          <w:color w:val="auto"/>
        </w:rPr>
        <w:t>), selon les modalités requises pour la modification des Statuts.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2.2. Il peut être créé des succursales, filiales ou autres bureaux tant au Grand-Duché de Luxembourg qu’à l’étranger par décision du Conseil. Lorsque le Conseil estime que des développements ou événements extraordinaires d’ordre politique ou militaire se sont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280" w:right="299" w:bottom="1440" w:gutter="0" w:footer="0" w:header="0"/>
        </w:sectPr>
      </w:pPr>
    </w:p>
    <w:bookmarkStart w:id="48" w:name="page49"/>
    <w:bookmarkEnd w:id="4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produits ou sont imminents, et que ces développements ou évènements sont de nature à compromettre les activités normales de la Société à son siège social, ou la communication aisée entre le siège social et l’étranger, le siège social peut être transféré provisoirement à l’étranger, jusqu’à cessation complète de ces circonstances. Ces mesures provisoires n’ont aucun effet sur la nationalité de la Société qui, nonobstant le transfert provisoire de son siège social, reste une société luxembourgeoise.</w:t>
      </w:r>
    </w:p>
    <w:p>
      <w:pPr>
        <w:spacing w:after="0" w:line="25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Art.3.</w:t>
      </w:r>
      <w:r>
        <w:rPr>
          <w:sz w:val="20"/>
          <w:szCs w:val="20"/>
          <w:color w:val="auto"/>
        </w:rPr>
        <w:tab/>
      </w:r>
      <w:r>
        <w:rPr>
          <w:rFonts w:ascii="Arial" w:cs="Arial" w:eastAsia="Arial" w:hAnsi="Arial"/>
          <w:sz w:val="18"/>
          <w:szCs w:val="18"/>
          <w:b w:val="1"/>
          <w:bCs w:val="1"/>
          <w:color w:val="auto"/>
        </w:rPr>
        <w:t>Objet social</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3.1. L’objet de la Société est la prise de participations, tant au Luxembourg qu’à l’étranger, dans toutes sociétés ou entreprises sous quelque forme que ce soit, et la gestion de ces participations. La Société peut notamment acquérir par souscription, achat et échange ou de toute autre manière tous titres, actions et autres valeurs de participation, obligations, créances, certificats de dépôt et autres instruments de dette, et plus généralement, toutes valeurs et instruments financiers émis par toute entité publique ou privée. Elle peut participer à la création, au développement, à la gestion et au contrôle de toute société ou entreprise. Elle peut en outre investir dans l’acquisition et la gestion d’un portefeuille de brevets ou d’autres droits de propriété intellectuelle de quelque nature ou origine que ce soit.</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3.2. La Société peut emprunter sous quelque forme que ce soit. Elle peut procéder à l’émission de billets à ordre, d’obligations et de titres et instruments de toute autre nature. La Société peut prêter des fonds, y compris notamment, les revenus de tous emprunts, à ses filiales, sociétés affiliées ainsi qu’à toutes autres sociétés. La Société peut également consentir des garanties et nantir, céder, grever de charges ou autrement créer et accorder des sûretés sur toute ou partie de ses actifs afin de garantir ses propres obligations et celles de toute autre société et, de manière générale, en sa faveur et en faveur de toute autre société ou personne.</w:t>
      </w:r>
    </w:p>
    <w:p>
      <w:pPr>
        <w:spacing w:after="0" w:line="9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3.3. La Société peut fournir des services de conseil et de gestion sur, entre autres, des investissements, des portefeuilles d’investissements, les activités de couvertures et/ou de gestion des devises au profit d’entités apparantées et de leurs fonds d’épargne salariale.</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3.4. La Société peut employer toutes les techniques et instruments nécessaires à une gestion efficace de ses investissements et à sa protection contre les risques de crédit, les fluctuations monétaires, les fluctuations de taux d’intérêt et autres risques.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3.5. La Société peut effectuer toutes les opérations commerciales, financières ou industrielles et toutes les transactions concernant des biens immobiliers ou mobiliers qui, directement ou indirectement, favorisent ou se rapportent à son objet social.</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Art.4.</w:t>
      </w:r>
      <w:r>
        <w:rPr>
          <w:sz w:val="20"/>
          <w:szCs w:val="20"/>
          <w:color w:val="auto"/>
        </w:rPr>
        <w:tab/>
      </w:r>
      <w:r>
        <w:rPr>
          <w:rFonts w:ascii="Arial" w:cs="Arial" w:eastAsia="Arial" w:hAnsi="Arial"/>
          <w:sz w:val="18"/>
          <w:szCs w:val="18"/>
          <w:b w:val="1"/>
          <w:bCs w:val="1"/>
          <w:color w:val="auto"/>
        </w:rPr>
        <w:t>Durée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La Société est constituée pour une durée indéterminée.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80" w:right="279" w:bottom="1440" w:gutter="0" w:footer="0" w:header="0"/>
        </w:sectPr>
      </w:pPr>
    </w:p>
    <w:bookmarkStart w:id="49" w:name="page50"/>
    <w:bookmarkEnd w:id="49"/>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La Société n’est pas dissoute en raison de la mort, de la suspension des droits civils, de l’incapacité, de l’insolvabilité, de la faillite ou de tout autre évènement similaire affectant un ou plusieurs actionnaires.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 CAPITAL – ACTIONS</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Art.5.</w:t>
      </w:r>
      <w:r>
        <w:rPr>
          <w:sz w:val="20"/>
          <w:szCs w:val="20"/>
          <w:color w:val="auto"/>
        </w:rPr>
        <w:tab/>
      </w:r>
      <w:r>
        <w:rPr>
          <w:rFonts w:ascii="Arial" w:cs="Arial" w:eastAsia="Arial" w:hAnsi="Arial"/>
          <w:sz w:val="18"/>
          <w:szCs w:val="18"/>
          <w:b w:val="1"/>
          <w:bCs w:val="1"/>
          <w:color w:val="auto"/>
        </w:rPr>
        <w:t>Capital</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5.1. Le capital social est fixé à cent mille US Dollars (USD 100.000), représenté par cent mille (1000) actions sous forme nominative, ayant une valeur nominale de cent US Dollars (USD 100.-) chacune.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5.2. Le capital social peut être augmenté ou réduit à une ou plusieurs reprises par une résolution de l’Assemblée Générale, adoptée selon les modalités requises pour la modification des Statuts.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Le Conseil est autorisé, pendant une période de cinq (5) ans à compter de la date de publication de l’acte constitutif, à:</w:t>
      </w:r>
    </w:p>
    <w:p>
      <w:pPr>
        <w:spacing w:after="0" w:line="171" w:lineRule="exact"/>
        <w:rPr>
          <w:sz w:val="20"/>
          <w:szCs w:val="20"/>
          <w:color w:val="auto"/>
        </w:rPr>
      </w:pPr>
    </w:p>
    <w:p>
      <w:pPr>
        <w:ind w:right="180" w:firstLine="464"/>
        <w:spacing w:after="0" w:line="259" w:lineRule="auto"/>
        <w:tabs>
          <w:tab w:leader="none" w:pos="6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augmenter le capital social existant en une ou plusieurs fois, à hauteur de trois millions de US Dollars (USD 3.000.000.-), par l’émission de vingt-neuf mille cinq cent cinquante (29.550) nouvelles actions, ayant une valeur nominale de cent US Dollars (USD 100.-), ayant les mêmes droits que les actions existantes;</w:t>
      </w:r>
    </w:p>
    <w:p>
      <w:pPr>
        <w:spacing w:after="0" w:line="140" w:lineRule="exact"/>
        <w:rPr>
          <w:rFonts w:ascii="Arial" w:cs="Arial" w:eastAsia="Arial" w:hAnsi="Arial"/>
          <w:sz w:val="18"/>
          <w:szCs w:val="18"/>
          <w:color w:val="auto"/>
        </w:rPr>
      </w:pPr>
    </w:p>
    <w:p>
      <w:pPr>
        <w:ind w:firstLine="464"/>
        <w:spacing w:after="0" w:line="268" w:lineRule="auto"/>
        <w:tabs>
          <w:tab w:leader="none" w:pos="7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limiter ou supprimer les droits de souscription préférentiels des actionnaires aux nouvelles actions et déterminer les personnes autorisées à souscrire aux nouvelles actions; et</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faire constater chaque augmentation de capital social par acte notarié et modifier le registre des actions en conséquence.</w:t>
      </w:r>
    </w:p>
    <w:p>
      <w:pPr>
        <w:spacing w:after="0" w:line="28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Art.6.</w:t>
      </w:r>
      <w:r>
        <w:rPr>
          <w:sz w:val="20"/>
          <w:szCs w:val="20"/>
          <w:color w:val="auto"/>
        </w:rPr>
        <w:tab/>
      </w:r>
      <w:r>
        <w:rPr>
          <w:rFonts w:ascii="Arial" w:cs="Arial" w:eastAsia="Arial" w:hAnsi="Arial"/>
          <w:sz w:val="18"/>
          <w:szCs w:val="18"/>
          <w:b w:val="1"/>
          <w:bCs w:val="1"/>
          <w:color w:val="auto"/>
        </w:rPr>
        <w:t>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Les actions sont et resteront sous forme nominative.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 Un registre des actions est tenu au siège social et peut être consulté à la demande de chaque actionnaire.</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6.3. Une cession d’action(s) s’opère par la mention sur le registre des actions, d’une déclaration de transfert, valablement datée et signée par le cédant et le cessionnaire ou par leurs mandataires et suivant une notification à, ou une acceptation par, la Société, conformément à l’article 1690 du Code Civil. La Société peut également accepter comme preuve du transfert d’actions, d’autres documents établissant l’accord du cédant et du cessionnaire.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 Les actions sont indivisibles et la Société ne reconnaît qu’un (1) seul propriétaire par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La Société peut racheter ses propres actions dans les limites prévues par la Loi.</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 GESTION – REPRESENTATION</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Art.7.</w:t>
      </w:r>
      <w:r>
        <w:rPr>
          <w:sz w:val="20"/>
          <w:szCs w:val="20"/>
          <w:color w:val="auto"/>
        </w:rPr>
        <w:tab/>
      </w:r>
      <w:r>
        <w:rPr>
          <w:rFonts w:ascii="Arial" w:cs="Arial" w:eastAsia="Arial" w:hAnsi="Arial"/>
          <w:sz w:val="18"/>
          <w:szCs w:val="18"/>
          <w:b w:val="1"/>
          <w:bCs w:val="1"/>
          <w:color w:val="auto"/>
        </w:rPr>
        <w:t>Conseil d’administration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Composition du conseil d’administration</w:t>
      </w:r>
    </w:p>
    <w:p>
      <w:pPr>
        <w:spacing w:after="0" w:line="171" w:lineRule="exact"/>
        <w:rPr>
          <w:sz w:val="20"/>
          <w:szCs w:val="20"/>
          <w:color w:val="auto"/>
        </w:rPr>
      </w:pPr>
    </w:p>
    <w:p>
      <w:pPr>
        <w:ind w:right="620" w:firstLine="464"/>
        <w:spacing w:after="0" w:line="339" w:lineRule="auto"/>
        <w:tabs>
          <w:tab w:leader="none" w:pos="666"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La Société est gérée par un conseil d’administration (le </w:t>
      </w:r>
      <w:r>
        <w:rPr>
          <w:rFonts w:ascii="Arial" w:cs="Arial" w:eastAsia="Arial" w:hAnsi="Arial"/>
          <w:sz w:val="16"/>
          <w:szCs w:val="16"/>
          <w:b w:val="1"/>
          <w:bCs w:val="1"/>
          <w:color w:val="auto"/>
        </w:rPr>
        <w:t>Conseil</w:t>
      </w:r>
      <w:r>
        <w:rPr>
          <w:rFonts w:ascii="Arial" w:cs="Arial" w:eastAsia="Arial" w:hAnsi="Arial"/>
          <w:sz w:val="16"/>
          <w:szCs w:val="16"/>
          <w:color w:val="auto"/>
        </w:rPr>
        <w:t>) composé d’au moins trois (3) membres ou moins si le présent article 8 trouve à s’appliquer, qui ne doivent pas nécessairement être actionnaires. Le Conseil peut être composé d’administrateurs de différentes classes.</w:t>
      </w:r>
    </w:p>
    <w:p>
      <w:pPr>
        <w:spacing w:after="0" w:line="80" w:lineRule="exact"/>
        <w:rPr>
          <w:rFonts w:ascii="Arial" w:cs="Arial" w:eastAsia="Arial" w:hAnsi="Arial"/>
          <w:sz w:val="16"/>
          <w:szCs w:val="16"/>
          <w:color w:val="auto"/>
        </w:rPr>
      </w:pPr>
    </w:p>
    <w:p>
      <w:pPr>
        <w:ind w:right="160" w:firstLine="464"/>
        <w:spacing w:after="0" w:line="268" w:lineRule="auto"/>
        <w:tabs>
          <w:tab w:leader="none" w:pos="7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L’Assemblée Générale nomme le(s) administrateur(s) et fixe leur nombre, leur rémunération ainsi que la durée de leur mandat. Les administrateurs ne peuvent être nommés pour plus de six (6) ans et sont rééligibles.</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 administrateurs sont révocables à tout moment (avec ou sans raison) par une décision de l’Assemblée Générale.</w:t>
      </w:r>
    </w:p>
    <w:p>
      <w:pPr>
        <w:spacing w:after="0" w:line="171" w:lineRule="exact"/>
        <w:rPr>
          <w:rFonts w:ascii="Arial" w:cs="Arial" w:eastAsia="Arial" w:hAnsi="Arial"/>
          <w:sz w:val="18"/>
          <w:szCs w:val="18"/>
          <w:color w:val="auto"/>
        </w:rPr>
      </w:pPr>
    </w:p>
    <w:p>
      <w:pPr>
        <w:jc w:val="both"/>
        <w:ind w:firstLine="464"/>
        <w:spacing w:after="0" w:line="306" w:lineRule="auto"/>
        <w:tabs>
          <w:tab w:leader="none" w:pos="754"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Lorsqu’une personne morale est nommée administrateur, celle-ci est tenue de désigner un représentant permanent qui représente ladite personne morale dans sa mission d’administrateur. Ce représentant permanent est soumis aux mêmes règles et encourt les mêmes responsabilités que s’il avait exercé ses fonctions en son nom et pour son propre compte, sans préjudice de la responsabilité solidaire de la personne morale qu’il représente.</w:t>
      </w:r>
    </w:p>
    <w:p>
      <w:pPr>
        <w:spacing w:after="0" w:line="106"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 le représentant permanent se trouve dans l’incapacité d’exercer sa mission, la personne morale doit nommer immédiatement un autre représentant permanent.</w:t>
      </w:r>
    </w:p>
    <w:p>
      <w:pPr>
        <w:spacing w:after="0" w:line="131" w:lineRule="exact"/>
        <w:rPr>
          <w:rFonts w:ascii="Arial" w:cs="Arial" w:eastAsia="Arial" w:hAnsi="Arial"/>
          <w:sz w:val="18"/>
          <w:szCs w:val="18"/>
          <w:color w:val="auto"/>
        </w:rPr>
      </w:pPr>
    </w:p>
    <w:p>
      <w:pPr>
        <w:ind w:firstLine="464"/>
        <w:spacing w:after="0" w:line="268" w:lineRule="auto"/>
        <w:tabs>
          <w:tab w:leader="none" w:pos="7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 cas de vacance d’un poste d’administrateur, la majorité des administrateurs restants peut y pourvoir provisoirement jusqu’à la nomination définitive, qui a lieu lors de la prochaine Assemblée Générale.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Pouvoirs du conseil d’administration</w:t>
      </w:r>
    </w:p>
    <w:p>
      <w:pPr>
        <w:spacing w:after="0" w:line="177" w:lineRule="exact"/>
        <w:rPr>
          <w:sz w:val="20"/>
          <w:szCs w:val="20"/>
          <w:color w:val="auto"/>
        </w:rPr>
      </w:pPr>
    </w:p>
    <w:p>
      <w:pPr>
        <w:ind w:right="280" w:firstLine="464"/>
        <w:spacing w:after="0" w:line="268" w:lineRule="auto"/>
        <w:tabs>
          <w:tab w:leader="none" w:pos="6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Tous les pouvoirs non expressément réservés par la Loi ou les Statuts à ou aux actionnaires sont de la compétence du Conseil, qui a tous les pouvoirs pour effectuer et approuver tous les actes et opérations conformes à l’objet social.</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 pouvoirs spéciaux et limités peuvent être délégués par le Conseil à un ou plusieurs agents pour des tâches spécifiques.</w:t>
      </w:r>
    </w:p>
    <w:p>
      <w:pPr>
        <w:spacing w:after="0" w:line="171" w:lineRule="exact"/>
        <w:rPr>
          <w:rFonts w:ascii="Arial" w:cs="Arial" w:eastAsia="Arial" w:hAnsi="Arial"/>
          <w:sz w:val="18"/>
          <w:szCs w:val="18"/>
          <w:color w:val="auto"/>
        </w:rPr>
      </w:pPr>
    </w:p>
    <w:p>
      <w:pPr>
        <w:ind w:right="100" w:firstLine="464"/>
        <w:spacing w:after="0" w:line="256" w:lineRule="auto"/>
        <w:tabs>
          <w:tab w:leader="none" w:pos="7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 Conseil peut déléguer la gestion journalière et le pouvoir de représenter la Société en ce qui concerne cette gestion, à un ou plusieurs administrateurs, directeurs, gérants ou autres agents, actionnaires ou non, agissant seuls ou conjointement. Si la gestion journalière est déléguée à un ou plusieurs administrateurs, le Conseil doit rendre compte à l’Assemblée Générale annuelle, de tous traitements, émoluments et/ou avantages quelconques, alloués à ce(s) administrateur(s) pendant l’exercice social en cause.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Procédure</w:t>
      </w:r>
    </w:p>
    <w:p>
      <w:pPr>
        <w:spacing w:after="0" w:line="177" w:lineRule="exact"/>
        <w:rPr>
          <w:sz w:val="20"/>
          <w:szCs w:val="20"/>
          <w:color w:val="auto"/>
        </w:rPr>
      </w:pPr>
    </w:p>
    <w:p>
      <w:pPr>
        <w:ind w:right="220" w:firstLine="464"/>
        <w:spacing w:after="0" w:line="268" w:lineRule="auto"/>
        <w:tabs>
          <w:tab w:leader="none" w:pos="6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 Conseil doit élire en son sein un président et peut désigner un secrétaire, qui n’a pas besoin d’être administrateur, et qui est responsable de la tenue des procèsverbaux de réunions du Conseil et de l’Assemblée Générale.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51" w:name="page52"/>
    <w:bookmarkEnd w:id="51"/>
    <w:p>
      <w:pPr>
        <w:ind w:left="-464" w:firstLine="464"/>
        <w:spacing w:after="0" w:line="268" w:lineRule="auto"/>
        <w:tabs>
          <w:tab w:leader="none" w:pos="251"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 Conseil se réunit sur convocation du président ou de n’importe quel administrateur au lieu indiqué dans l’avis de convocation, qui en principe, est au Luxembourg.</w:t>
      </w:r>
    </w:p>
    <w:p>
      <w:pPr>
        <w:spacing w:after="0" w:line="131" w:lineRule="exact"/>
        <w:rPr>
          <w:rFonts w:ascii="Arial" w:cs="Arial" w:eastAsia="Arial" w:hAnsi="Arial"/>
          <w:sz w:val="18"/>
          <w:szCs w:val="18"/>
          <w:color w:val="auto"/>
        </w:rPr>
      </w:pPr>
    </w:p>
    <w:p>
      <w:pPr>
        <w:ind w:left="-464" w:right="320" w:firstLine="464"/>
        <w:spacing w:after="0" w:line="332" w:lineRule="auto"/>
        <w:tabs>
          <w:tab w:leader="none" w:pos="29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Il est donné à tous les administrateurs une convocation écrite de toute réunion du Conseil au moins vingt-quatre (24) heures à l’avance, sauf en cas d’urgence, auquel cas la nature et les circonstances de cette urgence sont mentionnées dans la convocation à la réunion.</w:t>
      </w:r>
    </w:p>
    <w:p>
      <w:pPr>
        <w:spacing w:after="0" w:line="85" w:lineRule="exact"/>
        <w:rPr>
          <w:rFonts w:ascii="Arial" w:cs="Arial" w:eastAsia="Arial" w:hAnsi="Arial"/>
          <w:sz w:val="16"/>
          <w:szCs w:val="16"/>
          <w:color w:val="auto"/>
        </w:rPr>
      </w:pPr>
    </w:p>
    <w:p>
      <w:pPr>
        <w:ind w:left="-464" w:right="100" w:firstLine="464"/>
        <w:spacing w:after="0" w:line="256" w:lineRule="auto"/>
        <w:tabs>
          <w:tab w:leader="none" w:pos="2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Aucune convocation n’est requise si tous les membres du Conseil sont présents ou représentés et s’ils déclarent avoir parfaitement eu connaissance de l’ordre du jour de la réunion. Un administrateur peut également renoncer à la convocation à une réunion, que ce soit avant ou après ladite réunion. Des convocations écrites séparées ne sont pas exigées pour des réunions se tenant à des heures et dans des lieux fixés dans un calendrier préalablement adopté par le Conseil.</w:t>
      </w:r>
    </w:p>
    <w:p>
      <w:pPr>
        <w:spacing w:after="0" w:line="143" w:lineRule="exact"/>
        <w:rPr>
          <w:rFonts w:ascii="Arial" w:cs="Arial" w:eastAsia="Arial" w:hAnsi="Arial"/>
          <w:sz w:val="18"/>
          <w:szCs w:val="18"/>
          <w:color w:val="auto"/>
        </w:rPr>
      </w:pPr>
    </w:p>
    <w:p>
      <w:pPr>
        <w:ind w:left="256" w:hanging="256"/>
        <w:spacing w:after="0"/>
        <w:tabs>
          <w:tab w:leader="none" w:pos="2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 administrateur peut donner une procuration à tout autre administrateur afin de le représenter à toute réunion du Conseil.</w:t>
      </w:r>
    </w:p>
    <w:p>
      <w:pPr>
        <w:spacing w:after="0" w:line="171" w:lineRule="exact"/>
        <w:rPr>
          <w:rFonts w:ascii="Arial" w:cs="Arial" w:eastAsia="Arial" w:hAnsi="Arial"/>
          <w:sz w:val="18"/>
          <w:szCs w:val="18"/>
          <w:color w:val="auto"/>
        </w:rPr>
      </w:pPr>
    </w:p>
    <w:p>
      <w:pPr>
        <w:ind w:left="-464" w:right="200" w:firstLine="464"/>
        <w:spacing w:after="0" w:line="298" w:lineRule="auto"/>
        <w:tabs>
          <w:tab w:leader="none" w:pos="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Lorsqu’il est composé d’une (1) classe unique d’administrateurs, le Conseil ne peut délibérer et agir valablement que si la majorité de ses membres sont présents ou représentés. Les décisions du Conseil sont valablement adoptées à la majorité des voix des administrateurs présents ou représentés. La voix du président est prépondérante en cas de partage des voix. Les décisions du Conseil sont consignées dans des procèsverbaux signés par le président ou par tous les administrateurs présents ou représentés à la réunion ou par le secrétaire (s’il en existe un).</w:t>
      </w:r>
    </w:p>
    <w:p>
      <w:pPr>
        <w:spacing w:after="0" w:line="112" w:lineRule="exact"/>
        <w:rPr>
          <w:rFonts w:ascii="Arial" w:cs="Arial" w:eastAsia="Arial" w:hAnsi="Arial"/>
          <w:sz w:val="16"/>
          <w:szCs w:val="16"/>
          <w:color w:val="auto"/>
        </w:rPr>
      </w:pPr>
    </w:p>
    <w:p>
      <w:pPr>
        <w:jc w:val="both"/>
        <w:ind w:left="-464" w:right="160" w:firstLine="464"/>
        <w:spacing w:after="0" w:line="294" w:lineRule="auto"/>
        <w:tabs>
          <w:tab w:leader="none" w:pos="3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Lorsqu’il est composé de différentes classes d’administeurs, le Conseil ne peut délibérer et agir valablement que si la majorité de ses membres sont présents ou représentés et qu’au moins un (1) administrateur de chaque classe est présent ou représenté. Les décisions du Conseil ne sont valablement adoptées que si la majorité des voix des administrateurs présents ou représentés, et qu’au moins un (1) administrateur de chaque classe est présent ou représenté. La voix du président est prépondérante en cas de partage des voix. Les décisions du Conseil sont consignées dans des procès-verbaux signés par le président ou par tous les administrateurs présents ou représentés à la réunion ou par le secrétaire (s’il en existe un).</w:t>
      </w:r>
    </w:p>
    <w:p>
      <w:pPr>
        <w:spacing w:after="0" w:line="115" w:lineRule="exact"/>
        <w:rPr>
          <w:rFonts w:ascii="Arial" w:cs="Arial" w:eastAsia="Arial" w:hAnsi="Arial"/>
          <w:sz w:val="16"/>
          <w:szCs w:val="16"/>
          <w:color w:val="auto"/>
        </w:rPr>
      </w:pPr>
    </w:p>
    <w:p>
      <w:pPr>
        <w:ind w:left="-464" w:right="120" w:firstLine="464"/>
        <w:spacing w:after="0" w:line="259" w:lineRule="auto"/>
        <w:tabs>
          <w:tab w:leader="none" w:pos="3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Tout administrateur peut participer à toute réunion du Conseil par téléphone ou visioconférence ou par tout autre moyen de communication permettant à l’ensemble des personnes participant à la réunion de s’identifier, de s’entendre et de se parler. La participation par un de ces moyens équivaut à une participation en personne à une réunion valablement convoquée et tenue.</w:t>
      </w:r>
    </w:p>
    <w:p>
      <w:pPr>
        <w:spacing w:after="0" w:line="134" w:lineRule="exact"/>
        <w:rPr>
          <w:rFonts w:ascii="Arial" w:cs="Arial" w:eastAsia="Arial" w:hAnsi="Arial"/>
          <w:sz w:val="18"/>
          <w:szCs w:val="18"/>
          <w:color w:val="auto"/>
        </w:rPr>
      </w:pPr>
    </w:p>
    <w:p>
      <w:pPr>
        <w:ind w:left="-464" w:right="40" w:firstLine="464"/>
        <w:spacing w:after="0" w:line="339" w:lineRule="auto"/>
        <w:tabs>
          <w:tab w:leader="none" w:pos="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Des résolutions circulaires signées par tous les administrateurs (les </w:t>
      </w:r>
      <w:r>
        <w:rPr>
          <w:rFonts w:ascii="Arial" w:cs="Arial" w:eastAsia="Arial" w:hAnsi="Arial"/>
          <w:sz w:val="16"/>
          <w:szCs w:val="16"/>
          <w:b w:val="1"/>
          <w:bCs w:val="1"/>
          <w:color w:val="auto"/>
        </w:rPr>
        <w:t>Résolutions Circulaires des administrateurs</w:t>
      </w:r>
      <w:r>
        <w:rPr>
          <w:rFonts w:ascii="Arial" w:cs="Arial" w:eastAsia="Arial" w:hAnsi="Arial"/>
          <w:sz w:val="16"/>
          <w:szCs w:val="16"/>
          <w:color w:val="auto"/>
        </w:rPr>
        <w:t>) sont valables et engagent la Société comme si elles avaient été adoptées lors d’une réunion du Conseil valablement convoquée et tenue et portent la date de la dernière signature.</w:t>
      </w:r>
    </w:p>
    <w:p>
      <w:pPr>
        <w:spacing w:after="0" w:line="66" w:lineRule="exact"/>
        <w:rPr>
          <w:rFonts w:ascii="Arial" w:cs="Arial" w:eastAsia="Arial" w:hAnsi="Arial"/>
          <w:sz w:val="16"/>
          <w:szCs w:val="16"/>
          <w:color w:val="auto"/>
        </w:rPr>
      </w:pPr>
    </w:p>
    <w:p>
      <w:pPr>
        <w:ind w:left="5156" w:hanging="96"/>
        <w:spacing w:after="0"/>
        <w:tabs>
          <w:tab w:leader="none" w:pos="51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36"/>
          </w:cols>
          <w:pgMar w:left="704" w:top="280" w:right="259" w:bottom="1440" w:gutter="0" w:footer="0" w:header="0"/>
        </w:sectPr>
      </w:pPr>
    </w:p>
    <w:bookmarkStart w:id="52" w:name="page53"/>
    <w:bookmarkEnd w:id="52"/>
    <w:p>
      <w:pPr>
        <w:jc w:val="both"/>
        <w:ind w:right="80" w:firstLine="464"/>
        <w:spacing w:after="0" w:line="256"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Tout administrateur qui a un intérêt opposé à celui de la Société dans une transaction qui ne concerne pas des opérations courantes conclues dans des conditions normales, est tenu d’en prévenir le Conseil et de faire mentionner cette déclaration au procès-verbal de la réunion. L’administrateur en cause ne peut prendre part à ces délibérations. Un rapport spécial relatif à ou aux transactions concernées est soumis aux actionnaires avant tout vote, lors de la prochaine Assemblée Générale.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Représentation</w:t>
      </w:r>
    </w:p>
    <w:p>
      <w:pPr>
        <w:spacing w:after="0" w:line="177" w:lineRule="exact"/>
        <w:rPr>
          <w:sz w:val="20"/>
          <w:szCs w:val="20"/>
          <w:color w:val="auto"/>
        </w:rPr>
      </w:pPr>
    </w:p>
    <w:p>
      <w:pPr>
        <w:ind w:right="320" w:firstLine="464"/>
        <w:spacing w:after="0" w:line="268" w:lineRule="auto"/>
        <w:tabs>
          <w:tab w:leader="none" w:pos="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Lorsque le Conseil est composé d’une (1) classe unique d’administrateurs, la Société est engagée vis-à-vis des tiers, en toutes circonstances, par la signature d’un seul administrateur.</w:t>
      </w:r>
    </w:p>
    <w:p>
      <w:pPr>
        <w:spacing w:after="0" w:line="131" w:lineRule="exact"/>
        <w:rPr>
          <w:rFonts w:ascii="Arial" w:cs="Arial" w:eastAsia="Arial" w:hAnsi="Arial"/>
          <w:sz w:val="18"/>
          <w:szCs w:val="18"/>
          <w:color w:val="auto"/>
        </w:rPr>
      </w:pPr>
    </w:p>
    <w:p>
      <w:pPr>
        <w:ind w:right="360" w:firstLine="464"/>
        <w:spacing w:after="0" w:line="268" w:lineRule="auto"/>
        <w:tabs>
          <w:tab w:leader="none" w:pos="7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Lorsque le Conseil est composé de différentes classes d’administrateurs, la Société est engagée vis-à-vis des tiers, en toutes circonstances, par les signatures conjointes d’un (1) administrateur de chaque classe.</w:t>
      </w:r>
    </w:p>
    <w:p>
      <w:pPr>
        <w:spacing w:after="0" w:line="131" w:lineRule="exact"/>
        <w:rPr>
          <w:rFonts w:ascii="Arial" w:cs="Arial" w:eastAsia="Arial" w:hAnsi="Arial"/>
          <w:sz w:val="18"/>
          <w:szCs w:val="18"/>
          <w:color w:val="auto"/>
        </w:rPr>
      </w:pPr>
    </w:p>
    <w:p>
      <w:pPr>
        <w:ind w:firstLine="464"/>
        <w:spacing w:after="0" w:line="268" w:lineRule="auto"/>
        <w:tabs>
          <w:tab w:leader="none" w:pos="7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 Société est également engagée vis-à-vis des tiers par la signature conjointe ou unique de toutes personnes à qui des pouvoirs de signature spéciaux ont été délégués.</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Art.8.</w:t>
      </w:r>
      <w:r>
        <w:rPr>
          <w:sz w:val="20"/>
          <w:szCs w:val="20"/>
          <w:color w:val="auto"/>
        </w:rPr>
        <w:tab/>
      </w:r>
      <w:r>
        <w:rPr>
          <w:rFonts w:ascii="Arial" w:cs="Arial" w:eastAsia="Arial" w:hAnsi="Arial"/>
          <w:sz w:val="18"/>
          <w:szCs w:val="18"/>
          <w:b w:val="1"/>
          <w:bCs w:val="1"/>
          <w:color w:val="auto"/>
        </w:rPr>
        <w:t>Administrateur unique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8.1. Dans le cas où le nombre des actionnaires est réduit à un (1), la Société peut être gérée par un ou plusieurs administrateur(s) jusqu’à l’Assemblée Générale ordinaire suivant l’introduction d’un actionnaire supplémentaire. Dans ce cas, toute référence dans les Statuts au Conseil ou aux administrateurs doit être considérée, le cas échéant, comme une référence à cet administrateur unique.</w:t>
      </w:r>
    </w:p>
    <w:p>
      <w:pPr>
        <w:spacing w:after="0" w:line="14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8.2. Les transactions conclues par la Société peuvent être mentionnées dans des procès-verbaux et, sauf si elles concernent des opérations courantes conclues dans des conditions normales, doivent être ainsi mentionnées si elles sont intervenues avec son administrateur unique ayant un intérêt opposé.</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8.3. La Société est engagée vis-à-vis des tiers par la signature de l’administrateur unique ou par la signature conjointe ou unique de toutes personnes à qui des pouvoirs de signature spéciaux ont été délégués, par l’administrateur unique.</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Art.9.</w:t>
      </w:r>
      <w:r>
        <w:rPr>
          <w:sz w:val="20"/>
          <w:szCs w:val="20"/>
          <w:color w:val="auto"/>
        </w:rPr>
        <w:tab/>
      </w:r>
      <w:r>
        <w:rPr>
          <w:rFonts w:ascii="Arial" w:cs="Arial" w:eastAsia="Arial" w:hAnsi="Arial"/>
          <w:sz w:val="18"/>
          <w:szCs w:val="18"/>
          <w:b w:val="1"/>
          <w:bCs w:val="1"/>
          <w:color w:val="auto"/>
        </w:rPr>
        <w:t>Responsabilité des administrateurs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9.1. Les administrateurs ne contractent, à raison de leur fonction, aucune obligation personnelle concernant les engagements régulièrement pris par eux au nom de la Société, dans la mesure où ces engagements sont conformes aux Statuts et à la Loi.</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80"/>
          </w:cols>
          <w:pgMar w:left="240" w:top="280" w:right="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ACTIONNAIRE(S)</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Art.10.</w:t>
      </w:r>
      <w:r>
        <w:rPr>
          <w:sz w:val="20"/>
          <w:szCs w:val="20"/>
          <w:color w:val="auto"/>
        </w:rPr>
        <w:tab/>
      </w:r>
      <w:r>
        <w:rPr>
          <w:rFonts w:ascii="Arial" w:cs="Arial" w:eastAsia="Arial" w:hAnsi="Arial"/>
          <w:sz w:val="18"/>
          <w:szCs w:val="18"/>
          <w:b w:val="1"/>
          <w:bCs w:val="1"/>
          <w:color w:val="auto"/>
        </w:rPr>
        <w:t>Assemblée générale des actionnaires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Pouvoirs et droits de vote</w:t>
      </w:r>
    </w:p>
    <w:p>
      <w:pPr>
        <w:spacing w:after="0" w:line="171" w:lineRule="exact"/>
        <w:rPr>
          <w:sz w:val="20"/>
          <w:szCs w:val="20"/>
          <w:color w:val="auto"/>
        </w:rPr>
      </w:pPr>
    </w:p>
    <w:p>
      <w:pPr>
        <w:ind w:right="380" w:firstLine="464"/>
        <w:spacing w:after="0" w:line="275" w:lineRule="auto"/>
        <w:tabs>
          <w:tab w:leader="none" w:pos="6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 résolutions des actionnaires sont adoptées lors des assemblées générales des actionnaires (l’</w:t>
      </w:r>
      <w:r>
        <w:rPr>
          <w:rFonts w:ascii="Arial" w:cs="Arial" w:eastAsia="Arial" w:hAnsi="Arial"/>
          <w:sz w:val="18"/>
          <w:szCs w:val="18"/>
          <w:b w:val="1"/>
          <w:bCs w:val="1"/>
          <w:color w:val="auto"/>
        </w:rPr>
        <w:t>Assemblée Générale</w:t>
      </w:r>
      <w:r>
        <w:rPr>
          <w:rFonts w:ascii="Arial" w:cs="Arial" w:eastAsia="Arial" w:hAnsi="Arial"/>
          <w:sz w:val="18"/>
          <w:szCs w:val="18"/>
          <w:color w:val="auto"/>
        </w:rPr>
        <w:t>). L’Assemblée Générale a les pouvoirs les plus étendus pour adopter et ratifier tous les actes et opérations conformes à l’objet social.</w:t>
      </w:r>
    </w:p>
    <w:p>
      <w:pPr>
        <w:spacing w:after="0" w:line="125"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Chaque action donne droit à un (1) vote.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Convocations, quorum, majorité et procédure de vote</w:t>
      </w:r>
    </w:p>
    <w:p>
      <w:pPr>
        <w:spacing w:after="0" w:line="177" w:lineRule="exact"/>
        <w:rPr>
          <w:sz w:val="20"/>
          <w:szCs w:val="20"/>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 Assemblées Générales se tiennent au lieu et heure précisés dans les convocations.</w:t>
      </w:r>
    </w:p>
    <w:p>
      <w:pPr>
        <w:spacing w:after="0" w:line="171" w:lineRule="exact"/>
        <w:rPr>
          <w:rFonts w:ascii="Arial" w:cs="Arial" w:eastAsia="Arial" w:hAnsi="Arial"/>
          <w:sz w:val="18"/>
          <w:szCs w:val="18"/>
          <w:color w:val="auto"/>
        </w:rPr>
      </w:pPr>
    </w:p>
    <w:p>
      <w:pPr>
        <w:ind w:right="600" w:firstLine="464"/>
        <w:spacing w:after="0" w:line="268"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 tous les actionnaires sont présents ou représentés et se considèrent comme ayant été valablement convoqués et informés de l’ordre du jour de l’assemblée, l’Assemblée Générale peut se tenir sans convocation préalable.</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Un actionnaire peut donner une procuration écrite à toute autre personne (qui ne doit pas être un actionnaire) afin de le représenter à toute Assemblée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Générale.</w:t>
      </w:r>
    </w:p>
    <w:p>
      <w:pPr>
        <w:spacing w:after="0" w:line="164" w:lineRule="exact"/>
        <w:rPr>
          <w:rFonts w:ascii="Arial" w:cs="Arial" w:eastAsia="Arial" w:hAnsi="Arial"/>
          <w:sz w:val="15"/>
          <w:szCs w:val="15"/>
          <w:color w:val="auto"/>
        </w:rPr>
      </w:pPr>
    </w:p>
    <w:p>
      <w:pPr>
        <w:jc w:val="both"/>
        <w:ind w:right="340" w:firstLine="464"/>
        <w:spacing w:after="0" w:line="259" w:lineRule="auto"/>
        <w:tabs>
          <w:tab w:leader="none" w:pos="7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Tout actionnaire peut participer à toute Assemblée Générale par téléphone ou visioconférence ou par tout autre moyen de communication similaire permettant à l’ensemble des personnes participant à la réunion de s’identifier, de s’entendre et de se parler. La participation à la réunion par un de ces moyens équivaut à une participation en personne à une telle réunion.</w:t>
      </w:r>
    </w:p>
    <w:p>
      <w:pPr>
        <w:spacing w:after="0" w:line="140" w:lineRule="exact"/>
        <w:rPr>
          <w:rFonts w:ascii="Arial" w:cs="Arial" w:eastAsia="Arial" w:hAnsi="Arial"/>
          <w:sz w:val="18"/>
          <w:szCs w:val="18"/>
          <w:color w:val="auto"/>
        </w:rPr>
      </w:pPr>
    </w:p>
    <w:p>
      <w:pPr>
        <w:ind w:right="20" w:firstLine="464"/>
        <w:spacing w:after="0" w:line="255"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Tout actionnaire peut voter au moyen de formulaires de vote fournis par la Société. Les formulaires de vote indiquent la date, le lieu et l’ordre du jour de la réunion, le texte des résolutions proposées ainsi que, pour chaque résolution, trois cases permettant de voter en faveur, de voter contre ou de s’abstenir. Les formulaires de vote doivent être renvoyés par les actionnaires au siège social. Pour le calcul du quorum, il n’est tenu compte que des formulaires de vote reçus par la Société avant la réunion de l’Assemblée Générale. Les formulaires de vote dans lesquels ne sont mentionnés ni un vote (en faveur ou contre les résolutions proposées) ni une abstention, sont nuls.</w:t>
      </w:r>
    </w:p>
    <w:p>
      <w:pPr>
        <w:spacing w:after="0" w:line="142" w:lineRule="exact"/>
        <w:rPr>
          <w:rFonts w:ascii="Arial" w:cs="Arial" w:eastAsia="Arial" w:hAnsi="Arial"/>
          <w:sz w:val="18"/>
          <w:szCs w:val="18"/>
          <w:color w:val="auto"/>
        </w:rPr>
      </w:pPr>
    </w:p>
    <w:p>
      <w:pPr>
        <w:ind w:left="760" w:hanging="296"/>
        <w:spacing w:after="0"/>
        <w:tabs>
          <w:tab w:leader="none" w:pos="7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Les décisions de l’Assemblée Générale sont adoptées à la majorité simple des voix exprimées, quelle que soit la proportion du capital social représenté.</w:t>
      </w:r>
    </w:p>
    <w:p>
      <w:pPr>
        <w:spacing w:after="0" w:line="205" w:lineRule="exact"/>
        <w:rPr>
          <w:rFonts w:ascii="Arial" w:cs="Arial" w:eastAsia="Arial" w:hAnsi="Arial"/>
          <w:sz w:val="15"/>
          <w:szCs w:val="15"/>
          <w:color w:val="auto"/>
        </w:rPr>
      </w:pPr>
    </w:p>
    <w:p>
      <w:pPr>
        <w:ind w:right="300" w:firstLine="464"/>
        <w:spacing w:after="0" w:line="298" w:lineRule="auto"/>
        <w:tabs>
          <w:tab w:leader="none" w:pos="803" w:val="left"/>
        </w:tabs>
        <w:numPr>
          <w:ilvl w:val="0"/>
          <w:numId w:val="55"/>
        </w:numPr>
        <w:rPr>
          <w:rFonts w:ascii="Arial" w:cs="Arial" w:eastAsia="Arial" w:hAnsi="Arial"/>
          <w:sz w:val="16"/>
          <w:szCs w:val="16"/>
          <w:color w:val="auto"/>
        </w:rPr>
      </w:pPr>
      <w:r>
        <w:rPr>
          <w:rFonts w:ascii="Arial" w:cs="Arial" w:eastAsia="Arial" w:hAnsi="Arial"/>
          <w:sz w:val="16"/>
          <w:szCs w:val="16"/>
          <w:color w:val="auto"/>
        </w:rPr>
        <w:t>L’Assemblée Générale extraordinaire ne peut modifier les Statuts que si la moitié au moins du capital social est représenté et que l’ordre du jour indique les modifications statutaires proposées ainsi que le texte de celles qui modifient l’objet social ou la forme de la Société. Si ce quorum n’est pas atteint, une deuxième Assemblée Générale peut être convoquée par annonces insérées deux fois, à quinze (15) jours d’intervalle au moins et quinze (15) jours avant l’Assemblée, dans le Mémorial et dans deux journaux de Luxembourg. Ces convocations reproduisent l’ordre du jour de la réunion et indiquent</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4" w:right="239" w:bottom="1440" w:gutter="0" w:footer="0" w:header="0"/>
        </w:sectPr>
      </w:pPr>
    </w:p>
    <w:bookmarkStart w:id="54" w:name="page55"/>
    <w:bookmarkEnd w:id="5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 date et les résultats de la précédente réunion. La seconde Assemblée Générale délibère valablement quelle que soit la proportion du capital représenté. Dans les deux Assemblées Générales, les résolutions doivent être adoptées par au moins les deux tiers des voix exprimées.</w:t>
      </w:r>
    </w:p>
    <w:p>
      <w:pPr>
        <w:spacing w:after="0" w:line="132" w:lineRule="exact"/>
        <w:rPr>
          <w:sz w:val="20"/>
          <w:szCs w:val="20"/>
          <w:color w:val="auto"/>
        </w:rPr>
      </w:pPr>
    </w:p>
    <w:p>
      <w:pPr>
        <w:ind w:right="220" w:firstLine="464"/>
        <w:spacing w:after="0" w:line="268" w:lineRule="auto"/>
        <w:tabs>
          <w:tab w:leader="none" w:pos="8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Tout changement de nationalité de la Société ainsi que toute augmentation de l’engagement d’un actionnaire dans la Société exige le consentement unanime des actionnaires et des obligataires (s’il y a lieu).</w:t>
      </w:r>
    </w:p>
    <w:p>
      <w:pPr>
        <w:spacing w:after="0" w:line="248"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Art.11.</w:t>
      </w:r>
      <w:r>
        <w:rPr>
          <w:sz w:val="20"/>
          <w:szCs w:val="20"/>
          <w:color w:val="auto"/>
        </w:rPr>
        <w:tab/>
      </w:r>
      <w:r>
        <w:rPr>
          <w:rFonts w:ascii="Arial" w:cs="Arial" w:eastAsia="Arial" w:hAnsi="Arial"/>
          <w:sz w:val="18"/>
          <w:szCs w:val="18"/>
          <w:b w:val="1"/>
          <w:bCs w:val="1"/>
          <w:color w:val="auto"/>
        </w:rPr>
        <w:t>Actionnaire unique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11.1. Lorsque le nombre des actionnaires est réduit à un (1), l’actionnaire unique exerce tous les pouvoirs conférés par la Loi à l’Assemblée Générale.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11.2. Toute référence dans les Statuts à l’Assemblée Générale doit être doit être considérée, le cas échéant, comme une référence à cet actionnaire unique.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Les résolutions de l’actionnaire unique sont consignées dans des procèsverbaux.</w:t>
      </w:r>
    </w:p>
    <w:p>
      <w:pPr>
        <w:spacing w:after="0" w:line="3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V. COMPTES ANNUELS – AFFECTATION DES BENEFICES – CONTRÔLE</w:t>
      </w:r>
    </w:p>
    <w:p>
      <w:pPr>
        <w:spacing w:after="0" w:line="21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Art.12.</w:t>
      </w:r>
      <w:r>
        <w:rPr>
          <w:sz w:val="20"/>
          <w:szCs w:val="20"/>
          <w:color w:val="auto"/>
        </w:rPr>
        <w:tab/>
      </w:r>
      <w:r>
        <w:rPr>
          <w:rFonts w:ascii="Arial" w:cs="Arial" w:eastAsia="Arial" w:hAnsi="Arial"/>
          <w:sz w:val="18"/>
          <w:szCs w:val="18"/>
          <w:b w:val="1"/>
          <w:bCs w:val="1"/>
          <w:color w:val="auto"/>
        </w:rPr>
        <w:t>Exercice social et approbation des comptes annuels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L’exercice social commence le premier (1) janvier et se termine le trente-et-un (31) décembre de chaque année.</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12.2. Chaque année, le Conseil dresse le bilan et le compte de profits et pertes ainsi qu’un inventaire indiquant la valeur des actifs et passifs de la Société, avec une annexe résumant les engagements de la Société ainsi que les dettes des directeurs, administrateurs et commissaire(s) envers la Société.</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12.3. Un mois avant l’Assemblée Générale annuelle, le Conseil remet les pièces, avec un rapport sur les opérations de la Société aux commissaires, qui doivent ensuite faire un rapport contenant leurs propositions.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12.4. L’Assemblée Générale annuelle se tient à l’adresse du siège social ou en tout autre lieu dans la municipalité du siège social, comme indiqué dans la convocation, le deuxième lundi du mois de mai de chaque année à 10.00 heures. Si ce jour est un jour férié, légal ou bancaire à Luxembourg, l’assemblée générale se réunira le premier jour ouvrable suivant.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12.5. L’Assemblée Générale annuelle peut se tenir à l’étranger si, selon l’avis absolu et définitif du Conseil, des circonstances exceptionnelles le requièrent.</w:t>
      </w:r>
    </w:p>
    <w:p>
      <w:pPr>
        <w:spacing w:after="0" w:line="321"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Art.13.</w:t>
      </w:r>
      <w:r>
        <w:rPr>
          <w:sz w:val="20"/>
          <w:szCs w:val="20"/>
          <w:color w:val="auto"/>
        </w:rPr>
        <w:tab/>
      </w:r>
      <w:r>
        <w:rPr>
          <w:rFonts w:ascii="Arial" w:cs="Arial" w:eastAsia="Arial" w:hAnsi="Arial"/>
          <w:sz w:val="18"/>
          <w:szCs w:val="18"/>
          <w:b w:val="1"/>
          <w:bCs w:val="1"/>
          <w:color w:val="auto"/>
        </w:rPr>
        <w:t>Commissaires / Réviseurs d’entreprises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13.1. Les opérations de la Société sont contrôlées par un ou plusieurs commissaires.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13.2. Les opérations de la Société sont contrôlées par un ou plusieurs réviseurs d’entreprises agréés, quand cela est requis par la loi.</w:t>
      </w:r>
    </w:p>
    <w:p>
      <w:pPr>
        <w:spacing w:after="0" w:line="17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13.3. L’Assemblée Générale nomme les commissaires/réviseurs d’entreprises agréés et détermine leur nombre, leur rémunération et la durée de leur mandat, lequel ne peut dépasser six (6) ans. Les commissaires/réviseurs d’entreprises agréés peuvent être réélus.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80" w:right="259" w:bottom="1440" w:gutter="0" w:footer="0" w:header="0"/>
        </w:sectPr>
      </w:pPr>
    </w:p>
    <w:bookmarkStart w:id="55" w:name="page56"/>
    <w:bookmarkEnd w:id="55"/>
    <w:p>
      <w:pPr>
        <w:ind w:left="460"/>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Art.14.</w:t>
      </w:r>
      <w:r>
        <w:rPr>
          <w:sz w:val="20"/>
          <w:szCs w:val="20"/>
          <w:color w:val="auto"/>
        </w:rPr>
        <w:tab/>
      </w:r>
      <w:r>
        <w:rPr>
          <w:rFonts w:ascii="Arial" w:cs="Arial" w:eastAsia="Arial" w:hAnsi="Arial"/>
          <w:sz w:val="18"/>
          <w:szCs w:val="18"/>
          <w:b w:val="1"/>
          <w:bCs w:val="1"/>
          <w:color w:val="auto"/>
        </w:rPr>
        <w:t>Affectation des bénéfices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14.1. Cinq pour cent (5 %) des bénéfices nets annuels de la Société sont affectés à la réserve requise par la Loi. Cette affectation cesse d’être exigée quand la réserve légale atteint dix pour cent (10 %) du capital social.</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14.2. L’Assemblée Générale décide de l’affectation du solde des bénéfices nets annuels. Elle peut allouer ce bénéfice au paiement d’un dividende, l’affecter à un compte de réserve ou le reporter en respectant les dispositions légales applicables.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Des dividendes intérimaires peuvent être distribués à tout moment, aux conditions suivantes:</w:t>
      </w:r>
    </w:p>
    <w:p>
      <w:pPr>
        <w:spacing w:after="0" w:line="171" w:lineRule="exact"/>
        <w:rPr>
          <w:sz w:val="20"/>
          <w:szCs w:val="20"/>
          <w:color w:val="auto"/>
        </w:rPr>
      </w:pPr>
    </w:p>
    <w:p>
      <w:pPr>
        <w:ind w:left="680" w:hanging="216"/>
        <w:spacing w:after="0"/>
        <w:tabs>
          <w:tab w:leader="none" w:pos="6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 comptes intérimaires sont établis par le Conseil;</w:t>
      </w:r>
    </w:p>
    <w:p>
      <w:pPr>
        <w:spacing w:after="0" w:line="171" w:lineRule="exact"/>
        <w:rPr>
          <w:rFonts w:ascii="Arial" w:cs="Arial" w:eastAsia="Arial" w:hAnsi="Arial"/>
          <w:sz w:val="18"/>
          <w:szCs w:val="18"/>
          <w:color w:val="auto"/>
        </w:rPr>
      </w:pPr>
    </w:p>
    <w:p>
      <w:pPr>
        <w:ind w:right="80" w:firstLine="464"/>
        <w:spacing w:after="0" w:line="303" w:lineRule="auto"/>
        <w:tabs>
          <w:tab w:leader="none" w:pos="715" w:val="left"/>
        </w:tabs>
        <w:numPr>
          <w:ilvl w:val="1"/>
          <w:numId w:val="57"/>
        </w:numPr>
        <w:rPr>
          <w:rFonts w:ascii="Arial" w:cs="Arial" w:eastAsia="Arial" w:hAnsi="Arial"/>
          <w:sz w:val="15"/>
          <w:szCs w:val="15"/>
          <w:color w:val="auto"/>
        </w:rPr>
      </w:pPr>
      <w:r>
        <w:rPr>
          <w:rFonts w:ascii="Arial" w:cs="Arial" w:eastAsia="Arial" w:hAnsi="Arial"/>
          <w:sz w:val="15"/>
          <w:szCs w:val="15"/>
          <w:color w:val="auto"/>
        </w:rPr>
        <w:t>ces comptes intérimaires montrent que des bénéfices et autres réserves (en ce compris la prime d’émission) suffisants sont disponibles pour une distribution; étant entendu que le montant à distribuer ne peut excéder le montant des bénéfices réalisés depuis la fin du dernier exercice social dont les comptes annuels ont été approuvés, le cas échéant, augmenté des bénéfices reportés et des réserves distribuables, et réduit par les pertes reportées et les sommes à affecter</w:t>
      </w:r>
    </w:p>
    <w:p>
      <w:pPr>
        <w:spacing w:after="0" w:line="1" w:lineRule="exact"/>
        <w:rPr>
          <w:rFonts w:ascii="Arial" w:cs="Arial" w:eastAsia="Arial" w:hAnsi="Arial"/>
          <w:sz w:val="15"/>
          <w:szCs w:val="15"/>
          <w:color w:val="auto"/>
        </w:rPr>
      </w:pPr>
    </w:p>
    <w:p>
      <w:pPr>
        <w:ind w:left="120" w:hanging="112"/>
        <w:spacing w:after="0"/>
        <w:tabs>
          <w:tab w:leader="none" w:pos="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 réserve légale ou statutaire;</w:t>
      </w:r>
    </w:p>
    <w:p>
      <w:pPr>
        <w:spacing w:after="0" w:line="164" w:lineRule="exact"/>
        <w:rPr>
          <w:rFonts w:ascii="Arial" w:cs="Arial" w:eastAsia="Arial" w:hAnsi="Arial"/>
          <w:sz w:val="18"/>
          <w:szCs w:val="18"/>
          <w:color w:val="auto"/>
        </w:rPr>
      </w:pPr>
    </w:p>
    <w:p>
      <w:pPr>
        <w:ind w:left="780" w:hanging="316"/>
        <w:spacing w:after="0"/>
        <w:tabs>
          <w:tab w:leader="none" w:pos="7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la décision de distribuer des dividendes intérimaires est adoptée par le Conseil dans les deux (2) mois suivant la date des comptes intérimaires.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Dans leur rapport au Conseil, selon le cas, les commissaires ou les réviseurs d’entreprises agréés doivent vérifier si les conditions prévues ci-dessous ont été remplies.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 DISSOLUTION – LIQUIDATION</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15.1. La Société peut être dissoute à tout moment, par une résolution de l’Assemblée Générale, adoptée selon les modalités requises pour la modification des Statuts. L’Assemblée Générale nomme un ou plusieurs liquidateurs, qui n’ont pas besoin d’être actionnaires, pour réaliser la liquidation et détermine leur nombre, pouvoirs et rémunération. Sauf décision contraire de l’Assemblée Générale, les liquidateurs sont investis des pouvoirs les plus étendus pour réaliser les actifs et payer les dettes de la Société.</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15.2. Le boni de liquidation résultant de la réalisation des actifs et du paiement des dettes est distribué aux actionnaires proportionnellement aux actions détenues par chacun d’entre eux.</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 DISPOSITIONS GENERALES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16.1. Les convocations et communications, respectivement les renonciations à celles-ci, sont faites, et les résolutions circulaires sont établies par écrit, télégramme, téléfax, e-mail ou tout autre moyen de communication électronique.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56" w:name="page57"/>
    <w:bookmarkEnd w:id="56"/>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16.2. Les procurations sont données par tout moyen mentionné ci-dessus. Les procurations relatives aux réunions du Conseil peuvent également être données par un administrateur conformément aux conditions acceptées par le Conseil.</w:t>
      </w:r>
    </w:p>
    <w:p>
      <w:pPr>
        <w:spacing w:after="0" w:line="13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16.3. Les signatures peuvent être sous forme manuscrite ou électronique, à condition que les signatures électroniques remplissent l’ensemble des conditions légales requises pour pouvoir être assimilées à des signatures manuscrites. Les signatures des résolutions circulaires ou des résolutions adoptées par téléphone ou visioconférence peuvent être apposées sur un original ou sur plusieurs copies du même document, qui ensemble, constituent un seul et unique document.</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16.4. Pour tous les points non expressément prévus par les Statuts, il est fait référence à la loi et, sous réserve des dispositions légale d’ordre public, à tout accord présent ou futur conclu entre les actionnaires.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Pour statuts coordonnés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 notaire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80"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1207135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Schlumberger Investment SA</w:t>
      </w:r>
    </w:p>
    <w:p>
      <w:pPr>
        <w:spacing w:after="0" w:line="27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366395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3780"/>
        <w:spacing w:after="0"/>
        <w:tabs>
          <w:tab w:leader="none" w:pos="51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The Bank of New York Mellon</w:t>
      </w:r>
    </w:p>
    <w:p>
      <w:pPr>
        <w:spacing w:after="0" w:line="1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Trustee, Registrar, Paying Agent</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727710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INVESTMENT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40" w:type="dxa"/>
            <w:vAlign w:val="bottom"/>
            <w:gridSpan w:val="5"/>
          </w:tcPr>
          <w:p>
            <w:pPr>
              <w:jc w:val="right"/>
              <w:ind w:right="3426"/>
              <w:spacing w:after="0"/>
              <w:rPr>
                <w:sz w:val="20"/>
                <w:szCs w:val="20"/>
                <w:color w:val="auto"/>
              </w:rPr>
            </w:pPr>
            <w:r>
              <w:rPr>
                <w:rFonts w:ascii="Arial" w:cs="Arial" w:eastAsia="Arial" w:hAnsi="Arial"/>
                <w:sz w:val="18"/>
                <w:szCs w:val="18"/>
                <w:b w:val="1"/>
                <w:bCs w:val="1"/>
                <w:color w:val="auto"/>
              </w:rPr>
              <w:t>Reconciliation and tie between Trust Indenture Act of 1939</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0" w:type="dxa"/>
            <w:vAlign w:val="bottom"/>
          </w:tcPr>
          <w:p>
            <w:pPr>
              <w:ind w:left="40"/>
              <w:spacing w:after="0"/>
              <w:rPr>
                <w:sz w:val="20"/>
                <w:szCs w:val="20"/>
                <w:color w:val="auto"/>
              </w:rPr>
            </w:pPr>
            <w:r>
              <w:rPr>
                <w:rFonts w:ascii="Arial" w:cs="Arial" w:eastAsia="Arial" w:hAnsi="Arial"/>
                <w:sz w:val="18"/>
                <w:szCs w:val="18"/>
                <w:b w:val="1"/>
                <w:bCs w:val="1"/>
                <w:color w:val="auto"/>
                <w:w w:val="91"/>
              </w:rPr>
              <w:t>and Indenture, dated as of [</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580" w:type="dxa"/>
            <w:vAlign w:val="bottom"/>
            <w:vMerge w:val="restart"/>
          </w:tcPr>
          <w:p>
            <w:pPr>
              <w:spacing w:after="0"/>
              <w:rPr>
                <w:sz w:val="20"/>
                <w:szCs w:val="20"/>
                <w:color w:val="auto"/>
              </w:rPr>
            </w:pPr>
            <w:r>
              <w:rPr>
                <w:rFonts w:ascii="Arial" w:cs="Arial" w:eastAsia="Arial" w:hAnsi="Arial"/>
                <w:sz w:val="14"/>
                <w:szCs w:val="14"/>
                <w:color w:val="auto"/>
                <w:w w:val="89"/>
              </w:rPr>
              <w:t>Section of</w:t>
            </w: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20" w:type="dxa"/>
            <w:vAlign w:val="bottom"/>
            <w:gridSpan w:val="4"/>
          </w:tcPr>
          <w:p>
            <w:pPr>
              <w:spacing w:after="0" w:line="149" w:lineRule="exact"/>
              <w:rPr>
                <w:sz w:val="20"/>
                <w:szCs w:val="20"/>
                <w:color w:val="auto"/>
              </w:rPr>
            </w:pPr>
            <w:r>
              <w:rPr>
                <w:rFonts w:ascii="Arial" w:cs="Arial" w:eastAsia="Arial" w:hAnsi="Arial"/>
                <w:sz w:val="14"/>
                <w:szCs w:val="14"/>
                <w:color w:val="auto"/>
              </w:rPr>
              <w:t>Trust Indenture</w:t>
            </w: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jc w:val="right"/>
              <w:ind w:right="306"/>
              <w:spacing w:after="0" w:line="149" w:lineRule="exact"/>
              <w:rPr>
                <w:sz w:val="20"/>
                <w:szCs w:val="20"/>
                <w:color w:val="auto"/>
              </w:rPr>
            </w:pPr>
            <w:r>
              <w:rPr>
                <w:rFonts w:ascii="Arial" w:cs="Arial" w:eastAsia="Arial" w:hAnsi="Arial"/>
                <w:sz w:val="14"/>
                <w:szCs w:val="14"/>
                <w:color w:val="auto"/>
              </w:rPr>
              <w:t>Section(s) of</w:t>
            </w:r>
          </w:p>
        </w:tc>
        <w:tc>
          <w:tcPr>
            <w:tcW w:w="0" w:type="dxa"/>
            <w:vAlign w:val="bottom"/>
          </w:tcPr>
          <w:p>
            <w:pPr>
              <w:spacing w:after="0"/>
              <w:rPr>
                <w:sz w:val="1"/>
                <w:szCs w:val="1"/>
                <w:color w:val="auto"/>
              </w:rPr>
            </w:pPr>
          </w:p>
        </w:tc>
      </w:tr>
      <w:tr>
        <w:trPr>
          <w:trHeight w:val="159"/>
        </w:trPr>
        <w:tc>
          <w:tcPr>
            <w:tcW w:w="8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Act of 1939</w:t>
            </w:r>
          </w:p>
        </w:tc>
        <w:tc>
          <w:tcPr>
            <w:tcW w:w="58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jc w:val="right"/>
              <w:ind w:right="406"/>
              <w:spacing w:after="0" w:line="159" w:lineRule="exact"/>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rPr>
              <w:t>§310</w:t>
            </w:r>
          </w:p>
        </w:tc>
        <w:tc>
          <w:tcPr>
            <w:tcW w:w="6140" w:type="dxa"/>
            <w:vAlign w:val="bottom"/>
            <w:gridSpan w:val="3"/>
            <w:vMerge w:val="restart"/>
          </w:tcPr>
          <w:p>
            <w:pPr>
              <w:ind w:left="20"/>
              <w:spacing w:after="0"/>
              <w:rPr>
                <w:sz w:val="20"/>
                <w:szCs w:val="20"/>
                <w:color w:val="auto"/>
              </w:rPr>
            </w:pPr>
            <w:r>
              <w:rPr>
                <w:rFonts w:ascii="Arial" w:cs="Arial" w:eastAsia="Arial" w:hAnsi="Arial"/>
                <w:sz w:val="18"/>
                <w:szCs w:val="18"/>
                <w:color w:val="auto"/>
              </w:rPr>
              <w:t>(a)(1)</w:t>
            </w:r>
          </w:p>
        </w:tc>
        <w:tc>
          <w:tcPr>
            <w:tcW w:w="4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0" w:type="dxa"/>
            <w:vAlign w:val="bottom"/>
            <w:vMerge w:val="continue"/>
          </w:tcPr>
          <w:p>
            <w:pPr>
              <w:spacing w:after="0"/>
              <w:rPr>
                <w:sz w:val="16"/>
                <w:szCs w:val="16"/>
                <w:color w:val="auto"/>
              </w:rPr>
            </w:pPr>
          </w:p>
        </w:tc>
        <w:tc>
          <w:tcPr>
            <w:tcW w:w="6140" w:type="dxa"/>
            <w:vAlign w:val="bottom"/>
            <w:gridSpan w:val="3"/>
            <w:vMerge w:val="continue"/>
          </w:tcPr>
          <w:p>
            <w:pPr>
              <w:spacing w:after="0"/>
              <w:rPr>
                <w:sz w:val="16"/>
                <w:szCs w:val="16"/>
                <w:color w:val="auto"/>
              </w:rPr>
            </w:pPr>
          </w:p>
        </w:tc>
        <w:tc>
          <w:tcPr>
            <w:tcW w:w="3220" w:type="dxa"/>
            <w:vAlign w:val="bottom"/>
            <w:gridSpan w:val="2"/>
          </w:tcPr>
          <w:p>
            <w:pPr>
              <w:spacing w:after="0"/>
              <w:rPr>
                <w:sz w:val="16"/>
                <w:szCs w:val="16"/>
                <w:color w:val="auto"/>
              </w:rPr>
            </w:pPr>
          </w:p>
        </w:tc>
        <w:tc>
          <w:tcPr>
            <w:tcW w:w="1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(a)(3)</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(a)(4)</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(a)(5)</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7.8, 7.10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§314</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4.2, 4.7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(c)(1)</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(c)(2)</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(c)(3)</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(e)</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§315</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7.1(b)</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7.1(a)</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7.1(c)</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(d)(1)</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7.1(c)(1)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(d)(2)</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7.1(c)(2)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(d)(3)</w:t>
            </w:r>
          </w:p>
        </w:tc>
        <w:tc>
          <w:tcPr>
            <w:tcW w:w="180" w:type="dxa"/>
            <w:vAlign w:val="bottom"/>
          </w:tcPr>
          <w:p>
            <w:pPr>
              <w:spacing w:after="0"/>
              <w:rPr>
                <w:sz w:val="18"/>
                <w:szCs w:val="18"/>
                <w:color w:val="auto"/>
              </w:rPr>
            </w:pPr>
          </w:p>
        </w:tc>
        <w:tc>
          <w:tcPr>
            <w:tcW w:w="4520" w:type="dxa"/>
            <w:vAlign w:val="bottom"/>
            <w:gridSpan w:val="2"/>
          </w:tcPr>
          <w:p>
            <w:pPr>
              <w:ind w:left="3040"/>
              <w:spacing w:after="0"/>
              <w:rPr>
                <w:sz w:val="20"/>
                <w:szCs w:val="20"/>
                <w:color w:val="auto"/>
              </w:rPr>
            </w:pPr>
            <w:r>
              <w:rPr>
                <w:rFonts w:ascii="Arial" w:cs="Arial" w:eastAsia="Arial" w:hAnsi="Arial"/>
                <w:sz w:val="18"/>
                <w:szCs w:val="18"/>
                <w:color w:val="auto"/>
              </w:rPr>
              <w:t>7.1(c)(3)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(e)</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§316</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(a)(1)(A)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(a)(1)(B)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180" w:type="dxa"/>
            <w:vAlign w:val="bottom"/>
          </w:tcPr>
          <w:p>
            <w:pPr>
              <w:spacing w:after="0"/>
              <w:rPr>
                <w:sz w:val="18"/>
                <w:szCs w:val="18"/>
                <w:color w:val="auto"/>
              </w:rPr>
            </w:pPr>
          </w:p>
        </w:tc>
        <w:tc>
          <w:tcPr>
            <w:tcW w:w="4520" w:type="dxa"/>
            <w:vAlign w:val="bottom"/>
            <w:gridSpan w:val="2"/>
          </w:tcPr>
          <w:p>
            <w:pPr>
              <w:jc w:val="right"/>
              <w:ind w:right="326"/>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(a)(last sentence)</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§317</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(a)(1)</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(a)(2)</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§318</w:t>
            </w:r>
          </w:p>
        </w:tc>
        <w:tc>
          <w:tcPr>
            <w:tcW w:w="614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4700" w:type="dxa"/>
            <w:vAlign w:val="bottom"/>
            <w:gridSpan w:val="3"/>
          </w:tcPr>
          <w:p>
            <w:pPr>
              <w:ind w:left="32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4" w:right="23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106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88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8840" w:type="dxa"/>
            <w:vAlign w:val="bottom"/>
          </w:tcPr>
          <w:p>
            <w:pPr>
              <w:ind w:left="40"/>
              <w:spacing w:after="0"/>
              <w:rPr>
                <w:sz w:val="20"/>
                <w:szCs w:val="20"/>
                <w:color w:val="auto"/>
              </w:rPr>
            </w:pPr>
            <w:r>
              <w:rPr>
                <w:rFonts w:ascii="Arial" w:cs="Arial" w:eastAsia="Arial" w:hAnsi="Arial"/>
                <w:sz w:val="18"/>
                <w:szCs w:val="18"/>
                <w:color w:val="auto"/>
              </w:rPr>
              <w:t>Other 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8840" w:type="dxa"/>
            <w:vAlign w:val="bottom"/>
          </w:tcPr>
          <w:p>
            <w:pPr>
              <w:ind w:left="40"/>
              <w:spacing w:after="0"/>
              <w:rPr>
                <w:sz w:val="20"/>
                <w:szCs w:val="20"/>
                <w:color w:val="auto"/>
              </w:rPr>
            </w:pPr>
            <w:r>
              <w:rPr>
                <w:rFonts w:ascii="Arial" w:cs="Arial" w:eastAsia="Arial" w:hAnsi="Arial"/>
                <w:sz w:val="18"/>
                <w:szCs w:val="18"/>
                <w:color w:val="auto"/>
              </w:rPr>
              <w:t>Rules of Construction</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8840" w:type="dxa"/>
            <w:vAlign w:val="bottom"/>
          </w:tcPr>
          <w:p>
            <w:pPr>
              <w:ind w:left="40"/>
              <w:spacing w:after="0"/>
              <w:rPr>
                <w:sz w:val="20"/>
                <w:szCs w:val="20"/>
                <w:color w:val="auto"/>
              </w:rPr>
            </w:pPr>
            <w:r>
              <w:rPr>
                <w:rFonts w:ascii="Arial" w:cs="Arial" w:eastAsia="Arial" w:hAnsi="Arial"/>
                <w:sz w:val="18"/>
                <w:szCs w:val="18"/>
                <w:color w:val="auto"/>
              </w:rPr>
              <w:t>Issuable in Series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8840" w:type="dxa"/>
            <w:vAlign w:val="bottom"/>
          </w:tcPr>
          <w:p>
            <w:pPr>
              <w:ind w:left="40"/>
              <w:spacing w:after="0"/>
              <w:rPr>
                <w:sz w:val="20"/>
                <w:szCs w:val="20"/>
                <w:color w:val="auto"/>
              </w:rPr>
            </w:pPr>
            <w:r>
              <w:rPr>
                <w:rFonts w:ascii="Arial" w:cs="Arial" w:eastAsia="Arial" w:hAnsi="Arial"/>
                <w:sz w:val="18"/>
                <w:szCs w:val="18"/>
                <w:color w:val="auto"/>
              </w:rPr>
              <w:t>Establishment of Terms of Series of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8840" w:type="dxa"/>
            <w:vAlign w:val="bottom"/>
          </w:tcPr>
          <w:p>
            <w:pPr>
              <w:ind w:left="40"/>
              <w:spacing w:after="0"/>
              <w:rPr>
                <w:sz w:val="20"/>
                <w:szCs w:val="20"/>
                <w:color w:val="auto"/>
              </w:rPr>
            </w:pPr>
            <w:r>
              <w:rPr>
                <w:rFonts w:ascii="Arial" w:cs="Arial" w:eastAsia="Arial" w:hAnsi="Arial"/>
                <w:sz w:val="18"/>
                <w:szCs w:val="18"/>
                <w:color w:val="auto"/>
              </w:rPr>
              <w:t>Execution and Authentication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8840" w:type="dxa"/>
            <w:vAlign w:val="bottom"/>
          </w:tcPr>
          <w:p>
            <w:pPr>
              <w:ind w:left="40"/>
              <w:spacing w:after="0"/>
              <w:rPr>
                <w:sz w:val="20"/>
                <w:szCs w:val="20"/>
                <w:color w:val="auto"/>
              </w:rPr>
            </w:pPr>
            <w:r>
              <w:rPr>
                <w:rFonts w:ascii="Arial" w:cs="Arial" w:eastAsia="Arial" w:hAnsi="Arial"/>
                <w:sz w:val="18"/>
                <w:szCs w:val="18"/>
                <w:color w:val="auto"/>
              </w:rPr>
              <w:t>Paying Agent, Registrar and Transfer Agent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8840" w:type="dxa"/>
            <w:vAlign w:val="bottom"/>
          </w:tcPr>
          <w:p>
            <w:pPr>
              <w:ind w:left="40"/>
              <w:spacing w:after="0"/>
              <w:rPr>
                <w:sz w:val="20"/>
                <w:szCs w:val="20"/>
                <w:color w:val="auto"/>
              </w:rPr>
            </w:pPr>
            <w:r>
              <w:rPr>
                <w:rFonts w:ascii="Arial" w:cs="Arial" w:eastAsia="Arial" w:hAnsi="Arial"/>
                <w:sz w:val="18"/>
                <w:szCs w:val="18"/>
                <w:color w:val="auto"/>
              </w:rPr>
              <w:t>Paying Agent to Hold Money in Trust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8840" w:type="dxa"/>
            <w:vAlign w:val="bottom"/>
          </w:tcPr>
          <w:p>
            <w:pPr>
              <w:ind w:left="40"/>
              <w:spacing w:after="0"/>
              <w:rPr>
                <w:sz w:val="20"/>
                <w:szCs w:val="20"/>
                <w:color w:val="auto"/>
              </w:rPr>
            </w:pPr>
            <w:r>
              <w:rPr>
                <w:rFonts w:ascii="Arial" w:cs="Arial" w:eastAsia="Arial" w:hAnsi="Arial"/>
                <w:sz w:val="18"/>
                <w:szCs w:val="18"/>
                <w:color w:val="auto"/>
              </w:rPr>
              <w:t>Securityholder Lists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8840" w:type="dxa"/>
            <w:vAlign w:val="bottom"/>
          </w:tcPr>
          <w:p>
            <w:pPr>
              <w:ind w:left="40"/>
              <w:spacing w:after="0"/>
              <w:rPr>
                <w:sz w:val="20"/>
                <w:szCs w:val="20"/>
                <w:color w:val="auto"/>
              </w:rPr>
            </w:pPr>
            <w:r>
              <w:rPr>
                <w:rFonts w:ascii="Arial" w:cs="Arial" w:eastAsia="Arial" w:hAnsi="Arial"/>
                <w:sz w:val="18"/>
                <w:szCs w:val="18"/>
                <w:color w:val="auto"/>
              </w:rPr>
              <w:t>Transfer and Exchange</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8840" w:type="dxa"/>
            <w:vAlign w:val="bottom"/>
          </w:tcPr>
          <w:p>
            <w:pPr>
              <w:ind w:left="40"/>
              <w:spacing w:after="0"/>
              <w:rPr>
                <w:sz w:val="20"/>
                <w:szCs w:val="20"/>
                <w:color w:val="auto"/>
              </w:rPr>
            </w:pPr>
            <w:r>
              <w:rPr>
                <w:rFonts w:ascii="Arial" w:cs="Arial" w:eastAsia="Arial" w:hAnsi="Arial"/>
                <w:sz w:val="18"/>
                <w:szCs w:val="18"/>
                <w:color w:val="auto"/>
              </w:rPr>
              <w:t>Mutilated, Destroyed, Lost and Stolen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8840" w:type="dxa"/>
            <w:vAlign w:val="bottom"/>
          </w:tcPr>
          <w:p>
            <w:pPr>
              <w:ind w:left="40"/>
              <w:spacing w:after="0"/>
              <w:rPr>
                <w:sz w:val="20"/>
                <w:szCs w:val="20"/>
                <w:color w:val="auto"/>
              </w:rPr>
            </w:pPr>
            <w:r>
              <w:rPr>
                <w:rFonts w:ascii="Arial" w:cs="Arial" w:eastAsia="Arial" w:hAnsi="Arial"/>
                <w:sz w:val="18"/>
                <w:szCs w:val="18"/>
                <w:color w:val="auto"/>
              </w:rPr>
              <w:t>Outstanding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40"/>
              <w:spacing w:after="0"/>
              <w:rPr>
                <w:sz w:val="20"/>
                <w:szCs w:val="20"/>
                <w:color w:val="auto"/>
              </w:rPr>
            </w:pPr>
            <w:r>
              <w:rPr>
                <w:rFonts w:ascii="Arial" w:cs="Arial" w:eastAsia="Arial" w:hAnsi="Arial"/>
                <w:sz w:val="18"/>
                <w:szCs w:val="18"/>
                <w:color w:val="auto"/>
              </w:rPr>
              <w:t>Treasury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40"/>
              <w:spacing w:after="0"/>
              <w:rPr>
                <w:sz w:val="20"/>
                <w:szCs w:val="20"/>
                <w:color w:val="auto"/>
              </w:rPr>
            </w:pPr>
            <w:r>
              <w:rPr>
                <w:rFonts w:ascii="Arial" w:cs="Arial" w:eastAsia="Arial" w:hAnsi="Arial"/>
                <w:sz w:val="18"/>
                <w:szCs w:val="18"/>
                <w:color w:val="auto"/>
              </w:rPr>
              <w:t>Temporary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40"/>
              <w:spacing w:after="0"/>
              <w:rPr>
                <w:sz w:val="20"/>
                <w:szCs w:val="20"/>
                <w:color w:val="auto"/>
              </w:rPr>
            </w:pPr>
            <w:r>
              <w:rPr>
                <w:rFonts w:ascii="Arial" w:cs="Arial" w:eastAsia="Arial" w:hAnsi="Arial"/>
                <w:sz w:val="18"/>
                <w:szCs w:val="18"/>
                <w:color w:val="auto"/>
              </w:rPr>
              <w:t>Cancellation</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8840" w:type="dxa"/>
            <w:vAlign w:val="bottom"/>
          </w:tcPr>
          <w:p>
            <w:pPr>
              <w:ind w:left="40"/>
              <w:spacing w:after="0"/>
              <w:rPr>
                <w:sz w:val="20"/>
                <w:szCs w:val="20"/>
                <w:color w:val="auto"/>
              </w:rPr>
            </w:pPr>
            <w:r>
              <w:rPr>
                <w:rFonts w:ascii="Arial" w:cs="Arial" w:eastAsia="Arial" w:hAnsi="Arial"/>
                <w:sz w:val="18"/>
                <w:szCs w:val="18"/>
                <w:color w:val="auto"/>
              </w:rPr>
              <w:t>Defaulted 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2.14.</w:t>
            </w:r>
          </w:p>
        </w:tc>
        <w:tc>
          <w:tcPr>
            <w:tcW w:w="8840" w:type="dxa"/>
            <w:vAlign w:val="bottom"/>
          </w:tcPr>
          <w:p>
            <w:pPr>
              <w:ind w:left="40"/>
              <w:spacing w:after="0"/>
              <w:rPr>
                <w:sz w:val="20"/>
                <w:szCs w:val="20"/>
                <w:color w:val="auto"/>
              </w:rPr>
            </w:pPr>
            <w:r>
              <w:rPr>
                <w:rFonts w:ascii="Arial" w:cs="Arial" w:eastAsia="Arial" w:hAnsi="Arial"/>
                <w:sz w:val="18"/>
                <w:szCs w:val="18"/>
                <w:color w:val="auto"/>
              </w:rPr>
              <w:t>Global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2.15.</w:t>
            </w:r>
          </w:p>
        </w:tc>
        <w:tc>
          <w:tcPr>
            <w:tcW w:w="8840" w:type="dxa"/>
            <w:vAlign w:val="bottom"/>
          </w:tcPr>
          <w:p>
            <w:pPr>
              <w:ind w:left="40"/>
              <w:spacing w:after="0"/>
              <w:rPr>
                <w:sz w:val="20"/>
                <w:szCs w:val="20"/>
                <w:color w:val="auto"/>
              </w:rPr>
            </w:pPr>
            <w:r>
              <w:rPr>
                <w:rFonts w:ascii="Arial" w:cs="Arial" w:eastAsia="Arial" w:hAnsi="Arial"/>
                <w:sz w:val="18"/>
                <w:szCs w:val="18"/>
                <w:color w:val="auto"/>
              </w:rPr>
              <w:t>CUSIP Numbers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7"/>
              </w:rPr>
              <w:t>ARTICLE III. REDEMPTION</w:t>
            </w:r>
          </w:p>
        </w:tc>
        <w:tc>
          <w:tcPr>
            <w:tcW w:w="8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8840" w:type="dxa"/>
            <w:vAlign w:val="bottom"/>
          </w:tcPr>
          <w:p>
            <w:pPr>
              <w:ind w:left="40"/>
              <w:spacing w:after="0"/>
              <w:rPr>
                <w:sz w:val="20"/>
                <w:szCs w:val="20"/>
                <w:color w:val="auto"/>
              </w:rPr>
            </w:pPr>
            <w:r>
              <w:rPr>
                <w:rFonts w:ascii="Arial" w:cs="Arial" w:eastAsia="Arial" w:hAnsi="Arial"/>
                <w:sz w:val="18"/>
                <w:szCs w:val="18"/>
                <w:color w:val="auto"/>
              </w:rPr>
              <w:t>Notice to Trustee; No Liability for Calculations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8840" w:type="dxa"/>
            <w:vAlign w:val="bottom"/>
          </w:tcPr>
          <w:p>
            <w:pPr>
              <w:ind w:left="40"/>
              <w:spacing w:after="0"/>
              <w:rPr>
                <w:sz w:val="20"/>
                <w:szCs w:val="20"/>
                <w:color w:val="auto"/>
              </w:rPr>
            </w:pPr>
            <w:r>
              <w:rPr>
                <w:rFonts w:ascii="Arial" w:cs="Arial" w:eastAsia="Arial" w:hAnsi="Arial"/>
                <w:sz w:val="18"/>
                <w:szCs w:val="18"/>
                <w:color w:val="auto"/>
              </w:rPr>
              <w:t>Selection of Securities to be Redeemed</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8840" w:type="dxa"/>
            <w:vAlign w:val="bottom"/>
          </w:tcPr>
          <w:p>
            <w:pPr>
              <w:ind w:left="40"/>
              <w:spacing w:after="0"/>
              <w:rPr>
                <w:sz w:val="20"/>
                <w:szCs w:val="20"/>
                <w:color w:val="auto"/>
              </w:rPr>
            </w:pPr>
            <w:r>
              <w:rPr>
                <w:rFonts w:ascii="Arial" w:cs="Arial" w:eastAsia="Arial" w:hAnsi="Arial"/>
                <w:sz w:val="18"/>
                <w:szCs w:val="18"/>
                <w:color w:val="auto"/>
              </w:rPr>
              <w:t>Notice of Redemption</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8840" w:type="dxa"/>
            <w:vAlign w:val="bottom"/>
          </w:tcPr>
          <w:p>
            <w:pPr>
              <w:ind w:left="40"/>
              <w:spacing w:after="0"/>
              <w:rPr>
                <w:sz w:val="20"/>
                <w:szCs w:val="20"/>
                <w:color w:val="auto"/>
              </w:rPr>
            </w:pPr>
            <w:r>
              <w:rPr>
                <w:rFonts w:ascii="Arial" w:cs="Arial" w:eastAsia="Arial" w:hAnsi="Arial"/>
                <w:sz w:val="18"/>
                <w:szCs w:val="18"/>
                <w:color w:val="auto"/>
              </w:rPr>
              <w:t>Effect of Notice of Redemption</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8840" w:type="dxa"/>
            <w:vAlign w:val="bottom"/>
          </w:tcPr>
          <w:p>
            <w:pPr>
              <w:ind w:left="40"/>
              <w:spacing w:after="0"/>
              <w:rPr>
                <w:sz w:val="20"/>
                <w:szCs w:val="20"/>
                <w:color w:val="auto"/>
              </w:rPr>
            </w:pPr>
            <w:r>
              <w:rPr>
                <w:rFonts w:ascii="Arial" w:cs="Arial" w:eastAsia="Arial" w:hAnsi="Arial"/>
                <w:sz w:val="18"/>
                <w:szCs w:val="18"/>
                <w:color w:val="auto"/>
              </w:rPr>
              <w:t>Deposit of Redemption Price</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8840" w:type="dxa"/>
            <w:vAlign w:val="bottom"/>
          </w:tcPr>
          <w:p>
            <w:pPr>
              <w:ind w:left="40"/>
              <w:spacing w:after="0"/>
              <w:rPr>
                <w:sz w:val="20"/>
                <w:szCs w:val="20"/>
                <w:color w:val="auto"/>
              </w:rPr>
            </w:pPr>
            <w:r>
              <w:rPr>
                <w:rFonts w:ascii="Arial" w:cs="Arial" w:eastAsia="Arial" w:hAnsi="Arial"/>
                <w:sz w:val="18"/>
                <w:szCs w:val="18"/>
                <w:color w:val="auto"/>
              </w:rPr>
              <w:t>Securities Redeemed in Part</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8840" w:type="dxa"/>
            <w:vAlign w:val="bottom"/>
          </w:tcPr>
          <w:p>
            <w:pPr>
              <w:ind w:left="40"/>
              <w:spacing w:after="0"/>
              <w:rPr>
                <w:sz w:val="20"/>
                <w:szCs w:val="20"/>
                <w:color w:val="auto"/>
              </w:rPr>
            </w:pPr>
            <w:r>
              <w:rPr>
                <w:rFonts w:ascii="Arial" w:cs="Arial" w:eastAsia="Arial" w:hAnsi="Arial"/>
                <w:sz w:val="18"/>
                <w:szCs w:val="18"/>
                <w:color w:val="auto"/>
              </w:rPr>
              <w:t>Sinking Fund</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8840" w:type="dxa"/>
            <w:vAlign w:val="bottom"/>
          </w:tcPr>
          <w:p>
            <w:pPr>
              <w:ind w:left="40"/>
              <w:spacing w:after="0"/>
              <w:rPr>
                <w:sz w:val="20"/>
                <w:szCs w:val="20"/>
                <w:color w:val="auto"/>
              </w:rPr>
            </w:pPr>
            <w:r>
              <w:rPr>
                <w:rFonts w:ascii="Arial" w:cs="Arial" w:eastAsia="Arial" w:hAnsi="Arial"/>
                <w:sz w:val="18"/>
                <w:szCs w:val="18"/>
                <w:color w:val="auto"/>
              </w:rPr>
              <w:t>Satisfaction of Sinking Fund Payments with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8840" w:type="dxa"/>
            <w:vAlign w:val="bottom"/>
          </w:tcPr>
          <w:p>
            <w:pPr>
              <w:ind w:left="40"/>
              <w:spacing w:after="0"/>
              <w:rPr>
                <w:sz w:val="20"/>
                <w:szCs w:val="20"/>
                <w:color w:val="auto"/>
              </w:rPr>
            </w:pPr>
            <w:r>
              <w:rPr>
                <w:rFonts w:ascii="Arial" w:cs="Arial" w:eastAsia="Arial" w:hAnsi="Arial"/>
                <w:sz w:val="18"/>
                <w:szCs w:val="18"/>
                <w:color w:val="auto"/>
              </w:rPr>
              <w:t>Redemption of Securities for Sinking Fund</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8840" w:type="dxa"/>
            <w:vAlign w:val="bottom"/>
          </w:tcPr>
          <w:p>
            <w:pPr>
              <w:ind w:left="40"/>
              <w:spacing w:after="0"/>
              <w:rPr>
                <w:sz w:val="20"/>
                <w:szCs w:val="20"/>
                <w:color w:val="auto"/>
              </w:rPr>
            </w:pPr>
            <w:r>
              <w:rPr>
                <w:rFonts w:ascii="Arial" w:cs="Arial" w:eastAsia="Arial" w:hAnsi="Arial"/>
                <w:sz w:val="18"/>
                <w:szCs w:val="18"/>
                <w:color w:val="auto"/>
              </w:rPr>
              <w:t>Redemption Upon Changes in Tax Law</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9"/>
              </w:rPr>
              <w:t>ARTICLE IV. COVENANTS</w:t>
            </w:r>
          </w:p>
        </w:tc>
        <w:tc>
          <w:tcPr>
            <w:tcW w:w="8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8840" w:type="dxa"/>
            <w:vAlign w:val="bottom"/>
          </w:tcPr>
          <w:p>
            <w:pPr>
              <w:ind w:left="40"/>
              <w:spacing w:after="0"/>
              <w:rPr>
                <w:sz w:val="20"/>
                <w:szCs w:val="20"/>
                <w:color w:val="auto"/>
              </w:rPr>
            </w:pPr>
            <w:r>
              <w:rPr>
                <w:rFonts w:ascii="Arial" w:cs="Arial" w:eastAsia="Arial" w:hAnsi="Arial"/>
                <w:sz w:val="18"/>
                <w:szCs w:val="18"/>
                <w:color w:val="auto"/>
              </w:rPr>
              <w:t>Payment of Principal, Premium and Interest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8840" w:type="dxa"/>
            <w:vAlign w:val="bottom"/>
          </w:tcPr>
          <w:p>
            <w:pPr>
              <w:ind w:left="40"/>
              <w:spacing w:after="0"/>
              <w:rPr>
                <w:sz w:val="20"/>
                <w:szCs w:val="20"/>
                <w:color w:val="auto"/>
              </w:rPr>
            </w:pPr>
            <w:r>
              <w:rPr>
                <w:rFonts w:ascii="Arial" w:cs="Arial" w:eastAsia="Arial" w:hAnsi="Arial"/>
                <w:sz w:val="18"/>
                <w:szCs w:val="18"/>
                <w:color w:val="auto"/>
              </w:rPr>
              <w:t>Compliance Certificate</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8840" w:type="dxa"/>
            <w:vAlign w:val="bottom"/>
          </w:tcPr>
          <w:p>
            <w:pPr>
              <w:ind w:left="40"/>
              <w:spacing w:after="0"/>
              <w:rPr>
                <w:sz w:val="20"/>
                <w:szCs w:val="20"/>
                <w:color w:val="auto"/>
              </w:rPr>
            </w:pPr>
            <w:r>
              <w:rPr>
                <w:rFonts w:ascii="Arial" w:cs="Arial" w:eastAsia="Arial" w:hAnsi="Arial"/>
                <w:sz w:val="18"/>
                <w:szCs w:val="18"/>
                <w:color w:val="auto"/>
              </w:rPr>
              <w:t>Stay, Extension and Usury Laws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8840" w:type="dxa"/>
            <w:vAlign w:val="bottom"/>
          </w:tcPr>
          <w:p>
            <w:pPr>
              <w:ind w:left="40"/>
              <w:spacing w:after="0"/>
              <w:rPr>
                <w:sz w:val="20"/>
                <w:szCs w:val="20"/>
                <w:color w:val="auto"/>
              </w:rPr>
            </w:pPr>
            <w:r>
              <w:rPr>
                <w:rFonts w:ascii="Arial" w:cs="Arial" w:eastAsia="Arial" w:hAnsi="Arial"/>
                <w:sz w:val="18"/>
                <w:szCs w:val="18"/>
                <w:color w:val="auto"/>
              </w:rPr>
              <w:t>Corporate Existence</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8840" w:type="dxa"/>
            <w:vAlign w:val="bottom"/>
          </w:tcPr>
          <w:p>
            <w:pPr>
              <w:ind w:left="40"/>
              <w:spacing w:after="0"/>
              <w:rPr>
                <w:sz w:val="20"/>
                <w:szCs w:val="20"/>
                <w:color w:val="auto"/>
              </w:rPr>
            </w:pPr>
            <w:r>
              <w:rPr>
                <w:rFonts w:ascii="Arial" w:cs="Arial" w:eastAsia="Arial" w:hAnsi="Arial"/>
                <w:sz w:val="18"/>
                <w:szCs w:val="18"/>
                <w:color w:val="auto"/>
              </w:rPr>
              <w:t>Limitation on Liens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8840" w:type="dxa"/>
            <w:vAlign w:val="bottom"/>
          </w:tcPr>
          <w:p>
            <w:pPr>
              <w:ind w:left="40"/>
              <w:spacing w:after="0"/>
              <w:rPr>
                <w:sz w:val="20"/>
                <w:szCs w:val="20"/>
                <w:color w:val="auto"/>
              </w:rPr>
            </w:pPr>
            <w:r>
              <w:rPr>
                <w:rFonts w:ascii="Arial" w:cs="Arial" w:eastAsia="Arial" w:hAnsi="Arial"/>
                <w:sz w:val="18"/>
                <w:szCs w:val="18"/>
                <w:color w:val="auto"/>
              </w:rPr>
              <w:t>Additional Amounts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8840" w:type="dxa"/>
            <w:vAlign w:val="bottom"/>
          </w:tcPr>
          <w:p>
            <w:pPr>
              <w:ind w:left="40"/>
              <w:spacing w:after="0"/>
              <w:rPr>
                <w:sz w:val="20"/>
                <w:szCs w:val="20"/>
                <w:color w:val="auto"/>
              </w:rPr>
            </w:pPr>
            <w:r>
              <w:rPr>
                <w:rFonts w:ascii="Arial" w:cs="Arial" w:eastAsia="Arial" w:hAnsi="Arial"/>
                <w:sz w:val="18"/>
                <w:szCs w:val="18"/>
                <w:color w:val="auto"/>
              </w:rPr>
              <w:t>Reports</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ARTICLE V. SUCCESSORS</w:t>
            </w:r>
          </w:p>
        </w:tc>
        <w:tc>
          <w:tcPr>
            <w:tcW w:w="8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8840" w:type="dxa"/>
            <w:vAlign w:val="bottom"/>
          </w:tcPr>
          <w:p>
            <w:pPr>
              <w:ind w:left="40"/>
              <w:spacing w:after="0"/>
              <w:rPr>
                <w:sz w:val="20"/>
                <w:szCs w:val="20"/>
                <w:color w:val="auto"/>
              </w:rPr>
            </w:pPr>
            <w:r>
              <w:rPr>
                <w:rFonts w:ascii="Arial" w:cs="Arial" w:eastAsia="Arial" w:hAnsi="Arial"/>
                <w:sz w:val="18"/>
                <w:szCs w:val="18"/>
                <w:color w:val="auto"/>
              </w:rPr>
              <w:t>Consolidation, Merger and Sale of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8840" w:type="dxa"/>
            <w:vAlign w:val="bottom"/>
          </w:tcPr>
          <w:p>
            <w:pPr>
              <w:ind w:left="40"/>
              <w:spacing w:after="0"/>
              <w:rPr>
                <w:sz w:val="20"/>
                <w:szCs w:val="20"/>
                <w:color w:val="auto"/>
              </w:rPr>
            </w:pPr>
            <w:r>
              <w:rPr>
                <w:rFonts w:ascii="Arial" w:cs="Arial" w:eastAsia="Arial" w:hAnsi="Arial"/>
                <w:sz w:val="18"/>
                <w:szCs w:val="18"/>
                <w:color w:val="auto"/>
              </w:rPr>
              <w:t>Assumption by a Subsidiary</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88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8840" w:type="dxa"/>
            <w:vAlign w:val="bottom"/>
          </w:tcPr>
          <w:p>
            <w:pPr>
              <w:ind w:left="40"/>
              <w:spacing w:after="0"/>
              <w:rPr>
                <w:sz w:val="20"/>
                <w:szCs w:val="20"/>
                <w:color w:val="auto"/>
              </w:rPr>
            </w:pPr>
            <w:r>
              <w:rPr>
                <w:rFonts w:ascii="Arial" w:cs="Arial" w:eastAsia="Arial" w:hAnsi="Arial"/>
                <w:sz w:val="18"/>
                <w:szCs w:val="18"/>
                <w:color w:val="auto"/>
              </w:rPr>
              <w:t>Acceleration of Maturity; Rescission and Annulment</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8840" w:type="dxa"/>
            <w:vAlign w:val="bottom"/>
          </w:tcPr>
          <w:p>
            <w:pPr>
              <w:ind w:left="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884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8840" w:type="dxa"/>
            <w:vAlign w:val="bottom"/>
          </w:tcPr>
          <w:p>
            <w:pPr>
              <w:ind w:left="40"/>
              <w:spacing w:after="0"/>
              <w:rPr>
                <w:sz w:val="20"/>
                <w:szCs w:val="20"/>
                <w:color w:val="auto"/>
              </w:rPr>
            </w:pPr>
            <w:r>
              <w:rPr>
                <w:rFonts w:ascii="Arial" w:cs="Arial" w:eastAsia="Arial" w:hAnsi="Arial"/>
                <w:sz w:val="18"/>
                <w:szCs w:val="18"/>
                <w:color w:val="auto"/>
              </w:rPr>
              <w:t>Trustee May Enforce Claims Without Possession of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22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8840" w:type="dxa"/>
            <w:vAlign w:val="bottom"/>
          </w:tcPr>
          <w:p>
            <w:pPr>
              <w:ind w:left="40"/>
              <w:spacing w:after="0"/>
              <w:rPr>
                <w:sz w:val="20"/>
                <w:szCs w:val="20"/>
                <w:color w:val="auto"/>
              </w:rPr>
            </w:pPr>
            <w:r>
              <w:rPr>
                <w:rFonts w:ascii="Arial" w:cs="Arial" w:eastAsia="Arial" w:hAnsi="Arial"/>
                <w:sz w:val="18"/>
                <w:szCs w:val="18"/>
                <w:color w:val="auto"/>
              </w:rPr>
              <w:t>Application of Money Collected</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22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884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440"/>
              <w:spacing w:after="0"/>
              <w:rPr>
                <w:sz w:val="20"/>
                <w:szCs w:val="20"/>
                <w:color w:val="auto"/>
              </w:rPr>
            </w:pPr>
            <w:r>
              <w:rPr>
                <w:rFonts w:ascii="Arial" w:cs="Arial" w:eastAsia="Arial" w:hAnsi="Arial"/>
                <w:sz w:val="18"/>
                <w:szCs w:val="18"/>
                <w:color w:val="auto"/>
              </w:rPr>
              <w:t>Section 6.8.</w:t>
            </w:r>
          </w:p>
        </w:tc>
        <w:tc>
          <w:tcPr>
            <w:tcW w:w="8980" w:type="dxa"/>
            <w:vAlign w:val="bottom"/>
            <w:vMerge w:val="restart"/>
          </w:tcPr>
          <w:p>
            <w:pPr>
              <w:ind w:left="18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208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6.9.</w:t>
            </w:r>
          </w:p>
        </w:tc>
        <w:tc>
          <w:tcPr>
            <w:tcW w:w="898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898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898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898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898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6.14.</w:t>
            </w:r>
          </w:p>
        </w:tc>
        <w:tc>
          <w:tcPr>
            <w:tcW w:w="89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VII. TRUSTEE</w:t>
            </w:r>
          </w:p>
        </w:tc>
        <w:tc>
          <w:tcPr>
            <w:tcW w:w="8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8980" w:type="dxa"/>
            <w:vAlign w:val="bottom"/>
          </w:tcPr>
          <w:p>
            <w:pPr>
              <w:ind w:left="180"/>
              <w:spacing w:after="0"/>
              <w:rPr>
                <w:sz w:val="20"/>
                <w:szCs w:val="20"/>
                <w:color w:val="auto"/>
              </w:rPr>
            </w:pPr>
            <w:r>
              <w:rPr>
                <w:rFonts w:ascii="Arial" w:cs="Arial" w:eastAsia="Arial" w:hAnsi="Arial"/>
                <w:sz w:val="18"/>
                <w:szCs w:val="18"/>
                <w:color w:val="auto"/>
              </w:rPr>
              <w:t>Duties of Trustee</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8980" w:type="dxa"/>
            <w:vAlign w:val="bottom"/>
          </w:tcPr>
          <w:p>
            <w:pPr>
              <w:ind w:left="180"/>
              <w:spacing w:after="0"/>
              <w:rPr>
                <w:sz w:val="20"/>
                <w:szCs w:val="20"/>
                <w:color w:val="auto"/>
              </w:rPr>
            </w:pPr>
            <w:r>
              <w:rPr>
                <w:rFonts w:ascii="Arial" w:cs="Arial" w:eastAsia="Arial" w:hAnsi="Arial"/>
                <w:sz w:val="18"/>
                <w:szCs w:val="18"/>
                <w:color w:val="auto"/>
              </w:rPr>
              <w:t>Rights of Trustee</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8980" w:type="dxa"/>
            <w:vAlign w:val="bottom"/>
          </w:tcPr>
          <w:p>
            <w:pPr>
              <w:ind w:left="180"/>
              <w:spacing w:after="0"/>
              <w:rPr>
                <w:sz w:val="20"/>
                <w:szCs w:val="20"/>
                <w:color w:val="auto"/>
              </w:rPr>
            </w:pPr>
            <w:r>
              <w:rPr>
                <w:rFonts w:ascii="Arial" w:cs="Arial" w:eastAsia="Arial" w:hAnsi="Arial"/>
                <w:sz w:val="18"/>
                <w:szCs w:val="18"/>
                <w:color w:val="auto"/>
              </w:rPr>
              <w:t>May Hold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8980" w:type="dxa"/>
            <w:vAlign w:val="bottom"/>
          </w:tcPr>
          <w:p>
            <w:pPr>
              <w:ind w:left="180"/>
              <w:spacing w:after="0"/>
              <w:rPr>
                <w:sz w:val="20"/>
                <w:szCs w:val="20"/>
                <w:color w:val="auto"/>
              </w:rPr>
            </w:pPr>
            <w:r>
              <w:rPr>
                <w:rFonts w:ascii="Arial" w:cs="Arial" w:eastAsia="Arial" w:hAnsi="Arial"/>
                <w:sz w:val="18"/>
                <w:szCs w:val="18"/>
                <w:color w:val="auto"/>
              </w:rPr>
              <w:t>Trustee’s Disclaimer</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7.5.</w:t>
            </w:r>
          </w:p>
        </w:tc>
        <w:tc>
          <w:tcPr>
            <w:tcW w:w="898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7.6.</w:t>
            </w:r>
          </w:p>
        </w:tc>
        <w:tc>
          <w:tcPr>
            <w:tcW w:w="8980" w:type="dxa"/>
            <w:vAlign w:val="bottom"/>
          </w:tcPr>
          <w:p>
            <w:pPr>
              <w:ind w:left="180"/>
              <w:spacing w:after="0"/>
              <w:rPr>
                <w:sz w:val="20"/>
                <w:szCs w:val="20"/>
                <w:color w:val="auto"/>
              </w:rPr>
            </w:pPr>
            <w:r>
              <w:rPr>
                <w:rFonts w:ascii="Arial" w:cs="Arial" w:eastAsia="Arial" w:hAnsi="Arial"/>
                <w:sz w:val="18"/>
                <w:szCs w:val="18"/>
                <w:color w:val="auto"/>
              </w:rPr>
              <w:t>Reports by Trustee to 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7.7.</w:t>
            </w:r>
          </w:p>
        </w:tc>
        <w:tc>
          <w:tcPr>
            <w:tcW w:w="8980" w:type="dxa"/>
            <w:vAlign w:val="bottom"/>
          </w:tcPr>
          <w:p>
            <w:pPr>
              <w:ind w:left="180"/>
              <w:spacing w:after="0"/>
              <w:rPr>
                <w:sz w:val="20"/>
                <w:szCs w:val="20"/>
                <w:color w:val="auto"/>
              </w:rPr>
            </w:pPr>
            <w:r>
              <w:rPr>
                <w:rFonts w:ascii="Arial" w:cs="Arial" w:eastAsia="Arial" w:hAnsi="Arial"/>
                <w:sz w:val="18"/>
                <w:szCs w:val="18"/>
                <w:color w:val="auto"/>
              </w:rPr>
              <w:t>Compensation and 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7.8.</w:t>
            </w:r>
          </w:p>
        </w:tc>
        <w:tc>
          <w:tcPr>
            <w:tcW w:w="8980" w:type="dxa"/>
            <w:vAlign w:val="bottom"/>
          </w:tcPr>
          <w:p>
            <w:pPr>
              <w:ind w:left="180"/>
              <w:spacing w:after="0"/>
              <w:rPr>
                <w:sz w:val="20"/>
                <w:szCs w:val="20"/>
                <w:color w:val="auto"/>
              </w:rPr>
            </w:pPr>
            <w:r>
              <w:rPr>
                <w:rFonts w:ascii="Arial" w:cs="Arial" w:eastAsia="Arial" w:hAnsi="Arial"/>
                <w:sz w:val="18"/>
                <w:szCs w:val="18"/>
                <w:color w:val="auto"/>
              </w:rPr>
              <w:t>Replacement of Trustee</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7.9.</w:t>
            </w:r>
          </w:p>
        </w:tc>
        <w:tc>
          <w:tcPr>
            <w:tcW w:w="8980" w:type="dxa"/>
            <w:vAlign w:val="bottom"/>
          </w:tcPr>
          <w:p>
            <w:pPr>
              <w:ind w:left="180"/>
              <w:spacing w:after="0"/>
              <w:rPr>
                <w:sz w:val="20"/>
                <w:szCs w:val="20"/>
                <w:color w:val="auto"/>
              </w:rPr>
            </w:pPr>
            <w:r>
              <w:rPr>
                <w:rFonts w:ascii="Arial" w:cs="Arial" w:eastAsia="Arial" w:hAnsi="Arial"/>
                <w:sz w:val="18"/>
                <w:szCs w:val="18"/>
                <w:color w:val="auto"/>
              </w:rPr>
              <w:t>Successor Trustee by Merger, etc</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7.10.</w:t>
            </w:r>
          </w:p>
        </w:tc>
        <w:tc>
          <w:tcPr>
            <w:tcW w:w="8980" w:type="dxa"/>
            <w:vAlign w:val="bottom"/>
          </w:tcPr>
          <w:p>
            <w:pPr>
              <w:ind w:left="180"/>
              <w:spacing w:after="0"/>
              <w:rPr>
                <w:sz w:val="20"/>
                <w:szCs w:val="20"/>
                <w:color w:val="auto"/>
              </w:rPr>
            </w:pPr>
            <w:r>
              <w:rPr>
                <w:rFonts w:ascii="Arial" w:cs="Arial" w:eastAsia="Arial" w:hAnsi="Arial"/>
                <w:sz w:val="18"/>
                <w:szCs w:val="18"/>
                <w:color w:val="auto"/>
              </w:rPr>
              <w:t>Eligibility; Disqualification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7.11.</w:t>
            </w:r>
          </w:p>
        </w:tc>
        <w:tc>
          <w:tcPr>
            <w:tcW w:w="89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VIII. DISCHARGE OF INDENTURE</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8980" w:type="dxa"/>
            <w:vAlign w:val="bottom"/>
          </w:tcPr>
          <w:p>
            <w:pPr>
              <w:ind w:left="180"/>
              <w:spacing w:after="0"/>
              <w:rPr>
                <w:sz w:val="20"/>
                <w:szCs w:val="20"/>
                <w:color w:val="auto"/>
              </w:rPr>
            </w:pPr>
            <w:r>
              <w:rPr>
                <w:rFonts w:ascii="Arial" w:cs="Arial" w:eastAsia="Arial" w:hAnsi="Arial"/>
                <w:sz w:val="18"/>
                <w:szCs w:val="18"/>
                <w:color w:val="auto"/>
              </w:rPr>
              <w:t>Termination of Company’s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898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898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898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8980" w:type="dxa"/>
            <w:vAlign w:val="bottom"/>
          </w:tcPr>
          <w:p>
            <w:pPr>
              <w:ind w:left="180"/>
              <w:spacing w:after="0"/>
              <w:rPr>
                <w:sz w:val="20"/>
                <w:szCs w:val="20"/>
                <w:color w:val="auto"/>
              </w:rPr>
            </w:pPr>
            <w:r>
              <w:rPr>
                <w:rFonts w:ascii="Arial" w:cs="Arial" w:eastAsia="Arial" w:hAnsi="Arial"/>
                <w:sz w:val="18"/>
                <w:szCs w:val="18"/>
                <w:color w:val="auto"/>
              </w:rPr>
              <w:t>Without Consent of 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8980" w:type="dxa"/>
            <w:vAlign w:val="bottom"/>
          </w:tcPr>
          <w:p>
            <w:pPr>
              <w:ind w:left="180"/>
              <w:spacing w:after="0"/>
              <w:rPr>
                <w:sz w:val="20"/>
                <w:szCs w:val="20"/>
                <w:color w:val="auto"/>
              </w:rPr>
            </w:pPr>
            <w:r>
              <w:rPr>
                <w:rFonts w:ascii="Arial" w:cs="Arial" w:eastAsia="Arial" w:hAnsi="Arial"/>
                <w:sz w:val="18"/>
                <w:szCs w:val="18"/>
                <w:color w:val="auto"/>
              </w:rPr>
              <w:t>With Consent of 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8980" w:type="dxa"/>
            <w:vAlign w:val="bottom"/>
          </w:tcPr>
          <w:p>
            <w:pPr>
              <w:ind w:left="180"/>
              <w:spacing w:after="0"/>
              <w:rPr>
                <w:sz w:val="20"/>
                <w:szCs w:val="20"/>
                <w:color w:val="auto"/>
              </w:rPr>
            </w:pPr>
            <w:r>
              <w:rPr>
                <w:rFonts w:ascii="Arial" w:cs="Arial" w:eastAsia="Arial" w:hAnsi="Arial"/>
                <w:sz w:val="18"/>
                <w:szCs w:val="18"/>
                <w:color w:val="auto"/>
              </w:rPr>
              <w:t>Limitations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8980" w:type="dxa"/>
            <w:vAlign w:val="bottom"/>
          </w:tcPr>
          <w:p>
            <w:pPr>
              <w:ind w:left="180"/>
              <w:spacing w:after="0"/>
              <w:rPr>
                <w:sz w:val="20"/>
                <w:szCs w:val="20"/>
                <w:color w:val="auto"/>
              </w:rPr>
            </w:pPr>
            <w:r>
              <w:rPr>
                <w:rFonts w:ascii="Arial" w:cs="Arial" w:eastAsia="Arial" w:hAnsi="Arial"/>
                <w:sz w:val="18"/>
                <w:szCs w:val="18"/>
                <w:color w:val="auto"/>
              </w:rPr>
              <w:t>Form of Amendments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8980" w:type="dxa"/>
            <w:vAlign w:val="bottom"/>
          </w:tcPr>
          <w:p>
            <w:pPr>
              <w:ind w:left="180"/>
              <w:spacing w:after="0"/>
              <w:rPr>
                <w:sz w:val="20"/>
                <w:szCs w:val="20"/>
                <w:color w:val="auto"/>
              </w:rPr>
            </w:pPr>
            <w:r>
              <w:rPr>
                <w:rFonts w:ascii="Arial" w:cs="Arial" w:eastAsia="Arial" w:hAnsi="Arial"/>
                <w:sz w:val="18"/>
                <w:szCs w:val="18"/>
                <w:color w:val="auto"/>
              </w:rPr>
              <w:t>Revocation and Effect of Consents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8980" w:type="dxa"/>
            <w:vAlign w:val="bottom"/>
          </w:tcPr>
          <w:p>
            <w:pPr>
              <w:ind w:left="180"/>
              <w:spacing w:after="0"/>
              <w:rPr>
                <w:sz w:val="20"/>
                <w:szCs w:val="20"/>
                <w:color w:val="auto"/>
              </w:rPr>
            </w:pPr>
            <w:r>
              <w:rPr>
                <w:rFonts w:ascii="Arial" w:cs="Arial" w:eastAsia="Arial" w:hAnsi="Arial"/>
                <w:sz w:val="18"/>
                <w:szCs w:val="18"/>
                <w:color w:val="auto"/>
              </w:rPr>
              <w:t>Notation on or Exchange of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8980" w:type="dxa"/>
            <w:vAlign w:val="bottom"/>
          </w:tcPr>
          <w:p>
            <w:pPr>
              <w:ind w:left="180"/>
              <w:spacing w:after="0"/>
              <w:rPr>
                <w:sz w:val="20"/>
                <w:szCs w:val="20"/>
                <w:color w:val="auto"/>
              </w:rPr>
            </w:pPr>
            <w:r>
              <w:rPr>
                <w:rFonts w:ascii="Arial" w:cs="Arial" w:eastAsia="Arial" w:hAnsi="Arial"/>
                <w:sz w:val="18"/>
                <w:szCs w:val="18"/>
                <w:color w:val="auto"/>
              </w:rPr>
              <w:t>Trustee Protected</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10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8980" w:type="dxa"/>
            <w:vAlign w:val="bottom"/>
          </w:tcPr>
          <w:p>
            <w:pPr>
              <w:ind w:left="18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8980" w:type="dxa"/>
            <w:vAlign w:val="bottom"/>
          </w:tcPr>
          <w:p>
            <w:pPr>
              <w:ind w:left="180"/>
              <w:spacing w:after="0"/>
              <w:rPr>
                <w:sz w:val="20"/>
                <w:szCs w:val="20"/>
                <w:color w:val="auto"/>
              </w:rPr>
            </w:pPr>
            <w:r>
              <w:rPr>
                <w:rFonts w:ascii="Arial" w:cs="Arial" w:eastAsia="Arial" w:hAnsi="Arial"/>
                <w:sz w:val="18"/>
                <w:szCs w:val="18"/>
                <w:color w:val="auto"/>
              </w:rPr>
              <w:t>Communication by Holders with Other 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8980" w:type="dxa"/>
            <w:vAlign w:val="bottom"/>
          </w:tcPr>
          <w:p>
            <w:pPr>
              <w:ind w:left="180"/>
              <w:spacing w:after="0"/>
              <w:rPr>
                <w:sz w:val="20"/>
                <w:szCs w:val="20"/>
                <w:color w:val="auto"/>
              </w:rPr>
            </w:pPr>
            <w:r>
              <w:rPr>
                <w:rFonts w:ascii="Arial" w:cs="Arial" w:eastAsia="Arial" w:hAnsi="Arial"/>
                <w:sz w:val="18"/>
                <w:szCs w:val="18"/>
                <w:color w:val="auto"/>
              </w:rPr>
              <w:t>Certificate and Opinion as to 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8980" w:type="dxa"/>
            <w:vAlign w:val="bottom"/>
          </w:tcPr>
          <w:p>
            <w:pPr>
              <w:ind w:left="180"/>
              <w:spacing w:after="0"/>
              <w:rPr>
                <w:sz w:val="20"/>
                <w:szCs w:val="20"/>
                <w:color w:val="auto"/>
              </w:rPr>
            </w:pPr>
            <w:r>
              <w:rPr>
                <w:rFonts w:ascii="Arial" w:cs="Arial" w:eastAsia="Arial" w:hAnsi="Arial"/>
                <w:sz w:val="18"/>
                <w:szCs w:val="18"/>
                <w:color w:val="auto"/>
              </w:rPr>
              <w:t>Statements Required in Certificate or Opinion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8980" w:type="dxa"/>
            <w:vAlign w:val="bottom"/>
          </w:tcPr>
          <w:p>
            <w:pPr>
              <w:ind w:left="180"/>
              <w:spacing w:after="0"/>
              <w:rPr>
                <w:sz w:val="20"/>
                <w:szCs w:val="20"/>
                <w:color w:val="auto"/>
              </w:rPr>
            </w:pPr>
            <w:r>
              <w:rPr>
                <w:rFonts w:ascii="Arial" w:cs="Arial" w:eastAsia="Arial" w:hAnsi="Arial"/>
                <w:sz w:val="18"/>
                <w:szCs w:val="18"/>
                <w:color w:val="auto"/>
              </w:rPr>
              <w:t>Rules by Trustee and Agents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8980" w:type="dxa"/>
            <w:vAlign w:val="bottom"/>
          </w:tcPr>
          <w:p>
            <w:pPr>
              <w:ind w:left="180"/>
              <w:spacing w:after="0"/>
              <w:rPr>
                <w:sz w:val="20"/>
                <w:szCs w:val="20"/>
                <w:color w:val="auto"/>
              </w:rPr>
            </w:pPr>
            <w:r>
              <w:rPr>
                <w:rFonts w:ascii="Arial" w:cs="Arial" w:eastAsia="Arial" w:hAnsi="Arial"/>
                <w:sz w:val="18"/>
                <w:szCs w:val="18"/>
                <w:color w:val="auto"/>
              </w:rPr>
              <w:t>Legal Holidays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8980" w:type="dxa"/>
            <w:vAlign w:val="bottom"/>
          </w:tcPr>
          <w:p>
            <w:pPr>
              <w:ind w:left="180"/>
              <w:spacing w:after="0"/>
              <w:rPr>
                <w:sz w:val="20"/>
                <w:szCs w:val="20"/>
                <w:color w:val="auto"/>
              </w:rPr>
            </w:pPr>
            <w:r>
              <w:rPr>
                <w:rFonts w:ascii="Arial" w:cs="Arial" w:eastAsia="Arial" w:hAnsi="Arial"/>
                <w:sz w:val="18"/>
                <w:szCs w:val="18"/>
                <w:color w:val="auto"/>
              </w:rPr>
              <w:t>No Personal Liability of Directors, Officers, Employees and Certain Others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89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10.9.</w:t>
            </w:r>
          </w:p>
        </w:tc>
        <w:tc>
          <w:tcPr>
            <w:tcW w:w="8980" w:type="dxa"/>
            <w:vAlign w:val="bottom"/>
          </w:tcPr>
          <w:p>
            <w:pPr>
              <w:ind w:left="180"/>
              <w:spacing w:after="0"/>
              <w:rPr>
                <w:sz w:val="20"/>
                <w:szCs w:val="20"/>
                <w:color w:val="auto"/>
              </w:rPr>
            </w:pPr>
            <w:r>
              <w:rPr>
                <w:rFonts w:ascii="Arial" w:cs="Arial" w:eastAsia="Arial" w:hAnsi="Arial"/>
                <w:sz w:val="18"/>
                <w:szCs w:val="18"/>
                <w:color w:val="auto"/>
              </w:rPr>
              <w:t>Governing Laws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10.10.</w:t>
            </w:r>
          </w:p>
        </w:tc>
        <w:tc>
          <w:tcPr>
            <w:tcW w:w="8980" w:type="dxa"/>
            <w:vAlign w:val="bottom"/>
          </w:tcPr>
          <w:p>
            <w:pPr>
              <w:ind w:left="180"/>
              <w:spacing w:after="0"/>
              <w:rPr>
                <w:sz w:val="20"/>
                <w:szCs w:val="20"/>
                <w:color w:val="auto"/>
              </w:rPr>
            </w:pPr>
            <w:r>
              <w:rPr>
                <w:rFonts w:ascii="Arial" w:cs="Arial" w:eastAsia="Arial" w:hAnsi="Arial"/>
                <w:sz w:val="18"/>
                <w:szCs w:val="18"/>
                <w:color w:val="auto"/>
              </w:rPr>
              <w:t>No Adverse Interpretation of Other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10.11.</w:t>
            </w:r>
          </w:p>
        </w:tc>
        <w:tc>
          <w:tcPr>
            <w:tcW w:w="898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10.12.</w:t>
            </w:r>
          </w:p>
        </w:tc>
        <w:tc>
          <w:tcPr>
            <w:tcW w:w="89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10.13.</w:t>
            </w:r>
          </w:p>
        </w:tc>
        <w:tc>
          <w:tcPr>
            <w:tcW w:w="8980" w:type="dxa"/>
            <w:vAlign w:val="bottom"/>
          </w:tcPr>
          <w:p>
            <w:pPr>
              <w:ind w:left="180"/>
              <w:spacing w:after="0"/>
              <w:rPr>
                <w:sz w:val="20"/>
                <w:szCs w:val="20"/>
                <w:color w:val="auto"/>
              </w:rPr>
            </w:pPr>
            <w:r>
              <w:rPr>
                <w:rFonts w:ascii="Arial" w:cs="Arial" w:eastAsia="Arial" w:hAnsi="Arial"/>
                <w:sz w:val="18"/>
                <w:szCs w:val="18"/>
                <w:color w:val="auto"/>
              </w:rPr>
              <w:t>Table of Contents, Headings, Etc</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10.14.</w:t>
            </w:r>
          </w:p>
        </w:tc>
        <w:tc>
          <w:tcPr>
            <w:tcW w:w="8980" w:type="dxa"/>
            <w:vAlign w:val="bottom"/>
          </w:tcPr>
          <w:p>
            <w:pPr>
              <w:ind w:left="180"/>
              <w:spacing w:after="0"/>
              <w:rPr>
                <w:sz w:val="20"/>
                <w:szCs w:val="20"/>
                <w:color w:val="auto"/>
              </w:rPr>
            </w:pPr>
            <w:r>
              <w:rPr>
                <w:rFonts w:ascii="Arial" w:cs="Arial" w:eastAsia="Arial" w:hAnsi="Arial"/>
                <w:sz w:val="18"/>
                <w:szCs w:val="18"/>
                <w:color w:val="auto"/>
              </w:rPr>
              <w:t>Judgment Currency</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10.15.</w:t>
            </w:r>
          </w:p>
        </w:tc>
        <w:tc>
          <w:tcPr>
            <w:tcW w:w="8980" w:type="dxa"/>
            <w:vAlign w:val="bottom"/>
          </w:tcPr>
          <w:p>
            <w:pPr>
              <w:ind w:left="180"/>
              <w:spacing w:after="0"/>
              <w:rPr>
                <w:sz w:val="20"/>
                <w:szCs w:val="20"/>
                <w:color w:val="auto"/>
              </w:rPr>
            </w:pPr>
            <w:r>
              <w:rPr>
                <w:rFonts w:ascii="Arial" w:cs="Arial" w:eastAsia="Arial" w:hAnsi="Arial"/>
                <w:sz w:val="18"/>
                <w:szCs w:val="18"/>
                <w:color w:val="auto"/>
              </w:rPr>
              <w:t>English Language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10.16.</w:t>
            </w:r>
          </w:p>
        </w:tc>
        <w:tc>
          <w:tcPr>
            <w:tcW w:w="8980" w:type="dxa"/>
            <w:vAlign w:val="bottom"/>
          </w:tcPr>
          <w:p>
            <w:pPr>
              <w:ind w:left="180"/>
              <w:spacing w:after="0"/>
              <w:rPr>
                <w:sz w:val="20"/>
                <w:szCs w:val="20"/>
                <w:color w:val="auto"/>
              </w:rPr>
            </w:pPr>
            <w:r>
              <w:rPr>
                <w:rFonts w:ascii="Arial" w:cs="Arial" w:eastAsia="Arial" w:hAnsi="Arial"/>
                <w:sz w:val="18"/>
                <w:szCs w:val="18"/>
                <w:color w:val="auto"/>
              </w:rPr>
              <w:t>Submission to Jurisdiction; Appointment of Agent</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10.17.</w:t>
            </w:r>
          </w:p>
        </w:tc>
        <w:tc>
          <w:tcPr>
            <w:tcW w:w="8980" w:type="dxa"/>
            <w:vAlign w:val="bottom"/>
          </w:tcPr>
          <w:p>
            <w:pPr>
              <w:ind w:left="180"/>
              <w:spacing w:after="0"/>
              <w:rPr>
                <w:sz w:val="20"/>
                <w:szCs w:val="20"/>
                <w:color w:val="auto"/>
              </w:rPr>
            </w:pPr>
            <w:r>
              <w:rPr>
                <w:rFonts w:ascii="Arial" w:cs="Arial" w:eastAsia="Arial" w:hAnsi="Arial"/>
                <w:sz w:val="18"/>
                <w:szCs w:val="18"/>
                <w:color w:val="auto"/>
              </w:rPr>
              <w:t>Waiver of Immunity</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80" w:type="dxa"/>
            <w:vAlign w:val="bottom"/>
          </w:tcPr>
          <w:p>
            <w:pPr>
              <w:ind w:left="440"/>
              <w:spacing w:after="0"/>
              <w:rPr>
                <w:sz w:val="20"/>
                <w:szCs w:val="20"/>
                <w:color w:val="auto"/>
              </w:rPr>
            </w:pPr>
            <w:r>
              <w:rPr>
                <w:rFonts w:ascii="Arial" w:cs="Arial" w:eastAsia="Arial" w:hAnsi="Arial"/>
                <w:sz w:val="18"/>
                <w:szCs w:val="18"/>
                <w:color w:val="auto"/>
              </w:rPr>
              <w:t>Section 10.18.</w:t>
            </w:r>
          </w:p>
        </w:tc>
        <w:tc>
          <w:tcPr>
            <w:tcW w:w="898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80" w:type="dxa"/>
            <w:vAlign w:val="bottom"/>
          </w:tcPr>
          <w:p>
            <w:pPr>
              <w:ind w:left="440"/>
              <w:spacing w:after="0"/>
              <w:rPr>
                <w:sz w:val="20"/>
                <w:szCs w:val="20"/>
                <w:color w:val="auto"/>
              </w:rPr>
            </w:pPr>
            <w:r>
              <w:rPr>
                <w:rFonts w:ascii="Arial" w:cs="Arial" w:eastAsia="Arial" w:hAnsi="Arial"/>
                <w:sz w:val="18"/>
                <w:szCs w:val="18"/>
                <w:color w:val="auto"/>
              </w:rPr>
              <w:t>Section 10.19.</w:t>
            </w:r>
          </w:p>
        </w:tc>
        <w:tc>
          <w:tcPr>
            <w:tcW w:w="8980" w:type="dxa"/>
            <w:vAlign w:val="bottom"/>
          </w:tcPr>
          <w:p>
            <w:pPr>
              <w:ind w:left="180"/>
              <w:spacing w:after="0"/>
              <w:rPr>
                <w:sz w:val="20"/>
                <w:szCs w:val="20"/>
                <w:color w:val="auto"/>
              </w:rPr>
            </w:pPr>
            <w:r>
              <w:rPr>
                <w:rFonts w:ascii="Arial" w:cs="Arial" w:eastAsia="Arial" w:hAnsi="Arial"/>
                <w:sz w:val="18"/>
                <w:szCs w:val="18"/>
                <w:color w:val="auto"/>
              </w:rPr>
              <w:t>Trust Indenture Act Controls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6" w:right="339" w:bottom="1440" w:gutter="0" w:footer="0" w:header="0"/>
        </w:sectPr>
      </w:pPr>
    </w:p>
    <w:bookmarkStart w:id="61" w:name="page62"/>
    <w:bookmarkEnd w:id="61"/>
    <w:p>
      <w:pPr>
        <w:ind w:right="1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 by and among Schlumberger Investment SA, a public limited liability company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the Grand Duchy of Luxembourg having its registered address at 5 Avenue Gaston Diderich, L-1420 Luxembourg and registered with the Luxembourg Register of Commerce and Companies under number B 163.122 (the “</w:t>
      </w:r>
      <w:r>
        <w:rPr>
          <w:rFonts w:ascii="Arial" w:cs="Arial" w:eastAsia="Arial" w:hAnsi="Arial"/>
          <w:sz w:val="16"/>
          <w:szCs w:val="16"/>
          <w:i w:val="1"/>
          <w:iCs w:val="1"/>
          <w:color w:val="auto"/>
        </w:rPr>
        <w:t>Company</w:t>
      </w:r>
      <w:r>
        <w:rPr>
          <w:rFonts w:ascii="Arial" w:cs="Arial" w:eastAsia="Arial" w:hAnsi="Arial"/>
          <w:sz w:val="16"/>
          <w:szCs w:val="16"/>
          <w:color w:val="auto"/>
        </w:rPr>
        <w:t>”), Schlumberger Limited, a company organized under the laws of Curaçao (the “</w:t>
      </w:r>
      <w:r>
        <w:rPr>
          <w:rFonts w:ascii="Arial" w:cs="Arial" w:eastAsia="Arial" w:hAnsi="Arial"/>
          <w:sz w:val="16"/>
          <w:szCs w:val="16"/>
          <w:i w:val="1"/>
          <w:iCs w:val="1"/>
          <w:color w:val="auto"/>
        </w:rPr>
        <w:t>Guarantor</w:t>
      </w:r>
      <w:r>
        <w:rPr>
          <w:rFonts w:ascii="Arial" w:cs="Arial" w:eastAsia="Arial" w:hAnsi="Arial"/>
          <w:sz w:val="16"/>
          <w:szCs w:val="16"/>
          <w:color w:val="auto"/>
        </w:rPr>
        <w:t>”), and The Bank of New York Mellon, as trustee (the “</w:t>
      </w:r>
      <w:r>
        <w:rPr>
          <w:rFonts w:ascii="Arial" w:cs="Arial" w:eastAsia="Arial" w:hAnsi="Arial"/>
          <w:sz w:val="16"/>
          <w:szCs w:val="16"/>
          <w:i w:val="1"/>
          <w:iCs w:val="1"/>
          <w:color w:val="auto"/>
        </w:rPr>
        <w:t>Trustee</w:t>
      </w:r>
      <w:r>
        <w:rPr>
          <w:rFonts w:ascii="Arial" w:cs="Arial" w:eastAsia="Arial" w:hAnsi="Arial"/>
          <w:sz w:val="16"/>
          <w:szCs w:val="16"/>
          <w:color w:val="auto"/>
        </w:rPr>
        <w:t>”), registrar, paying agent and transfer agent.</w:t>
      </w:r>
    </w:p>
    <w:p>
      <w:pPr>
        <w:spacing w:after="0" w:line="113"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 BY REFERENCE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Transfer Agent or any other agent appointed pursuant to this Indenture.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the Guarantor, or any duly authorized committee thereof.</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or the Guarantor, as applicable, to have been adopted by its Board of Directors or pursuant to authorization by its Board of Directors and to be in full force and effect on the date of the certification and delivered to the Trustee.</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Legal Holiday.</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Securities</w:t>
      </w:r>
      <w:r>
        <w:rPr>
          <w:rFonts w:ascii="Arial" w:cs="Arial" w:eastAsia="Arial" w:hAnsi="Arial"/>
          <w:sz w:val="18"/>
          <w:szCs w:val="18"/>
          <w:color w:val="auto"/>
        </w:rPr>
        <w:t>” means definitive Securities in registered non-global certificated form.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Schlumberger Investment SA until a successor replaces it and thereafter means the successor.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 Order</w:t>
      </w:r>
      <w:r>
        <w:rPr>
          <w:rFonts w:ascii="Arial" w:cs="Arial" w:eastAsia="Arial" w:hAnsi="Arial"/>
          <w:sz w:val="16"/>
          <w:szCs w:val="16"/>
          <w:color w:val="auto"/>
        </w:rPr>
        <w:t>” or “</w:t>
      </w:r>
      <w:r>
        <w:rPr>
          <w:rFonts w:ascii="Arial" w:cs="Arial" w:eastAsia="Arial" w:hAnsi="Arial"/>
          <w:sz w:val="16"/>
          <w:szCs w:val="16"/>
          <w:i w:val="1"/>
          <w:iCs w:val="1"/>
          <w:color w:val="auto"/>
        </w:rPr>
        <w:t>Company Request</w:t>
      </w:r>
      <w:r>
        <w:rPr>
          <w:rFonts w:ascii="Arial" w:cs="Arial" w:eastAsia="Arial" w:hAnsi="Arial"/>
          <w:sz w:val="16"/>
          <w:szCs w:val="16"/>
          <w:color w:val="auto"/>
        </w:rPr>
        <w:t>” means a written order signed in the name of the Company by one of the Company’s Officers.</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the amount of total stockholders’ equity shown in the Guarantor’s most recent quarterly consolidated statement of financial position.</w:t>
      </w:r>
    </w:p>
    <w:p>
      <w:pPr>
        <w:sectPr>
          <w:pgSz w:w="11900" w:h="16838" w:orient="portrait"/>
          <w:cols w:equalWidth="0" w:num="1">
            <w:col w:w="11380"/>
          </w:cols>
          <w:pgMar w:left="240" w:top="280" w:right="279" w:bottom="1440" w:gutter="0" w:footer="0" w:header="0"/>
        </w:sectPr>
      </w:pPr>
    </w:p>
    <w:bookmarkStart w:id="62" w:name="page63"/>
    <w:bookmarkEnd w:id="62"/>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8"/>
          <w:szCs w:val="18"/>
          <w:i w:val="1"/>
          <w:iCs w:val="1"/>
          <w:color w:val="auto"/>
        </w:rPr>
        <w:t>Depositary</w:t>
      </w:r>
      <w:r>
        <w:rPr>
          <w:rFonts w:ascii="Arial" w:cs="Arial" w:eastAsia="Arial" w:hAnsi="Arial"/>
          <w:sz w:val="18"/>
          <w:szCs w:val="18"/>
          <w:color w:val="auto"/>
        </w:rPr>
        <w:t>” as used with respect to the Securities of any Series shall mean the Depositary with respect to the Securities of such Series.</w:t>
      </w:r>
    </w:p>
    <w:p>
      <w:pPr>
        <w:spacing w:after="0" w:line="143"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3" w:lineRule="exact"/>
        <w:rPr>
          <w:sz w:val="20"/>
          <w:szCs w:val="20"/>
          <w:color w:val="auto"/>
        </w:rPr>
      </w:pPr>
    </w:p>
    <w:p>
      <w:pPr>
        <w:ind w:right="10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Global Security</w:t>
      </w:r>
      <w:r>
        <w:rPr>
          <w:rFonts w:ascii="Arial" w:cs="Arial" w:eastAsia="Arial" w:hAnsi="Arial"/>
          <w:sz w:val="15"/>
          <w:szCs w:val="15"/>
          <w:color w:val="auto"/>
        </w:rPr>
        <w:t>” or “</w:t>
      </w:r>
      <w:r>
        <w:rPr>
          <w:rFonts w:ascii="Arial" w:cs="Arial" w:eastAsia="Arial" w:hAnsi="Arial"/>
          <w:sz w:val="15"/>
          <w:szCs w:val="15"/>
          <w:i w:val="1"/>
          <w:iCs w:val="1"/>
          <w:color w:val="auto"/>
        </w:rPr>
        <w:t>Global Securities</w:t>
      </w:r>
      <w:r>
        <w:rPr>
          <w:rFonts w:ascii="Arial" w:cs="Arial" w:eastAsia="Arial" w:hAnsi="Arial"/>
          <w:sz w:val="15"/>
          <w:szCs w:val="15"/>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6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Obligations</w:t>
      </w:r>
      <w:r>
        <w:rPr>
          <w:rFonts w:ascii="Arial" w:cs="Arial" w:eastAsia="Arial" w:hAnsi="Arial"/>
          <w:sz w:val="16"/>
          <w:szCs w:val="16"/>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18"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by the Guarantor of the Company’s obligations under this Indenture and any Securities and as provided in the applicable Board Resolution, Officer’s Certificate or supplemental indenture establishing the terms of such Series of Securities.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in the register maintained by the Registrar.</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3" w:name="page64"/>
    <w:bookmarkEnd w:id="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with respect to any Security, the date of original issuance of such Security.</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any of The City of New York, New York or a place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are authorized or obligated by law, regulation or executive order to remain closed.</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32"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and includes any mortgage, pledge, lien, security interest, conditional sale or other title retention agreement or other similar encumbrance.</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issuing the Securities and any successor to such obligor upon the Securities, and the Guarantor, and its successor.</w:t>
      </w:r>
    </w:p>
    <w:p>
      <w:pPr>
        <w:spacing w:after="0" w:line="132"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Chief Executive Officer, Chief Operating Officer, Chief Financial Officer, President, any Vice-President, the Treasurer, a Director, the Chairman, the Secretary, any Assistant Treasurer or any Assistant Secretary of the Company or the Guarantor, as applicable.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Company or the Guarantor, as applicable.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 direct or indirect employee of or counsel to the Company or the Guarantor.</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Property</w:t>
      </w:r>
      <w:r>
        <w:rPr>
          <w:rFonts w:ascii="Arial" w:cs="Arial" w:eastAsia="Arial" w:hAnsi="Arial"/>
          <w:sz w:val="16"/>
          <w:szCs w:val="16"/>
          <w:color w:val="auto"/>
        </w:rPr>
        <w:t>”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of the Securities of any Series, unless, in the opinion of the Board of Directors of the Guarantor, such plant or facility or other asset is not of material importance to the total business conducted by the Guarantor and its Restricted Subsidiaries taken as a whole.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4" w:name="page65"/>
    <w:bookmarkEnd w:id="64"/>
    <w:p>
      <w:pPr>
        <w:jc w:val="both"/>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Restricted Security</w:t>
      </w:r>
      <w:r>
        <w:rPr>
          <w:rFonts w:ascii="Arial" w:cs="Arial" w:eastAsia="Arial" w:hAnsi="Arial"/>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Guarantor which owns a Restricted Property.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any debentures, notes or other debt instruments of the Company of any Series authenticated and delivered under this Indenture.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Securities of the Company created pursuant to Sections 2.1 and 2.2 hereof.</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32" w:lineRule="exact"/>
        <w:rPr>
          <w:sz w:val="20"/>
          <w:szCs w:val="20"/>
          <w:color w:val="auto"/>
        </w:rPr>
      </w:pPr>
    </w:p>
    <w:p>
      <w:pPr>
        <w:ind w:right="200" w:firstLine="913"/>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5" w:lineRule="exact"/>
        <w:rPr>
          <w:sz w:val="20"/>
          <w:szCs w:val="20"/>
          <w:color w:val="auto"/>
        </w:rPr>
      </w:pPr>
    </w:p>
    <w:p>
      <w:pPr>
        <w:ind w:left="920" w:right="3420" w:hanging="912"/>
        <w:spacing w:after="0" w:line="489" w:lineRule="auto"/>
        <w:tabs>
          <w:tab w:leader="none" w:pos="256"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Person or any subsidiary of such Person is a controlling general partner or otherwise controls such entity. “</w:t>
      </w:r>
      <w:r>
        <w:rPr>
          <w:rFonts w:ascii="Arial" w:cs="Arial" w:eastAsia="Arial" w:hAnsi="Arial"/>
          <w:sz w:val="16"/>
          <w:szCs w:val="16"/>
          <w:i w:val="1"/>
          <w:iCs w:val="1"/>
          <w:color w:val="auto"/>
        </w:rPr>
        <w:t>TIA</w:t>
      </w:r>
      <w:r>
        <w:rPr>
          <w:rFonts w:ascii="Arial" w:cs="Arial" w:eastAsia="Arial" w:hAnsi="Arial"/>
          <w:sz w:val="16"/>
          <w:szCs w:val="16"/>
          <w:color w:val="auto"/>
        </w:rPr>
        <w:t>” means the Trust Indenture Act of 1939, as amended, as in effect on the date hereof.</w:t>
      </w:r>
    </w:p>
    <w:p>
      <w:pPr>
        <w:ind w:right="1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w:t>
      </w:r>
      <w:r>
        <w:rPr>
          <w:rFonts w:ascii="Arial" w:cs="Arial" w:eastAsia="Arial" w:hAnsi="Arial"/>
          <w:sz w:val="18"/>
          <w:szCs w:val="18"/>
          <w:i w:val="1"/>
          <w:iCs w:val="1"/>
          <w:color w:val="auto"/>
        </w:rPr>
        <w:t>Trustee</w:t>
      </w:r>
      <w:r>
        <w:rPr>
          <w:rFonts w:ascii="Arial" w:cs="Arial" w:eastAsia="Arial" w:hAnsi="Arial"/>
          <w:sz w:val="18"/>
          <w:szCs w:val="18"/>
          <w:color w:val="auto"/>
        </w:rPr>
        <w:t>” in the first paragraph of this instrument until a successor Trustee shall have become such pursuant to the applicable provisions of this Indenture, and thereafter “</w:t>
      </w:r>
      <w:r>
        <w:rPr>
          <w:rFonts w:ascii="Arial" w:cs="Arial" w:eastAsia="Arial" w:hAnsi="Arial"/>
          <w:sz w:val="18"/>
          <w:szCs w:val="18"/>
          <w:i w:val="1"/>
          <w:iCs w:val="1"/>
          <w:color w:val="auto"/>
        </w:rPr>
        <w:t>Trustee</w:t>
      </w:r>
      <w:r>
        <w:rPr>
          <w:rFonts w:ascii="Arial" w:cs="Arial" w:eastAsia="Arial" w:hAnsi="Arial"/>
          <w:sz w:val="18"/>
          <w:szCs w:val="18"/>
          <w:color w:val="auto"/>
        </w:rPr>
        <w:t>” shall mean or include each Person who is then a Trustee hereunder, and if at any time there is more than one such Person, “</w:t>
      </w:r>
      <w:r>
        <w:rPr>
          <w:rFonts w:ascii="Arial" w:cs="Arial" w:eastAsia="Arial" w:hAnsi="Arial"/>
          <w:sz w:val="18"/>
          <w:szCs w:val="18"/>
          <w:i w:val="1"/>
          <w:iCs w:val="1"/>
          <w:color w:val="auto"/>
        </w:rPr>
        <w:t>Trustee</w:t>
      </w:r>
      <w:r>
        <w:rPr>
          <w:rFonts w:ascii="Arial" w:cs="Arial" w:eastAsia="Arial" w:hAnsi="Arial"/>
          <w:sz w:val="18"/>
          <w:szCs w:val="18"/>
          <w:color w:val="auto"/>
        </w:rPr>
        <w:t>” as used with respect to the Securities of any Series shall mean the Trustee with respect to Securities of that Series.</w:t>
      </w:r>
    </w:p>
    <w:p>
      <w:pPr>
        <w:spacing w:after="0" w:line="14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Securities</w:t>
      </w:r>
      <w:r>
        <w:rPr>
          <w:rFonts w:ascii="Arial" w:cs="Arial" w:eastAsia="Arial" w:hAnsi="Arial"/>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color w:val="auto"/>
                <w:w w:val="95"/>
              </w:rPr>
              <w:t>TERM</w:t>
            </w:r>
          </w:p>
        </w:tc>
        <w:tc>
          <w:tcPr>
            <w:tcW w:w="3940" w:type="dxa"/>
            <w:vAlign w:val="bottom"/>
            <w:vMerge w:val="restart"/>
          </w:tcPr>
          <w:p>
            <w:pPr>
              <w:spacing w:after="0"/>
              <w:rPr>
                <w:sz w:val="14"/>
                <w:szCs w:val="14"/>
                <w:color w:val="auto"/>
              </w:rPr>
            </w:pPr>
          </w:p>
        </w:tc>
        <w:tc>
          <w:tcPr>
            <w:tcW w:w="3420" w:type="dxa"/>
            <w:vAlign w:val="bottom"/>
            <w:gridSpan w:val="3"/>
          </w:tcPr>
          <w:p>
            <w:pPr>
              <w:jc w:val="right"/>
              <w:ind w:right="260"/>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1"/>
        </w:trPr>
        <w:tc>
          <w:tcPr>
            <w:tcW w:w="40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2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vMerge w:val="continue"/>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8.1(b)</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8.1(c)</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Proceeding</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Tax Jurisdiction</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Redemption Date</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Jurisdiction</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otherwise requires:</w:t>
      </w:r>
    </w:p>
    <w:p>
      <w:pPr>
        <w:spacing w:after="0" w:line="90" w:lineRule="exact"/>
        <w:rPr>
          <w:sz w:val="20"/>
          <w:szCs w:val="20"/>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9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Officer’s Certificate or supplemental indenture:</w:t>
      </w:r>
    </w:p>
    <w:p>
      <w:pPr>
        <w:spacing w:after="0" w:line="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2.2.1. the title of the Series (which shall distinguish the Securities of that particular Series from the Securities of any other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2.2.2. the aggregate principal amount of the Securities of the Series to be issued;</w:t>
      </w:r>
    </w:p>
    <w:p>
      <w:pPr>
        <w:spacing w:after="0" w:line="9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2.2.4. the date or dates on which the principal and premium, if any, of the Securities of the Series is payable;</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9" w:lineRule="exact"/>
        <w:rPr>
          <w:sz w:val="20"/>
          <w:szCs w:val="20"/>
          <w:color w:val="auto"/>
        </w:rPr>
      </w:pPr>
    </w:p>
    <w:p>
      <w:pPr>
        <w:ind w:right="120" w:firstLine="913"/>
        <w:spacing w:after="0" w:line="335" w:lineRule="auto"/>
        <w:rPr>
          <w:sz w:val="20"/>
          <w:szCs w:val="20"/>
          <w:color w:val="auto"/>
        </w:rPr>
      </w:pPr>
      <w:r>
        <w:rPr>
          <w:rFonts w:ascii="Arial" w:cs="Arial" w:eastAsia="Arial" w:hAnsi="Arial"/>
          <w:sz w:val="15"/>
          <w:szCs w:val="15"/>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2.2.7. 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2.2.8. the right, if any, to extend the interest payment periods or defer the payment of interest and the duration of such extension or deferral;</w:t>
      </w:r>
    </w:p>
    <w:p>
      <w:pPr>
        <w:spacing w:after="0" w:line="113"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2.2.9.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5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2.2.11. the terms of any repurchase or remarketing rights;</w:t>
      </w:r>
    </w:p>
    <w:p>
      <w:pPr>
        <w:spacing w:after="0" w:line="90"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2.2.12. if other than denominations of $2,000 or integral multiples of $1,000 in excess thereof, the denominations in which the Securities of the Series shall be issuable;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2.2.13. the forms of the Securities of the Series including the form of the Trustee’s certificate of authentication for such Series;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2.2.14. any trustees, authenticating agents or Agents with respect to the Securities of the Series, if different from those set forth in this Indenture;</w:t>
      </w:r>
    </w:p>
    <w:p>
      <w:pPr>
        <w:spacing w:after="0" w:line="11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2.2.16. any provisions granting special rights to Holders when a specified event occurs;</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7" w:name="page68"/>
    <w:bookmarkEnd w:id="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2.2.18. any special tax implications of the Securities, including provisions for original issue discount securities, if offered;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2.2.19. whether and upon what terms Securities of the Series may be defeased if different from the provisions set forth in this Indenture;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2.2.20. with regard to the Securities of any Series that do not bear interest, the dates for certain required reports to the Trustee;</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2.2.22. any guarantees on the Securities of the Series, if different from, or in addition to, the Guarantee provided pursuant to this Indenture;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2.2.23. the currency or currencies in which payment of the principal of, premium, if any, and interest on, the Securities of the Series shall be payable;</w:t>
      </w:r>
    </w:p>
    <w:p>
      <w:pPr>
        <w:spacing w:after="0" w:line="125"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2.2.25. the provisions, if any, relating to any security provided for the Securities of the Series;</w:t>
      </w:r>
    </w:p>
    <w:p>
      <w:pPr>
        <w:spacing w:after="0" w:line="90" w:lineRule="exact"/>
        <w:rPr>
          <w:sz w:val="20"/>
          <w:szCs w:val="20"/>
          <w:color w:val="auto"/>
        </w:rPr>
      </w:pPr>
    </w:p>
    <w:p>
      <w:pPr>
        <w:jc w:val="both"/>
        <w:ind w:right="420" w:firstLine="913"/>
        <w:spacing w:after="0" w:line="335" w:lineRule="auto"/>
        <w:rPr>
          <w:sz w:val="20"/>
          <w:szCs w:val="20"/>
          <w:color w:val="auto"/>
        </w:rPr>
      </w:pPr>
      <w:r>
        <w:rPr>
          <w:rFonts w:ascii="Arial" w:cs="Arial" w:eastAsia="Arial" w:hAnsi="Arial"/>
          <w:sz w:val="15"/>
          <w:szCs w:val="15"/>
          <w:color w:val="auto"/>
        </w:rPr>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2.2.27. any Depositaries, interest rate calculation agents, exchange rate calculation agents or other agents with respect to Securities of such Series if other than those appointed herein;</w:t>
      </w:r>
    </w:p>
    <w:p>
      <w:pPr>
        <w:spacing w:after="0" w:line="51"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62"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Officer of the Company shall sign the Securities for the Company by manual or facsimile signature.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68" w:name="page69"/>
    <w:bookmarkEnd w:id="68"/>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Security shall not be valid until authenticated by the manual signature of the Trustee or an authenticating agent. The signature shall be conclusive evidence that the Security has been authenticated under this Indenture.</w:t>
      </w:r>
    </w:p>
    <w:p>
      <w:pPr>
        <w:spacing w:after="0" w:line="132" w:lineRule="exact"/>
        <w:rPr>
          <w:sz w:val="20"/>
          <w:szCs w:val="20"/>
          <w:color w:val="auto"/>
        </w:rPr>
      </w:pPr>
    </w:p>
    <w:p>
      <w:pPr>
        <w:jc w:val="both"/>
        <w:ind w:right="640" w:firstLine="913"/>
        <w:spacing w:after="0" w:line="306" w:lineRule="auto"/>
        <w:rPr>
          <w:sz w:val="20"/>
          <w:szCs w:val="20"/>
          <w:color w:val="auto"/>
        </w:rPr>
      </w:pPr>
      <w:r>
        <w:rPr>
          <w:rFonts w:ascii="Arial" w:cs="Arial" w:eastAsia="Arial" w:hAnsi="Arial"/>
          <w:sz w:val="16"/>
          <w:szCs w:val="16"/>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107"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The aggregate principal amount of Securities of any Series outstanding at any time may not exceed any limit upon the maximum principal amount for such Series set forth in the Board Resolution, Officer’s Certificate or supplemental indenture delivered pursuant to Section 2.2.</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38" w:lineRule="exact"/>
        <w:rPr>
          <w:sz w:val="20"/>
          <w:szCs w:val="20"/>
          <w:color w:val="auto"/>
        </w:rPr>
      </w:pPr>
    </w:p>
    <w:p>
      <w:pPr>
        <w:jc w:val="both"/>
        <w:ind w:right="200" w:firstLine="8"/>
        <w:spacing w:after="0" w:line="255" w:lineRule="auto"/>
        <w:tabs>
          <w:tab w:leader="none" w:pos="2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44"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0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Paying Agent, Registrar and Transfer Agent</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83" w:lineRule="auto"/>
        <w:rPr>
          <w:sz w:val="20"/>
          <w:szCs w:val="20"/>
          <w:color w:val="auto"/>
        </w:rPr>
      </w:pPr>
      <w:r>
        <w:rPr>
          <w:rFonts w:ascii="Arial" w:cs="Arial" w:eastAsia="Arial" w:hAnsi="Arial"/>
          <w:sz w:val="16"/>
          <w:szCs w:val="16"/>
          <w:color w:val="auto"/>
        </w:rPr>
        <w:t>The Company will maintain one or more paying agents (each, a “</w:t>
      </w:r>
      <w:r>
        <w:rPr>
          <w:rFonts w:ascii="Arial" w:cs="Arial" w:eastAsia="Arial" w:hAnsi="Arial"/>
          <w:sz w:val="16"/>
          <w:szCs w:val="16"/>
          <w:i w:val="1"/>
          <w:iCs w:val="1"/>
          <w:color w:val="auto"/>
        </w:rPr>
        <w:t>Paying Agent</w:t>
      </w:r>
      <w:r>
        <w:rPr>
          <w:rFonts w:ascii="Arial" w:cs="Arial" w:eastAsia="Arial" w:hAnsi="Arial"/>
          <w:sz w:val="16"/>
          <w:szCs w:val="16"/>
          <w:color w:val="auto"/>
        </w:rPr>
        <w:t>”) for the Securities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initial Paying Agent will be</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Bank of New York Mellon in [ ] and thereafter “</w:t>
      </w:r>
      <w:r>
        <w:rPr>
          <w:rFonts w:ascii="Arial" w:cs="Arial" w:eastAsia="Arial" w:hAnsi="Arial"/>
          <w:sz w:val="18"/>
          <w:szCs w:val="18"/>
          <w:i w:val="1"/>
          <w:iCs w:val="1"/>
          <w:color w:val="auto"/>
        </w:rPr>
        <w:t>Paying Agent</w:t>
      </w:r>
      <w:r>
        <w:rPr>
          <w:rFonts w:ascii="Arial" w:cs="Arial" w:eastAsia="Arial" w:hAnsi="Arial"/>
          <w:sz w:val="18"/>
          <w:szCs w:val="18"/>
          <w:color w:val="auto"/>
        </w:rPr>
        <w:t>” shall mean or include each Person who is then a Paying Agent hereunder, and if at any time there is more than one such Person, “</w:t>
      </w:r>
      <w:r>
        <w:rPr>
          <w:rFonts w:ascii="Arial" w:cs="Arial" w:eastAsia="Arial" w:hAnsi="Arial"/>
          <w:sz w:val="18"/>
          <w:szCs w:val="18"/>
          <w:i w:val="1"/>
          <w:iCs w:val="1"/>
          <w:color w:val="auto"/>
        </w:rPr>
        <w:t>Paying Agent</w:t>
      </w:r>
      <w:r>
        <w:rPr>
          <w:rFonts w:ascii="Arial" w:cs="Arial" w:eastAsia="Arial" w:hAnsi="Arial"/>
          <w:sz w:val="18"/>
          <w:szCs w:val="18"/>
          <w:color w:val="auto"/>
        </w:rPr>
        <w:t>” as used with respect to the Securities of any Series shall mean the Paying Agent with respect to Securities of that Series.</w:t>
      </w:r>
    </w:p>
    <w:p>
      <w:pPr>
        <w:spacing w:after="0" w:line="144"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The Company will also maintain one or more registrars (each, a “</w:t>
      </w:r>
      <w:r>
        <w:rPr>
          <w:rFonts w:ascii="Arial" w:cs="Arial" w:eastAsia="Arial" w:hAnsi="Arial"/>
          <w:sz w:val="16"/>
          <w:szCs w:val="16"/>
          <w:i w:val="1"/>
          <w:iCs w:val="1"/>
          <w:color w:val="auto"/>
        </w:rPr>
        <w:t>Registrar</w:t>
      </w:r>
      <w:r>
        <w:rPr>
          <w:rFonts w:ascii="Arial" w:cs="Arial" w:eastAsia="Arial" w:hAnsi="Arial"/>
          <w:sz w:val="16"/>
          <w:szCs w:val="16"/>
          <w:color w:val="auto"/>
        </w:rPr>
        <w:t>”) with an office in the Borough of Manhattan, City of New York. The Company will also maintain a transfer agent (each a “</w:t>
      </w:r>
      <w:r>
        <w:rPr>
          <w:rFonts w:ascii="Arial" w:cs="Arial" w:eastAsia="Arial" w:hAnsi="Arial"/>
          <w:sz w:val="16"/>
          <w:szCs w:val="16"/>
          <w:i w:val="1"/>
          <w:iCs w:val="1"/>
          <w:color w:val="auto"/>
        </w:rPr>
        <w:t>Transfer Agent</w:t>
      </w:r>
      <w:r>
        <w:rPr>
          <w:rFonts w:ascii="Arial" w:cs="Arial" w:eastAsia="Arial" w:hAnsi="Arial"/>
          <w:sz w:val="16"/>
          <w:szCs w:val="16"/>
          <w:color w:val="auto"/>
        </w:rPr>
        <w:t>”) in the Borough of Manhattan, City of New York. The initial Registrar will be The Bank of</w:t>
      </w:r>
    </w:p>
    <w:p>
      <w:pPr>
        <w:ind w:right="40"/>
        <w:spacing w:after="0" w:line="281" w:lineRule="auto"/>
        <w:rPr>
          <w:sz w:val="20"/>
          <w:szCs w:val="20"/>
          <w:color w:val="auto"/>
        </w:rPr>
      </w:pPr>
      <w:r>
        <w:rPr>
          <w:rFonts w:ascii="Arial" w:cs="Arial" w:eastAsia="Arial" w:hAnsi="Arial"/>
          <w:sz w:val="16"/>
          <w:szCs w:val="16"/>
          <w:color w:val="auto"/>
        </w:rPr>
        <w:t>New York Mellon in [ ] and thereafter “</w:t>
      </w:r>
      <w:r>
        <w:rPr>
          <w:rFonts w:ascii="Arial" w:cs="Arial" w:eastAsia="Arial" w:hAnsi="Arial"/>
          <w:sz w:val="16"/>
          <w:szCs w:val="16"/>
          <w:i w:val="1"/>
          <w:iCs w:val="1"/>
          <w:color w:val="auto"/>
        </w:rPr>
        <w:t>Registrar</w:t>
      </w:r>
      <w:r>
        <w:rPr>
          <w:rFonts w:ascii="Arial" w:cs="Arial" w:eastAsia="Arial" w:hAnsi="Arial"/>
          <w:sz w:val="16"/>
          <w:szCs w:val="16"/>
          <w:color w:val="auto"/>
        </w:rPr>
        <w:t>” shall mean or include each Person who is then a Registrar hereunder, and if at any time there is more than one such Person, “</w:t>
      </w:r>
      <w:r>
        <w:rPr>
          <w:rFonts w:ascii="Arial" w:cs="Arial" w:eastAsia="Arial" w:hAnsi="Arial"/>
          <w:sz w:val="16"/>
          <w:szCs w:val="16"/>
          <w:i w:val="1"/>
          <w:iCs w:val="1"/>
          <w:color w:val="auto"/>
        </w:rPr>
        <w:t>Registrar</w:t>
      </w:r>
      <w:r>
        <w:rPr>
          <w:rFonts w:ascii="Arial" w:cs="Arial" w:eastAsia="Arial" w:hAnsi="Arial"/>
          <w:sz w:val="16"/>
          <w:szCs w:val="16"/>
          <w:color w:val="auto"/>
        </w:rPr>
        <w:t>” as used with respect to the Securities of any Series shall mean the Registrar with respect to Securities of that Series. The initial</w:t>
      </w:r>
    </w:p>
    <w:p>
      <w:pPr>
        <w:spacing w:after="0" w:line="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Transfer Agent will be The Bank of New York Mellon in [ ] and thereafter “</w:t>
      </w:r>
      <w:r>
        <w:rPr>
          <w:rFonts w:ascii="Arial" w:cs="Arial" w:eastAsia="Arial" w:hAnsi="Arial"/>
          <w:sz w:val="16"/>
          <w:szCs w:val="16"/>
          <w:i w:val="1"/>
          <w:iCs w:val="1"/>
          <w:color w:val="auto"/>
        </w:rPr>
        <w:t>Transfer Agent</w:t>
      </w:r>
      <w:r>
        <w:rPr>
          <w:rFonts w:ascii="Arial" w:cs="Arial" w:eastAsia="Arial" w:hAnsi="Arial"/>
          <w:sz w:val="16"/>
          <w:szCs w:val="16"/>
          <w:color w:val="auto"/>
        </w:rPr>
        <w:t>” shall mean or include each Person who is then a Transfer Agent hereunder, and if at any time there is more than one such Person, “</w:t>
      </w:r>
      <w:r>
        <w:rPr>
          <w:rFonts w:ascii="Arial" w:cs="Arial" w:eastAsia="Arial" w:hAnsi="Arial"/>
          <w:sz w:val="16"/>
          <w:szCs w:val="16"/>
          <w:i w:val="1"/>
          <w:iCs w:val="1"/>
          <w:color w:val="auto"/>
        </w:rPr>
        <w:t>Transfer Agent</w:t>
      </w:r>
      <w:r>
        <w:rPr>
          <w:rFonts w:ascii="Arial" w:cs="Arial" w:eastAsia="Arial" w:hAnsi="Arial"/>
          <w:sz w:val="16"/>
          <w:szCs w:val="16"/>
          <w:color w:val="auto"/>
        </w:rPr>
        <w:t>” as used with respect to the Securities of any Series shall mean the Transfer Agent with respect to Securities of that Series. The Registrar will maintain a register reflecting ownership of Securities outstanding from time to time and the Paying Agent will make payments on, and the Transfer Agents will facilitate transfer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9" w:name="page70"/>
    <w:bookmarkEnd w:id="69"/>
    <w:p>
      <w:pPr>
        <w:ind w:right="3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may change any Paying Agent, Registrar or Transfer Agent for its Securities without prior notice to the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2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70" w:name="page71"/>
    <w:bookmarkEnd w:id="7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there shall be delivered to the Company and the Trustee (i) evidence to their satisfaction of the destruction, loss or theft of any Security and</w:t>
      </w:r>
    </w:p>
    <w:p>
      <w:pPr>
        <w:spacing w:after="0" w:line="38" w:lineRule="exact"/>
        <w:rPr>
          <w:sz w:val="20"/>
          <w:szCs w:val="20"/>
          <w:color w:val="auto"/>
        </w:rPr>
      </w:pPr>
    </w:p>
    <w:p>
      <w:pPr>
        <w:jc w:val="both"/>
        <w:ind w:right="300" w:firstLine="8"/>
        <w:spacing w:after="0" w:line="295" w:lineRule="auto"/>
        <w:tabs>
          <w:tab w:leader="none" w:pos="2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1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220" w:firstLine="913"/>
        <w:spacing w:after="0" w:line="370" w:lineRule="auto"/>
        <w:rPr>
          <w:sz w:val="20"/>
          <w:szCs w:val="20"/>
          <w:color w:val="auto"/>
        </w:rPr>
      </w:pPr>
      <w:r>
        <w:rPr>
          <w:rFonts w:ascii="Arial" w:cs="Arial" w:eastAsia="Arial" w:hAnsi="Arial"/>
          <w:sz w:val="15"/>
          <w:szCs w:val="15"/>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3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In determining whether the Holders of the required principal amount of Securities of a Series have concurred in any request, demand, authorization, direction, notice, consent or waiver, Securities of a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71" w:name="page72"/>
    <w:bookmarkEnd w:id="7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71"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an Officer’s Certificate or, a supplemental indenture shall establish whether the Securities of a Series shall be issued in whole or in part in the form of one or more Global Securities and the Depositary for such Global Security or Securities.</w:t>
      </w:r>
    </w:p>
    <w:p>
      <w:pPr>
        <w:spacing w:after="0" w:line="8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72" w:name="page73"/>
    <w:bookmarkEnd w:id="72"/>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4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171"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20"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2.14.4. </w:t>
      </w:r>
      <w:r>
        <w:rPr>
          <w:rFonts w:ascii="Arial" w:cs="Arial" w:eastAsia="Arial" w:hAnsi="Arial"/>
          <w:sz w:val="16"/>
          <w:szCs w:val="16"/>
          <w:u w:val="single" w:color="auto"/>
          <w:color w:val="auto"/>
        </w:rPr>
        <w:t>Acts of Holders</w:t>
      </w:r>
      <w:r>
        <w:rPr>
          <w:rFonts w:ascii="Arial" w:cs="Arial" w:eastAsia="Arial" w:hAnsi="Arial"/>
          <w:sz w:val="16"/>
          <w:szCs w:val="16"/>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8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Holders</w:t>
      </w:r>
      <w:r>
        <w:rPr>
          <w:rFonts w:ascii="Arial" w:cs="Arial" w:eastAsia="Arial" w:hAnsi="Arial"/>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4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 No Liability for Calculations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3.8, 3.9 and 3.10 hereof and,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The Trustee shall have no liability with respect to or obligation to calculate the redemption price of any Securities to be redeemed pursuant to this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Unless otherwise indicated for a particular Series by a Board Resolution, Officer’s Certificate or a supplemental indenture, if fewer than all of the Securities of a Series are to be redeemed at any time, the Trustee will select the Securities of a Series to be redeemed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(or, in the case of Securities issued in global form, based on a method that most nearly approximates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Securities of a Series in principal amount of less than the minimum authorized denomination can be redeemed in part.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of purchase or redemption will be given to each Holder pursuant to Section 3.3 and Section 10.1.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Unless otherwise indicated for a particular Series by Board Resolution, Officer’s Certificate or supplemental indenture,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notice shall identify the Securities to be redeemed and corresponding CUSIP, ISIN or Common Code numbers, as applicable, and will state:</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74" w:name="page75"/>
    <w:bookmarkEnd w:id="74"/>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redemption price and the amount of accrued interest, if any, and Additional Amounts, if any, to be paid;</w:t>
      </w:r>
    </w:p>
    <w:p>
      <w:pPr>
        <w:spacing w:after="0" w:line="90" w:lineRule="exact"/>
        <w:rPr>
          <w:rFonts w:ascii="Arial" w:cs="Arial" w:eastAsia="Arial" w:hAnsi="Arial"/>
          <w:sz w:val="18"/>
          <w:szCs w:val="18"/>
          <w:color w:val="auto"/>
        </w:rPr>
      </w:pPr>
    </w:p>
    <w:p>
      <w:pPr>
        <w:ind w:left="460" w:right="140" w:firstLine="443"/>
        <w:spacing w:after="0" w:line="357" w:lineRule="auto"/>
        <w:tabs>
          <w:tab w:leader="none" w:pos="1137" w:val="left"/>
        </w:tabs>
        <w:numPr>
          <w:ilvl w:val="0"/>
          <w:numId w:val="63"/>
        </w:numPr>
        <w:rPr>
          <w:rFonts w:ascii="Arial" w:cs="Arial" w:eastAsia="Arial" w:hAnsi="Arial"/>
          <w:sz w:val="15"/>
          <w:szCs w:val="15"/>
          <w:color w:val="auto"/>
        </w:rPr>
      </w:pPr>
      <w:r>
        <w:rPr>
          <w:rFonts w:ascii="Arial" w:cs="Arial" w:eastAsia="Arial" w:hAnsi="Arial"/>
          <w:sz w:val="15"/>
          <w:szCs w:val="15"/>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ind w:left="460" w:right="360" w:firstLine="443"/>
        <w:spacing w:after="0" w:line="306"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25" w:lineRule="exact"/>
        <w:rPr>
          <w:rFonts w:ascii="Arial" w:cs="Arial" w:eastAsia="Arial" w:hAnsi="Arial"/>
          <w:sz w:val="16"/>
          <w:szCs w:val="16"/>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and address of the Paying Agent(s) to which the Securities are to be surrendered for redemption;</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Securities called for redemption must be surrendered to the relevant Paying Agent to collect the redemption price, plus accrued and unpaid interest, if any, and Additional Amounts, if any;</w:t>
      </w:r>
    </w:p>
    <w:p>
      <w:pPr>
        <w:spacing w:after="0" w:line="50" w:lineRule="exact"/>
        <w:rPr>
          <w:rFonts w:ascii="Arial" w:cs="Arial" w:eastAsia="Arial" w:hAnsi="Arial"/>
          <w:sz w:val="18"/>
          <w:szCs w:val="18"/>
          <w:color w:val="auto"/>
        </w:rPr>
      </w:pPr>
    </w:p>
    <w:p>
      <w:pPr>
        <w:ind w:left="460" w:right="680" w:firstLine="443"/>
        <w:spacing w:after="0" w:line="268"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and Additional Amounts, if any, on Securities called for redemption cease to accrue on and after the redemption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paragraph of the Securities and/or Section of this Indenture pursuant to which the Securities called for redemption are being redeemed; and</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ISIN or Common Code numbers, if any, listed in such notice or printed on the Securities.</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At the Company’s written request, the Trustee shall give the notice of redemption in the Company’s name and at its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On or after any purchase or redemption date, unless the Company or the Guarantor defaults in payment of the purchase or redemption price, interest shall cease to accrue on Securities or portions thereof tendered for purchase or called for redemption.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71"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71"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3.7.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Unless otherwise indicated for a particular Series by Board Resolution, Officer’s Certificate or supplemental indenture, the provisions of Sections 3.8 and 3.9 shall be applicable to any sinking fund for the retirement of Securities of a Series.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Not less than 40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Redemption Upon Changes in Tax Law</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Company or the Guarantor, as applicable, may redeem its Securities (and the Guarantor may redeem any Securities which it has guaranteed),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the date fixed by the Company or the Guarantor, as applicable, for redemption (a “</w:t>
      </w:r>
      <w:r>
        <w:rPr>
          <w:rFonts w:ascii="Arial" w:cs="Arial" w:eastAsia="Arial" w:hAnsi="Arial"/>
          <w:sz w:val="16"/>
          <w:szCs w:val="16"/>
          <w:i w:val="1"/>
          <w:iCs w:val="1"/>
          <w:color w:val="auto"/>
        </w:rPr>
        <w:t>Tax Redemption Date</w:t>
      </w:r>
      <w:r>
        <w:rPr>
          <w:rFonts w:ascii="Arial" w:cs="Arial" w:eastAsia="Arial" w:hAnsi="Arial"/>
          <w:sz w:val="16"/>
          <w:szCs w:val="16"/>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37" w:lineRule="exact"/>
        <w:rPr>
          <w:sz w:val="20"/>
          <w:szCs w:val="20"/>
          <w:color w:val="auto"/>
        </w:rPr>
      </w:pPr>
    </w:p>
    <w:p>
      <w:pPr>
        <w:jc w:val="both"/>
        <w:ind w:left="460" w:right="140" w:firstLine="443"/>
        <w:spacing w:after="0" w:line="259"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76" w:name="page77"/>
    <w:bookmarkEnd w:id="76"/>
    <w:p>
      <w:pPr>
        <w:ind w:left="460"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published administrative practice) which amendment or change becomes effective on or after the Issue Date (or, if the applicable Relevant Tax Jurisdiction became a Relevant Tax Jurisdiction on a date after the Issue Date, such later date).</w:t>
      </w:r>
    </w:p>
    <w:p>
      <w:pPr>
        <w:spacing w:after="0" w:line="13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or the Guarantor, as applicable, will deliver to the Trustee an opinion of independent tax counsel to the effect that there has been such amendment or change which would entitle the Company or the Guarantor to redeem such Securities hereunder. In addition, before the Company or the Guarantor, as applicable, gives notice of redemption of such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45"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85"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The foregoing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 organized, or any jurisdiction from or through which payment is made by or on behalf of such Person on the Securities (or any Guarantee) and any political subdivision thereof or therein.</w:t>
      </w:r>
    </w:p>
    <w:p>
      <w:pPr>
        <w:spacing w:after="0" w:line="30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77" w:name="page78"/>
    <w:bookmarkEnd w:id="77"/>
    <w:p>
      <w:pPr>
        <w:jc w:val="both"/>
        <w:ind w:right="1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The Guarantor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or the Guarantor shall so determine, any of its other indebtedness or the indebtedness of any such Restricted Subsidiary then existing or thereafter created ranking on a parity with the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these provisions shall not apply to:</w:t>
      </w:r>
    </w:p>
    <w:p>
      <w:pPr>
        <w:spacing w:after="0" w:line="39" w:lineRule="exact"/>
        <w:rPr>
          <w:sz w:val="20"/>
          <w:szCs w:val="20"/>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Securities;</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0"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78" w:name="page79"/>
    <w:bookmarkEnd w:id="78"/>
    <w:p>
      <w:pPr>
        <w:ind w:righ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4" w:lineRule="exact"/>
        <w:rPr>
          <w:sz w:val="20"/>
          <w:szCs w:val="20"/>
          <w:color w:val="auto"/>
        </w:rPr>
      </w:pPr>
    </w:p>
    <w:p>
      <w:pPr>
        <w:ind w:left="660" w:hanging="217"/>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13" w:lineRule="exact"/>
        <w:rPr>
          <w:rFonts w:ascii="Arial" w:cs="Arial" w:eastAsia="Arial" w:hAnsi="Arial"/>
          <w:sz w:val="16"/>
          <w:szCs w:val="16"/>
          <w:color w:val="auto"/>
        </w:rPr>
      </w:pPr>
    </w:p>
    <w:p>
      <w:pPr>
        <w:jc w:val="both"/>
        <w:ind w:right="280" w:firstLine="443"/>
        <w:spacing w:after="0" w:line="256"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2"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90" w:lineRule="exact"/>
        <w:rPr>
          <w:rFonts w:ascii="Arial" w:cs="Arial" w:eastAsia="Arial" w:hAnsi="Arial"/>
          <w:sz w:val="18"/>
          <w:szCs w:val="18"/>
          <w:color w:val="auto"/>
        </w:rPr>
      </w:pPr>
    </w:p>
    <w:p>
      <w:pPr>
        <w:ind w:right="100" w:firstLine="443"/>
        <w:spacing w:after="0" w:line="306" w:lineRule="auto"/>
        <w:tabs>
          <w:tab w:leader="none" w:pos="648"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5" w:lineRule="auto"/>
        <w:tabs>
          <w:tab w:leader="none" w:pos="6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payments made by the Company under or with respect to the Securities, or by the Guarantor with respect to an applicable Guarantee, will be made free and clear of and without withholding or deduction for, or on account of, any present or future tax, duty, levy, assessment or other governmental charge, including any related interest, penalties or additions to tax (“</w:t>
      </w:r>
      <w:r>
        <w:rPr>
          <w:rFonts w:ascii="Arial" w:cs="Arial" w:eastAsia="Arial" w:hAnsi="Arial"/>
          <w:sz w:val="16"/>
          <w:szCs w:val="16"/>
          <w:i w:val="1"/>
          <w:iCs w:val="1"/>
          <w:color w:val="auto"/>
        </w:rPr>
        <w:t>Taxes</w:t>
      </w:r>
      <w:r>
        <w:rPr>
          <w:rFonts w:ascii="Arial" w:cs="Arial" w:eastAsia="Arial" w:hAnsi="Arial"/>
          <w:sz w:val="16"/>
          <w:szCs w:val="16"/>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w:t>
      </w:r>
      <w:r>
        <w:rPr>
          <w:rFonts w:ascii="Arial" w:cs="Arial" w:eastAsia="Arial" w:hAnsi="Arial"/>
          <w:sz w:val="16"/>
          <w:szCs w:val="16"/>
          <w:i w:val="1"/>
          <w:iCs w:val="1"/>
          <w:color w:val="auto"/>
        </w:rPr>
        <w:t>Relevant Tax Jurisdiction</w:t>
      </w:r>
      <w:r>
        <w:rPr>
          <w:rFonts w:ascii="Arial" w:cs="Arial" w:eastAsia="Arial" w:hAnsi="Arial"/>
          <w:sz w:val="16"/>
          <w:szCs w:val="16"/>
          <w:color w:val="auto"/>
        </w:rPr>
        <w:t>”) or (2) any jurisdiction from or through which payment is made by or on behalf of the Company, or the Guarantor (including the jurisdiction of any Paying Agent for the applicable Securities) or any political subdivision thereof or therein (each, together with each Relevant Tax Jurisdiction, a “</w:t>
      </w:r>
      <w:r>
        <w:rPr>
          <w:rFonts w:ascii="Arial" w:cs="Arial" w:eastAsia="Arial" w:hAnsi="Arial"/>
          <w:sz w:val="16"/>
          <w:szCs w:val="16"/>
          <w:i w:val="1"/>
          <w:iCs w:val="1"/>
          <w:color w:val="auto"/>
        </w:rPr>
        <w:t>Tax Jurisdiction</w:t>
      </w:r>
      <w:r>
        <w:rPr>
          <w:rFonts w:ascii="Arial" w:cs="Arial" w:eastAsia="Arial" w:hAnsi="Arial"/>
          <w:sz w:val="16"/>
          <w:szCs w:val="16"/>
          <w:color w:val="auto"/>
        </w:rPr>
        <w:t>”) will at any time be required to be made from any payments made or deemed made by or on behalf of the Company under or with respect to the Securities, or the Guarantor under or with respect to the applicable Guarantee, including payments of principal, redemption price, interest or premium, the Company or the Guarantor, as applicable, will pay such additional amounts (the “</w:t>
      </w:r>
      <w:r>
        <w:rPr>
          <w:rFonts w:ascii="Arial" w:cs="Arial" w:eastAsia="Arial" w:hAnsi="Arial"/>
          <w:sz w:val="16"/>
          <w:szCs w:val="16"/>
          <w:i w:val="1"/>
          <w:iCs w:val="1"/>
          <w:color w:val="auto"/>
        </w:rPr>
        <w:t>Additional Amounts</w:t>
      </w:r>
      <w:r>
        <w:rPr>
          <w:rFonts w:ascii="Arial" w:cs="Arial" w:eastAsia="Arial" w:hAnsi="Arial"/>
          <w:sz w:val="16"/>
          <w:szCs w:val="16"/>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Additional Amounts will be payable with respect to:</w:t>
      </w:r>
    </w:p>
    <w:p>
      <w:pPr>
        <w:spacing w:after="0" w:line="47" w:lineRule="exact"/>
        <w:rPr>
          <w:rFonts w:ascii="Arial" w:cs="Arial" w:eastAsia="Arial" w:hAnsi="Arial"/>
          <w:sz w:val="16"/>
          <w:szCs w:val="16"/>
          <w:color w:val="auto"/>
        </w:rPr>
      </w:pPr>
    </w:p>
    <w:p>
      <w:pPr>
        <w:ind w:left="1120" w:hanging="239"/>
        <w:spacing w:after="0"/>
        <w:tabs>
          <w:tab w:leader="none" w:pos="11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w:t>
      </w:r>
    </w:p>
    <w:p>
      <w:pPr>
        <w:spacing w:after="0" w:line="38" w:lineRule="exact"/>
        <w:rPr>
          <w:rFonts w:ascii="Arial" w:cs="Arial" w:eastAsia="Arial" w:hAnsi="Arial"/>
          <w:sz w:val="16"/>
          <w:szCs w:val="16"/>
          <w:color w:val="auto"/>
        </w:rPr>
      </w:pP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connection between the Holder or the beneficial owner of such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under the Guarantee or the receipt of any payments in respect of such Security or Guarantee;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79" w:name="page80"/>
    <w:bookmarkEnd w:id="79"/>
    <w:p>
      <w:pPr>
        <w:ind w:left="460" w:right="120" w:firstLine="421"/>
        <w:spacing w:after="0" w:line="306" w:lineRule="auto"/>
        <w:tabs>
          <w:tab w:leader="none" w:pos="1128"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the applicable Security been presented on the last day of such 30 day period);</w:t>
      </w:r>
    </w:p>
    <w:p>
      <w:pPr>
        <w:spacing w:after="0" w:line="25" w:lineRule="exact"/>
        <w:rPr>
          <w:rFonts w:ascii="Arial" w:cs="Arial" w:eastAsia="Arial" w:hAnsi="Arial"/>
          <w:sz w:val="16"/>
          <w:szCs w:val="16"/>
          <w:color w:val="auto"/>
        </w:rPr>
      </w:pPr>
    </w:p>
    <w:p>
      <w:pPr>
        <w:ind w:left="1120" w:hanging="239"/>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90" w:lineRule="exact"/>
        <w:rPr>
          <w:rFonts w:ascii="Arial" w:cs="Arial" w:eastAsia="Arial" w:hAnsi="Arial"/>
          <w:sz w:val="18"/>
          <w:szCs w:val="18"/>
          <w:color w:val="auto"/>
        </w:rPr>
      </w:pPr>
    </w:p>
    <w:p>
      <w:pPr>
        <w:ind w:left="460" w:right="40" w:firstLine="421"/>
        <w:spacing w:after="0" w:line="259" w:lineRule="auto"/>
        <w:tabs>
          <w:tab w:leader="none" w:pos="11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59" w:lineRule="exact"/>
        <w:rPr>
          <w:rFonts w:ascii="Arial" w:cs="Arial" w:eastAsia="Arial" w:hAnsi="Arial"/>
          <w:sz w:val="18"/>
          <w:szCs w:val="18"/>
          <w:color w:val="auto"/>
        </w:rPr>
      </w:pPr>
    </w:p>
    <w:p>
      <w:pPr>
        <w:ind w:left="460" w:right="280" w:firstLine="421"/>
        <w:spacing w:after="0" w:line="306" w:lineRule="auto"/>
        <w:tabs>
          <w:tab w:leader="none" w:pos="112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25" w:lineRule="exact"/>
        <w:rPr>
          <w:rFonts w:ascii="Arial" w:cs="Arial" w:eastAsia="Arial" w:hAnsi="Arial"/>
          <w:sz w:val="16"/>
          <w:szCs w:val="16"/>
          <w:color w:val="auto"/>
        </w:rPr>
      </w:pPr>
    </w:p>
    <w:p>
      <w:pPr>
        <w:ind w:left="460" w:right="100" w:firstLine="421"/>
        <w:spacing w:after="0" w:line="268" w:lineRule="auto"/>
        <w:tabs>
          <w:tab w:leader="none" w:pos="11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Securities or the Guarantee;</w:t>
      </w:r>
    </w:p>
    <w:p>
      <w:pPr>
        <w:spacing w:after="0" w:line="113" w:lineRule="exact"/>
        <w:rPr>
          <w:rFonts w:ascii="Arial" w:cs="Arial" w:eastAsia="Arial" w:hAnsi="Arial"/>
          <w:sz w:val="16"/>
          <w:szCs w:val="16"/>
          <w:color w:val="auto"/>
        </w:rPr>
      </w:pPr>
    </w:p>
    <w:p>
      <w:pPr>
        <w:ind w:left="460" w:right="20" w:firstLine="421"/>
        <w:spacing w:after="0" w:line="291" w:lineRule="auto"/>
        <w:tabs>
          <w:tab w:leader="none" w:pos="112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Security,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combination of items (1) through (8) of this Section 4.6(a).</w:t>
      </w:r>
    </w:p>
    <w:p>
      <w:pPr>
        <w:spacing w:after="0" w:line="90" w:lineRule="exact"/>
        <w:rPr>
          <w:rFonts w:ascii="Arial" w:cs="Arial" w:eastAsia="Arial" w:hAnsi="Arial"/>
          <w:sz w:val="18"/>
          <w:szCs w:val="18"/>
          <w:color w:val="auto"/>
        </w:rPr>
      </w:pPr>
    </w:p>
    <w:p>
      <w:pPr>
        <w:ind w:firstLine="443"/>
        <w:spacing w:after="0" w:line="294" w:lineRule="auto"/>
        <w:tabs>
          <w:tab w:leader="none" w:pos="6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addition to the foregoing, the Company and the Guarantor, as the case may be, will also pay and indemnify the Holders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Securities, or this Indenture or the related supplement, Guarantee or any other document or instrument referred to therein in connection with a transfer of such Securities at the time of the initial resale by the initial purchasers.</w:t>
      </w:r>
    </w:p>
    <w:p>
      <w:pPr>
        <w:spacing w:after="0" w:line="34" w:lineRule="exact"/>
        <w:rPr>
          <w:rFonts w:ascii="Arial" w:cs="Arial" w:eastAsia="Arial" w:hAnsi="Arial"/>
          <w:sz w:val="16"/>
          <w:szCs w:val="16"/>
          <w:color w:val="auto"/>
        </w:rPr>
      </w:pPr>
    </w:p>
    <w:p>
      <w:pPr>
        <w:ind w:right="80" w:firstLine="443"/>
        <w:spacing w:after="0" w:line="312" w:lineRule="auto"/>
        <w:tabs>
          <w:tab w:leader="none" w:pos="677"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the Company or the Guarantor, as the case may be, becomes aware that it will be obligated to pay Additional Amounts with respect to any payment under or with respect to its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9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80" w:name="page81"/>
    <w:bookmarkEnd w:id="80"/>
    <w:p>
      <w:pPr>
        <w:ind w:left="460" w:firstLine="443"/>
        <w:spacing w:after="0" w:line="290"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the Guarantor, as the case may be, will make all withholdings and deductions required by law in respect of its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37" w:lineRule="exact"/>
        <w:rPr>
          <w:rFonts w:ascii="Arial" w:cs="Arial" w:eastAsia="Arial" w:hAnsi="Arial"/>
          <w:sz w:val="16"/>
          <w:szCs w:val="16"/>
          <w:color w:val="auto"/>
        </w:rPr>
      </w:pPr>
    </w:p>
    <w:p>
      <w:pPr>
        <w:ind w:left="460" w:right="20" w:firstLine="443"/>
        <w:spacing w:after="0" w:line="335" w:lineRule="auto"/>
        <w:tabs>
          <w:tab w:leader="none" w:pos="1137" w:val="left"/>
        </w:tabs>
        <w:numPr>
          <w:ilvl w:val="0"/>
          <w:numId w:val="70"/>
        </w:numPr>
        <w:rPr>
          <w:rFonts w:ascii="Arial" w:cs="Arial" w:eastAsia="Arial" w:hAnsi="Arial"/>
          <w:sz w:val="15"/>
          <w:szCs w:val="15"/>
          <w:color w:val="auto"/>
        </w:rPr>
      </w:pPr>
      <w:r>
        <w:rPr>
          <w:rFonts w:ascii="Arial" w:cs="Arial" w:eastAsia="Arial" w:hAnsi="Arial"/>
          <w:sz w:val="15"/>
          <w:szCs w:val="15"/>
          <w:color w:val="auto"/>
        </w:rPr>
        <w:t>Whenever in this Indenture there is mentioned, in any context, the payment of amounts based upon the principal amount of the Securities or of principal, interest or of any other amount payable under, or with respect to, any of the Securities or any Guarantee, such mention shall be deemed to include mention of the payment of Additional Amounts to the extent that, in such context, Additional Amounts are, were or would be payable in respect thereof.</w:t>
      </w:r>
    </w:p>
    <w:p>
      <w:pPr>
        <w:spacing w:after="0" w:line="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The obligations in this Section 4.6 will survive any termination, defeasance or discharge of this Indenture, any transfer by a Holder or beneficial owner of its Securities,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jurisdiction in which any successor Person to the Company or the Guarantor is incorporated, organized or resident for tax purposes or any jurisdiction from or through which payment is made by or on behalf of such Person on the applicable Securities (or any Guarantee) and any political subdivision thereof or therein.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318" w:lineRule="auto"/>
        <w:tabs>
          <w:tab w:leader="none" w:pos="1137" w:val="left"/>
        </w:tabs>
        <w:numPr>
          <w:ilvl w:val="0"/>
          <w:numId w:val="71"/>
        </w:numPr>
        <w:rPr>
          <w:rFonts w:ascii="Arial" w:cs="Arial" w:eastAsia="Arial" w:hAnsi="Arial"/>
          <w:sz w:val="15"/>
          <w:szCs w:val="15"/>
          <w:color w:val="auto"/>
        </w:rPr>
      </w:pPr>
      <w:r>
        <w:rPr>
          <w:rFonts w:ascii="Arial" w:cs="Arial" w:eastAsia="Arial" w:hAnsi="Arial"/>
          <w:sz w:val="15"/>
          <w:szCs w:val="15"/>
          <w:color w:val="auto"/>
        </w:rPr>
        <w:t>So long as any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18" w:lineRule="exact"/>
        <w:rPr>
          <w:rFonts w:ascii="Arial" w:cs="Arial" w:eastAsia="Arial" w:hAnsi="Arial"/>
          <w:sz w:val="15"/>
          <w:szCs w:val="15"/>
          <w:color w:val="auto"/>
        </w:rPr>
      </w:pPr>
    </w:p>
    <w:p>
      <w:pPr>
        <w:ind w:left="460" w:right="4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shall not have any obligation to determine if and when the Guarantor’s information is available on the SEC’s (EDGAR) website. The Guarantor shall either (i) provide the Trustee with prompt written notification of such time as the Guarantor becomes or ceases to be a reporting company or (ii) continue to provide the Trustee with the foregoing information.</w:t>
      </w:r>
    </w:p>
    <w:p>
      <w:pPr>
        <w:spacing w:after="0" w:line="59" w:lineRule="exact"/>
        <w:rPr>
          <w:rFonts w:ascii="Arial" w:cs="Arial" w:eastAsia="Arial" w:hAnsi="Arial"/>
          <w:sz w:val="18"/>
          <w:szCs w:val="18"/>
          <w:color w:val="auto"/>
        </w:rPr>
      </w:pPr>
    </w:p>
    <w:p>
      <w:pPr>
        <w:ind w:left="460" w:right="160" w:firstLine="443"/>
        <w:spacing w:after="0" w:line="335" w:lineRule="auto"/>
        <w:tabs>
          <w:tab w:leader="none" w:pos="1137" w:val="left"/>
        </w:tabs>
        <w:numPr>
          <w:ilvl w:val="0"/>
          <w:numId w:val="71"/>
        </w:numPr>
        <w:rPr>
          <w:rFonts w:ascii="Arial" w:cs="Arial" w:eastAsia="Arial" w:hAnsi="Arial"/>
          <w:sz w:val="15"/>
          <w:szCs w:val="15"/>
          <w:color w:val="auto"/>
        </w:rPr>
      </w:pPr>
      <w:r>
        <w:rPr>
          <w:rFonts w:ascii="Arial" w:cs="Arial" w:eastAsia="Arial" w:hAnsi="Arial"/>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or the Guarantor’s compliance with any of their respective covenants hereunder (as to which the Trustee is entitled to rely exclusively on Officer’s Certificates).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expressly assumes its obligations under this Indenture and the Securities or its Guarantees, as applicable, by an indenture supplemental to this Indenture to which the Company or the Guarantor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Assumption by a Subsidiary</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Subsidiary of the Guarantor may, at its option, assume the obligations of the Company as the issuer of the Company’s Securities, provided that:</w:t>
      </w:r>
    </w:p>
    <w:p>
      <w:pPr>
        <w:spacing w:after="0" w:line="113" w:lineRule="exact"/>
        <w:rPr>
          <w:sz w:val="20"/>
          <w:szCs w:val="20"/>
          <w:color w:val="auto"/>
        </w:rPr>
      </w:pPr>
    </w:p>
    <w:p>
      <w:pPr>
        <w:ind w:left="460" w:right="22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Default or Event of Default, shall have occurred and be continuing.</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as issuer of the Securities shall succeed to, and be substituted for, and may exercise any right and power of, the Company under such securities and this Indenture with the same effect as if such Person had been the issuer thereof and party hereto, and the Company shall be released from its liability as obligor under its Securities. An Officer’s Certificate and an Opinion of Counsel will be delivered to the Trustee, which will serve as conclusive evidence of compliance with this Section 5.2.</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DEFAULTS AND REMEDIES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The following are “</w:t>
      </w:r>
      <w:r>
        <w:rPr>
          <w:rFonts w:ascii="Arial" w:cs="Arial" w:eastAsia="Arial" w:hAnsi="Arial"/>
          <w:sz w:val="18"/>
          <w:szCs w:val="18"/>
          <w:i w:val="1"/>
          <w:iCs w:val="1"/>
          <w:color w:val="auto"/>
        </w:rPr>
        <w:t>Events of Default</w:t>
      </w:r>
      <w:r>
        <w:rPr>
          <w:rFonts w:ascii="Arial" w:cs="Arial" w:eastAsia="Arial" w:hAnsi="Arial"/>
          <w:sz w:val="18"/>
          <w:szCs w:val="18"/>
          <w:color w:val="auto"/>
        </w:rPr>
        <w:t>” with respect to the Company’s Securities of any Series, unless in the establishing Board Resolution, Officer’s Certificate or supplemental indenture, it is provided that such Series shall not have the benefit of said Event of Default:</w:t>
      </w:r>
    </w:p>
    <w:p>
      <w:pPr>
        <w:spacing w:after="0" w:line="51" w:lineRule="exact"/>
        <w:rPr>
          <w:sz w:val="20"/>
          <w:szCs w:val="20"/>
          <w:color w:val="auto"/>
        </w:rPr>
      </w:pPr>
    </w:p>
    <w:p>
      <w:pPr>
        <w:ind w:left="1140" w:hanging="237"/>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failure to pay any interest on the Securities within 30 days after such interest becomes due and payable;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failure to pay principal of the Securities at Maturity, or if applicable, the redemption price, when the same become due and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83" w:lineRule="exact"/>
        <w:rPr>
          <w:rFonts w:ascii="Arial" w:cs="Arial" w:eastAsia="Arial" w:hAnsi="Arial"/>
          <w:sz w:val="16"/>
          <w:szCs w:val="16"/>
          <w:color w:val="auto"/>
        </w:rPr>
      </w:pPr>
    </w:p>
    <w:p>
      <w:pPr>
        <w:ind w:left="460" w:firstLine="443"/>
        <w:spacing w:after="0" w:line="268"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Securities, and continuance of such default for a period of 30 days;</w:t>
      </w:r>
    </w:p>
    <w:p>
      <w:pPr>
        <w:spacing w:after="0" w:line="50"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failure to comply with any of the covenants or agreements in the Securities or this Indenture (other than an agreement or covenant that the Company has included in this Indenture solely for the benefit of another Series of Securities) for 90 days after written notice by the Trustee or by the Holders of at least 25% in principal amount of all outstanding Securities of such Series affected by that failure;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permitted by this Indenture, the Guarantee of the Company’s Securities is held in any judicial proceeding to be unenforceable or invalid or ceases for any reason to be in full force and effect, or the Guarantor, or any authorized Person acting on behalf of the Guarantor, denies or disaffirms the Guarantor’s obligations of the Company’s Securities under the Guarantee;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or the Guarantor pursuant to or within the meaning of any Bankruptcy Law:</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82" w:name="page83"/>
    <w:bookmarkEnd w:id="82"/>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for relief against the Company or the Guarantor, as applicable,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appoints a Custodian of the Company or the Guarantor, as applicable, or for all or substantially all of its property,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orders the liquidation of the Company or the Guarantor, as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days; and</w:t>
      </w:r>
    </w:p>
    <w:p>
      <w:pPr>
        <w:spacing w:after="0" w:line="90" w:lineRule="exact"/>
        <w:rPr>
          <w:sz w:val="20"/>
          <w:szCs w:val="20"/>
          <w:color w:val="auto"/>
        </w:rPr>
      </w:pPr>
    </w:p>
    <w:p>
      <w:pPr>
        <w:ind w:right="680" w:firstLine="921"/>
        <w:spacing w:after="0" w:line="268"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Event of Default provided in the Officer’s Certificate, supplemental indenture or Board Resolution under which such Series of Securities is issued.</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Default under one Series of Securities issued under this Indenture will not necessarily be a default under another Series of Securities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an Event of Default for a Series of Securities occurs and is continuing (other than an Event of Default referred to in Section 6.1(f) or (g)),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6.1(f) or (g) occurs with respect to the Company (or with respect to the Guarantor), the principal amount plus accrued and unpaid interest on the Company’s Securities of that Series (or in the case of the Guarantor, all Securities) will become immediately due and payable without any action on the part of the Trustee or any Holder.</w:t>
      </w:r>
    </w:p>
    <w:p>
      <w:pPr>
        <w:spacing w:after="0" w:line="14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covenants that if</w:t>
      </w:r>
    </w:p>
    <w:p>
      <w:pPr>
        <w:spacing w:after="0" w:line="90" w:lineRule="exact"/>
        <w:rPr>
          <w:sz w:val="20"/>
          <w:szCs w:val="20"/>
          <w:color w:val="auto"/>
        </w:rPr>
      </w:pPr>
    </w:p>
    <w:p>
      <w:pPr>
        <w:ind w:left="460" w:right="440" w:firstLine="443"/>
        <w:spacing w:after="0" w:line="268" w:lineRule="auto"/>
        <w:tabs>
          <w:tab w:leader="none" w:pos="11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for principal, premium, if any, and interest and,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83" w:name="page84"/>
    <w:bookmarkEnd w:id="83"/>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0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1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2" w:lineRule="exact"/>
        <w:rPr>
          <w:sz w:val="20"/>
          <w:szCs w:val="20"/>
          <w:color w:val="auto"/>
        </w:rPr>
      </w:pPr>
    </w:p>
    <w:p>
      <w:pPr>
        <w:ind w:left="460" w:right="40" w:firstLine="443"/>
        <w:spacing w:after="0" w:line="306"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84" w:name="page85"/>
    <w:bookmarkEnd w:id="84"/>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Third: To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Holder of Securities of any Series may pursue any remedy under this Indenture applicable to such Securities only if:</w:t>
      </w:r>
    </w:p>
    <w:p>
      <w:pPr>
        <w:spacing w:after="0" w:line="90" w:lineRule="exact"/>
        <w:rPr>
          <w:sz w:val="20"/>
          <w:szCs w:val="20"/>
          <w:color w:val="auto"/>
        </w:rPr>
      </w:pPr>
    </w:p>
    <w:p>
      <w:pPr>
        <w:ind w:left="1140" w:hanging="237"/>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Series of Securities;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Series of Securities make a written request to the Trustee to pursue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remedy;</w:t>
      </w:r>
    </w:p>
    <w:p>
      <w:pPr>
        <w:spacing w:after="0" w:line="164" w:lineRule="exact"/>
        <w:rPr>
          <w:rFonts w:ascii="Arial" w:cs="Arial" w:eastAsia="Arial" w:hAnsi="Arial"/>
          <w:sz w:val="16"/>
          <w:szCs w:val="16"/>
          <w:color w:val="auto"/>
        </w:rPr>
      </w:pPr>
    </w:p>
    <w:p>
      <w:pPr>
        <w:ind w:left="460" w:right="460" w:firstLine="443"/>
        <w:spacing w:after="0" w:line="268"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Holders furnish to the Trustee indemnity reasonably satisfactory to the Trustee against the costs, expenses and liabilities which might be incurred by it in compliance with such request;</w:t>
      </w:r>
    </w:p>
    <w:p>
      <w:pPr>
        <w:spacing w:after="0" w:line="212"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Securities of such Series do not give the Trustee a direction inconsistent with the request.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provision does not, however, affect the right of a Holder of Securities to sue for enforcement of any overdue payment with respect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9"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90"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90" w:lineRule="exact"/>
        <w:rPr>
          <w:sz w:val="20"/>
          <w:szCs w:val="20"/>
          <w:color w:val="auto"/>
        </w:rPr>
      </w:pPr>
    </w:p>
    <w:p>
      <w:pPr>
        <w:ind w:left="460" w:right="180" w:firstLine="443"/>
        <w:spacing w:after="0" w:line="357" w:lineRule="auto"/>
        <w:tabs>
          <w:tab w:leader="none" w:pos="1137" w:val="left"/>
        </w:tabs>
        <w:numPr>
          <w:ilvl w:val="0"/>
          <w:numId w:val="80"/>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with respect to the Securities of any Series:</w:t>
      </w:r>
    </w:p>
    <w:p>
      <w:pPr>
        <w:spacing w:after="0" w:line="90" w:lineRule="exact"/>
        <w:rPr>
          <w:rFonts w:ascii="Arial" w:cs="Arial" w:eastAsia="Arial" w:hAnsi="Arial"/>
          <w:sz w:val="18"/>
          <w:szCs w:val="18"/>
          <w:color w:val="auto"/>
        </w:rPr>
      </w:pPr>
    </w:p>
    <w:p>
      <w:pPr>
        <w:ind w:left="920" w:right="500" w:firstLine="421"/>
        <w:spacing w:after="0" w:line="268" w:lineRule="auto"/>
        <w:tabs>
          <w:tab w:leader="none" w:pos="15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50" w:lineRule="exact"/>
        <w:rPr>
          <w:rFonts w:ascii="Arial" w:cs="Arial" w:eastAsia="Arial" w:hAnsi="Arial"/>
          <w:sz w:val="18"/>
          <w:szCs w:val="18"/>
          <w:color w:val="auto"/>
        </w:rPr>
      </w:pPr>
    </w:p>
    <w:p>
      <w:pPr>
        <w:ind w:left="920" w:firstLine="421"/>
        <w:spacing w:after="0" w:line="335" w:lineRule="auto"/>
        <w:tabs>
          <w:tab w:leader="none" w:pos="1588" w:val="left"/>
        </w:tabs>
        <w:numPr>
          <w:ilvl w:val="1"/>
          <w:numId w:val="80"/>
        </w:numPr>
        <w:rPr>
          <w:rFonts w:ascii="Arial" w:cs="Arial" w:eastAsia="Arial" w:hAnsi="Arial"/>
          <w:sz w:val="15"/>
          <w:szCs w:val="15"/>
          <w:color w:val="auto"/>
        </w:rPr>
      </w:pPr>
      <w:r>
        <w:rPr>
          <w:rFonts w:ascii="Arial" w:cs="Arial" w:eastAsia="Arial" w:hAnsi="Arial"/>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 w:lineRule="exact"/>
        <w:rPr>
          <w:rFonts w:ascii="Arial" w:cs="Arial" w:eastAsia="Arial" w:hAnsi="Arial"/>
          <w:sz w:val="15"/>
          <w:szCs w:val="15"/>
          <w:color w:val="auto"/>
        </w:rPr>
      </w:pPr>
    </w:p>
    <w:p>
      <w:pPr>
        <w:ind w:left="1140" w:hanging="23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 except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90" w:lineRule="exact"/>
        <w:rPr>
          <w:rFonts w:ascii="Arial" w:cs="Arial" w:eastAsia="Arial" w:hAnsi="Arial"/>
          <w:sz w:val="18"/>
          <w:szCs w:val="18"/>
          <w:color w:val="auto"/>
        </w:rPr>
      </w:pPr>
    </w:p>
    <w:p>
      <w:pPr>
        <w:ind w:left="920" w:right="280" w:firstLine="421"/>
        <w:spacing w:after="0" w:line="268" w:lineRule="auto"/>
        <w:tabs>
          <w:tab w:leader="none" w:pos="15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0" w:lineRule="exact"/>
        <w:rPr>
          <w:rFonts w:ascii="Arial" w:cs="Arial" w:eastAsia="Arial" w:hAnsi="Arial"/>
          <w:sz w:val="18"/>
          <w:szCs w:val="18"/>
          <w:color w:val="auto"/>
        </w:rPr>
      </w:pPr>
    </w:p>
    <w:p>
      <w:pPr>
        <w:ind w:left="920" w:right="100" w:firstLine="421"/>
        <w:spacing w:after="0" w:line="268" w:lineRule="auto"/>
        <w:tabs>
          <w:tab w:leader="none" w:pos="15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6.12.</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the provisions of this Article VII.</w:t>
      </w:r>
    </w:p>
    <w:p>
      <w:pPr>
        <w:spacing w:after="0" w:line="50" w:lineRule="exact"/>
        <w:rPr>
          <w:rFonts w:ascii="Arial" w:cs="Arial" w:eastAsia="Arial" w:hAnsi="Arial"/>
          <w:sz w:val="18"/>
          <w:szCs w:val="18"/>
          <w:color w:val="auto"/>
        </w:rPr>
      </w:pPr>
    </w:p>
    <w:p>
      <w:pPr>
        <w:ind w:left="460" w:right="180" w:firstLine="443"/>
        <w:spacing w:after="0" w:line="332"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4" w:lineRule="exact"/>
        <w:rPr>
          <w:rFonts w:ascii="Arial" w:cs="Arial" w:eastAsia="Arial" w:hAnsi="Arial"/>
          <w:sz w:val="16"/>
          <w:szCs w:val="16"/>
          <w:color w:val="auto"/>
        </w:rPr>
      </w:pPr>
    </w:p>
    <w:p>
      <w:pPr>
        <w:ind w:left="460" w:right="380" w:firstLine="443"/>
        <w:spacing w:after="0" w:line="259" w:lineRule="auto"/>
        <w:tabs>
          <w:tab w:leader="none" w:pos="111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87" w:name="page88"/>
    <w:bookmarkEnd w:id="8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applied as herein provided, be held in trust for the payment of the principal of, premium (if any) and interest on and Additional Amounts with respect to the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90" w:lineRule="exact"/>
        <w:rPr>
          <w:sz w:val="20"/>
          <w:szCs w:val="20"/>
          <w:color w:val="auto"/>
        </w:rPr>
      </w:pPr>
    </w:p>
    <w:p>
      <w:pPr>
        <w:ind w:right="200" w:firstLine="443"/>
        <w:spacing w:after="0" w:line="298" w:lineRule="auto"/>
        <w:tabs>
          <w:tab w:leader="none" w:pos="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instruction, an Officer’s Certificate or an Opinion of Counsel or both to be</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28" w:lineRule="exact"/>
        <w:rPr>
          <w:rFonts w:ascii="Arial" w:cs="Arial" w:eastAsia="Arial" w:hAnsi="Arial"/>
          <w:sz w:val="16"/>
          <w:szCs w:val="16"/>
          <w:color w:val="auto"/>
        </w:rPr>
      </w:pPr>
    </w:p>
    <w:p>
      <w:pPr>
        <w:ind w:right="460" w:firstLine="443"/>
        <w:spacing w:after="0" w:line="268" w:lineRule="auto"/>
        <w:tabs>
          <w:tab w:leader="none" w:pos="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50"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59" w:lineRule="exact"/>
        <w:rPr>
          <w:rFonts w:ascii="Arial" w:cs="Arial" w:eastAsia="Arial" w:hAnsi="Arial"/>
          <w:sz w:val="18"/>
          <w:szCs w:val="18"/>
          <w:color w:val="auto"/>
        </w:rPr>
      </w:pPr>
    </w:p>
    <w:p>
      <w:pPr>
        <w:ind w:right="640" w:firstLine="443"/>
        <w:spacing w:after="0" w:line="268" w:lineRule="auto"/>
        <w:tabs>
          <w:tab w:leader="none" w:pos="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or the Guarantor, as applicable, shall be sufficient if signed by an Officer of the Company or the Guarantor, as applicable.</w:t>
      </w:r>
    </w:p>
    <w:p>
      <w:pPr>
        <w:spacing w:after="0" w:line="50" w:lineRule="exact"/>
        <w:rPr>
          <w:rFonts w:ascii="Arial" w:cs="Arial" w:eastAsia="Arial" w:hAnsi="Arial"/>
          <w:sz w:val="18"/>
          <w:szCs w:val="18"/>
          <w:color w:val="auto"/>
        </w:rPr>
      </w:pPr>
    </w:p>
    <w:p>
      <w:pPr>
        <w:jc w:val="both"/>
        <w:ind w:right="240" w:firstLine="443"/>
        <w:spacing w:after="0" w:line="306" w:lineRule="auto"/>
        <w:tabs>
          <w:tab w:leader="none" w:pos="657"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25" w:lineRule="exact"/>
        <w:rPr>
          <w:rFonts w:ascii="Arial" w:cs="Arial" w:eastAsia="Arial" w:hAnsi="Arial"/>
          <w:sz w:val="16"/>
          <w:szCs w:val="16"/>
          <w:color w:val="auto"/>
        </w:rPr>
      </w:pPr>
    </w:p>
    <w:p>
      <w:pPr>
        <w:ind w:right="100" w:firstLine="443"/>
        <w:spacing w:after="0" w:line="306" w:lineRule="auto"/>
        <w:tabs>
          <w:tab w:leader="none" w:pos="68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25" w:lineRule="exact"/>
        <w:rPr>
          <w:rFonts w:ascii="Arial" w:cs="Arial" w:eastAsia="Arial" w:hAnsi="Arial"/>
          <w:sz w:val="16"/>
          <w:szCs w:val="16"/>
          <w:color w:val="auto"/>
        </w:rPr>
      </w:pPr>
    </w:p>
    <w:p>
      <w:pPr>
        <w:jc w:val="both"/>
        <w:ind w:right="60" w:firstLine="443"/>
        <w:spacing w:after="0" w:line="259"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59" w:lineRule="exact"/>
        <w:rPr>
          <w:rFonts w:ascii="Arial" w:cs="Arial" w:eastAsia="Arial" w:hAnsi="Arial"/>
          <w:sz w:val="18"/>
          <w:szCs w:val="18"/>
          <w:color w:val="auto"/>
        </w:rPr>
      </w:pPr>
    </w:p>
    <w:p>
      <w:pPr>
        <w:ind w:right="60" w:firstLine="443"/>
        <w:spacing w:after="0" w:line="256"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Trustee may at any time request, and the Company and the Guarantor shall each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62" w:lineRule="exact"/>
        <w:rPr>
          <w:rFonts w:ascii="Arial" w:cs="Arial" w:eastAsia="Arial" w:hAnsi="Arial"/>
          <w:sz w:val="18"/>
          <w:szCs w:val="18"/>
          <w:color w:val="auto"/>
        </w:rPr>
      </w:pPr>
    </w:p>
    <w:p>
      <w:pPr>
        <w:ind w:right="320" w:firstLine="443"/>
        <w:spacing w:after="0" w:line="259"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80" w:right="239" w:bottom="1440" w:gutter="0" w:footer="0" w:header="0"/>
        </w:sectPr>
      </w:pPr>
    </w:p>
    <w:bookmarkStart w:id="88" w:name="page89"/>
    <w:bookmarkEnd w:id="88"/>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62" w:lineRule="exact"/>
        <w:rPr>
          <w:sz w:val="20"/>
          <w:szCs w:val="20"/>
          <w:color w:val="auto"/>
        </w:rPr>
      </w:pPr>
    </w:p>
    <w:p>
      <w:pPr>
        <w:ind w:left="460" w:right="340" w:firstLine="443"/>
        <w:spacing w:after="0" w:line="259"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Trustee makes no representation as to the validity, sufficiency or adequacy of any offering materials, this Indenture, the Securities or the Guarantees,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Within 60 days after May 15 of each year after the execution of this Indenture, the Trustee shall give to Holders of each Series of Securities and the Company a brief report dated as of such reporting date that complies with TIA § 313(a);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4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Company and the Guarantor, jointly and severally, agree to pay to the Trustee for its acceptance of this Indenture and services hereunder such compensation as the Company or the Guarantor and the Trustee shall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89" w:name="page90"/>
    <w:bookmarkEnd w:id="89"/>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time to time agree in writing. The Trustee’s compensation shall not be limited by any law on compensation of a trustee of an express trust. The Company and the Guarantor agrees to reimburse the Trustee upon request for all reasonable disbursements, advances and expenses incurred by it. Such expenses shall include the reasonable compensation, disbursements and expenses of the Trustee’s agents and counsel.</w:t>
      </w:r>
    </w:p>
    <w:p>
      <w:pPr>
        <w:spacing w:after="0" w:line="10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Company and the Guarantor, jointly and severally, hereby indemnify the Trustee from, and agree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and the Guarantor, as applicable,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Guarantor, as applicable, and the Company and the Guarantor shall pay the reasonable fees and expenses of such counsel. The Company need not pay for any settlement made without its consent.</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Company shall not be obligated to reimburse any expense or indemnify against any loss or liability incurred by the Trustee through the Trustee’s own negligence or bad faith.</w:t>
      </w:r>
    </w:p>
    <w:p>
      <w:pPr>
        <w:spacing w:after="0" w:line="132"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To secure the payment obligations of the Company and the Guarantor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and the Guarantor under this Section 7.7 shall survive the satisfaction and discharge of this Indenture, the payment of the Securities and/or the resignation or removal of the Trustee.</w:t>
      </w:r>
    </w:p>
    <w:p>
      <w:pPr>
        <w:spacing w:after="0" w:line="113"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7.8.</w:t>
      </w:r>
    </w:p>
    <w:p>
      <w:pPr>
        <w:spacing w:after="0" w:line="13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26"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with respect to the Securities of one or more Series, the Company shall promptly appoint a successor Trustee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90" w:name="page91"/>
    <w:bookmarkEnd w:id="90"/>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88"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07"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28"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Notwithstanding replacement of the Trustee or Trustees pursuant to this Section 7.8, the obligations of the Company or the Guarantor under Section 7.7 shall continue for the benefit of the retiring Trustee or Trustees.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171"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Subject to Section 7.10,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91" w:name="page92"/>
    <w:bookmarkEnd w:id="91"/>
    <w:p>
      <w:pPr>
        <w:ind w:right="1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1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DISCHARGE OF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of Company’s Obligations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6"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Indenture shall cease to be of further effect with respect to the Securities of a Series (except that all obligations of the Company and the Guarantor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627" w:val="left"/>
        </w:tabs>
        <w:numPr>
          <w:ilvl w:val="2"/>
          <w:numId w:val="84"/>
        </w:numPr>
        <w:rPr>
          <w:rFonts w:ascii="Arial" w:cs="Arial" w:eastAsia="Arial" w:hAnsi="Arial"/>
          <w:sz w:val="18"/>
          <w:szCs w:val="18"/>
          <w:color w:val="auto"/>
        </w:rPr>
      </w:pPr>
      <w:r>
        <w:rPr>
          <w:rFonts w:ascii="Arial" w:cs="Arial" w:eastAsia="Arial" w:hAnsi="Arial"/>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all outstanding Securities of such Series not theretofore delivered to the Trustee for cancellation:</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3"/>
          <w:numId w:val="84"/>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3"/>
          <w:numId w:val="8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1500" w:right="780" w:firstLine="389"/>
        <w:spacing w:after="0" w:line="268" w:lineRule="auto"/>
        <w:tabs>
          <w:tab w:leader="none" w:pos="2204" w:val="left"/>
        </w:tabs>
        <w:numPr>
          <w:ilvl w:val="3"/>
          <w:numId w:val="84"/>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92" w:name="page93"/>
    <w:bookmarkEnd w:id="92"/>
    <w:p>
      <w:pPr>
        <w:ind w:left="44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66" w:lineRule="exact"/>
        <w:rPr>
          <w:sz w:val="20"/>
          <w:szCs w:val="20"/>
          <w:color w:val="auto"/>
        </w:rPr>
      </w:pPr>
    </w:p>
    <w:p>
      <w:pPr>
        <w:ind w:left="900" w:right="160" w:firstLine="421"/>
        <w:spacing w:after="0" w:line="268" w:lineRule="auto"/>
        <w:tabs>
          <w:tab w:leader="none" w:pos="1598"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Company has properly fulfilled such other means of satisfaction and discharge, as contemplated by Section 2.2 to be applicable to the Securities of such Series,</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by it hereunder with respect to the Securities of such Series; and</w:t>
      </w:r>
    </w:p>
    <w:p>
      <w:pPr>
        <w:spacing w:after="0" w:line="113" w:lineRule="exact"/>
        <w:rPr>
          <w:rFonts w:ascii="Arial" w:cs="Arial" w:eastAsia="Arial" w:hAnsi="Arial"/>
          <w:sz w:val="16"/>
          <w:szCs w:val="16"/>
          <w:color w:val="auto"/>
        </w:rPr>
      </w:pPr>
    </w:p>
    <w:p>
      <w:pPr>
        <w:ind w:left="440" w:right="620" w:firstLine="443"/>
        <w:spacing w:after="0" w:line="332" w:lineRule="auto"/>
        <w:tabs>
          <w:tab w:leader="none" w:pos="1127"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85" w:lineRule="exact"/>
        <w:rPr>
          <w:rFonts w:ascii="Arial" w:cs="Arial" w:eastAsia="Arial" w:hAnsi="Arial"/>
          <w:sz w:val="16"/>
          <w:szCs w:val="16"/>
          <w:color w:val="auto"/>
        </w:rPr>
      </w:pPr>
    </w:p>
    <w:p>
      <w:pPr>
        <w:ind w:left="-20" w:right="80" w:firstLine="464"/>
        <w:spacing w:after="0" w:line="268"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this Section 8.1(b) is specified as not being applicable to Securities of a Series as contemplated by Section 2.2, the Company may be discharged from certain of its obligations under this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with respect to the Securities of a Series if:</w:t>
      </w:r>
    </w:p>
    <w:p>
      <w:pPr>
        <w:spacing w:after="0" w:line="50" w:lineRule="exact"/>
        <w:rPr>
          <w:rFonts w:ascii="Arial" w:cs="Arial" w:eastAsia="Arial" w:hAnsi="Arial"/>
          <w:sz w:val="18"/>
          <w:szCs w:val="18"/>
          <w:color w:val="auto"/>
        </w:rPr>
      </w:pPr>
    </w:p>
    <w:p>
      <w:pPr>
        <w:ind w:left="440" w:firstLine="443"/>
        <w:spacing w:after="0" w:line="286" w:lineRule="auto"/>
        <w:tabs>
          <w:tab w:leader="none" w:pos="11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w:t>
      </w:r>
    </w:p>
    <w:p>
      <w:pPr>
        <w:ind w:left="440" w:right="140" w:firstLine="4"/>
        <w:spacing w:after="0" w:line="310" w:lineRule="auto"/>
        <w:tabs>
          <w:tab w:leader="none" w:pos="699" w:val="left"/>
        </w:tabs>
        <w:numPr>
          <w:ilvl w:val="0"/>
          <w:numId w:val="88"/>
        </w:numPr>
        <w:rPr>
          <w:rFonts w:ascii="Arial" w:cs="Arial" w:eastAsia="Arial" w:hAnsi="Arial"/>
          <w:sz w:val="15"/>
          <w:szCs w:val="15"/>
          <w:color w:val="auto"/>
        </w:rPr>
      </w:pPr>
      <w:r>
        <w:rPr>
          <w:rFonts w:ascii="Arial" w:cs="Arial" w:eastAsia="Arial" w:hAnsi="Arial"/>
          <w:sz w:val="15"/>
          <w:szCs w:val="15"/>
          <w:color w:val="auto"/>
        </w:rPr>
        <w:t>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27" w:lineRule="exact"/>
        <w:rPr>
          <w:rFonts w:ascii="Arial" w:cs="Arial" w:eastAsia="Arial" w:hAnsi="Arial"/>
          <w:sz w:val="15"/>
          <w:szCs w:val="15"/>
          <w:color w:val="auto"/>
        </w:rPr>
      </w:pPr>
    </w:p>
    <w:p>
      <w:pPr>
        <w:ind w:left="440" w:right="140" w:firstLine="443"/>
        <w:spacing w:after="0" w:line="268" w:lineRule="auto"/>
        <w:tabs>
          <w:tab w:leader="none" w:pos="1127"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13" w:lineRule="exact"/>
        <w:rPr>
          <w:rFonts w:ascii="Arial" w:cs="Arial" w:eastAsia="Arial" w:hAnsi="Arial"/>
          <w:sz w:val="16"/>
          <w:szCs w:val="16"/>
          <w:color w:val="auto"/>
        </w:rPr>
      </w:pPr>
    </w:p>
    <w:p>
      <w:pPr>
        <w:jc w:val="both"/>
        <w:ind w:left="440" w:right="200" w:firstLine="443"/>
        <w:spacing w:after="0" w:line="298" w:lineRule="auto"/>
        <w:tabs>
          <w:tab w:leader="none" w:pos="112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Section 8.1(b) and will be subject to Federal income tax on the same amount and in the same manner and at the same times as would have been the case if such option had not been exercised;</w:t>
      </w:r>
    </w:p>
    <w:p>
      <w:pPr>
        <w:spacing w:after="0" w:line="31" w:lineRule="exact"/>
        <w:rPr>
          <w:rFonts w:ascii="Arial" w:cs="Arial" w:eastAsia="Arial" w:hAnsi="Arial"/>
          <w:sz w:val="16"/>
          <w:szCs w:val="16"/>
          <w:color w:val="auto"/>
        </w:rPr>
      </w:pPr>
    </w:p>
    <w:p>
      <w:pPr>
        <w:ind w:left="440" w:right="100" w:firstLine="443"/>
        <w:spacing w:after="0" w:line="268" w:lineRule="auto"/>
        <w:tabs>
          <w:tab w:leader="none" w:pos="1127"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deposit and covenant defeasance shall not cause the Trustee to have a conflicting interest as defined in TIA § 310(b).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60" w:top="280" w:right="239" w:bottom="1440" w:gutter="0" w:footer="0" w:header="0"/>
        </w:sectPr>
      </w:pPr>
    </w:p>
    <w:bookmarkStart w:id="93" w:name="page94"/>
    <w:bookmarkEnd w:id="93"/>
    <w:p>
      <w:pPr>
        <w:ind w:right="26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such event, this Indenture shall cease to be of further effect except that the Company’s and the Guarantor’s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and the Guarantor in Section 7.7 and the Trustee’s and Paying Agent’s obligations in Section 8.3 shall survive with respect to Securities of such Series.</w:t>
      </w:r>
    </w:p>
    <w:p>
      <w:pPr>
        <w:spacing w:after="0" w:line="11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40" w:lineRule="exact"/>
        <w:rPr>
          <w:sz w:val="20"/>
          <w:szCs w:val="20"/>
          <w:color w:val="auto"/>
        </w:rPr>
      </w:pPr>
    </w:p>
    <w:p>
      <w:pPr>
        <w:ind w:right="40" w:firstLine="464"/>
        <w:spacing w:after="0" w:line="256"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Company has previously complied or is concurrently complying with Section 8.1(b) (other than any additional conditions specified pursuant to Section 2.2 that are expressly applicable only to covenant defeasance) with respect to Securities of a Series, then unless this Section 8.1(c) is specified as not being applicable to Securities of such Series as contemplated by Section 2.2, the Company may elect to be discharged (“</w:t>
      </w:r>
      <w:r>
        <w:rPr>
          <w:rFonts w:ascii="Arial" w:cs="Arial" w:eastAsia="Arial" w:hAnsi="Arial"/>
          <w:sz w:val="18"/>
          <w:szCs w:val="18"/>
          <w:i w:val="1"/>
          <w:iCs w:val="1"/>
          <w:color w:val="auto"/>
        </w:rPr>
        <w:t>legal defeasance</w:t>
      </w:r>
      <w:r>
        <w:rPr>
          <w:rFonts w:ascii="Arial" w:cs="Arial" w:eastAsia="Arial" w:hAnsi="Arial"/>
          <w:sz w:val="18"/>
          <w:szCs w:val="18"/>
          <w:color w:val="auto"/>
        </w:rPr>
        <w:t>”) from its obligations to make payments with respect to Securities of such Series, if:</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 Default or Event of Default under clauses (f) and (g) of Section 6.1 hereof shall have occurred at any time during the period ending on the 91st day after the date of deposit contemplated by Section 8.1(b) (it being understood that this condition shall not be deemed satisfied until the expiration of such period);</w:t>
      </w:r>
    </w:p>
    <w:p>
      <w:pPr>
        <w:spacing w:after="0" w:line="59" w:lineRule="exact"/>
        <w:rPr>
          <w:rFonts w:ascii="Arial" w:cs="Arial" w:eastAsia="Arial" w:hAnsi="Arial"/>
          <w:sz w:val="18"/>
          <w:szCs w:val="18"/>
          <w:color w:val="auto"/>
        </w:rPr>
      </w:pPr>
    </w:p>
    <w:p>
      <w:pPr>
        <w:ind w:left="460" w:right="140" w:firstLine="443"/>
        <w:spacing w:after="0" w:line="291" w:lineRule="auto"/>
        <w:tabs>
          <w:tab w:leader="none" w:pos="1147" w:val="left"/>
        </w:tabs>
        <w:numPr>
          <w:ilvl w:val="1"/>
          <w:numId w:val="89"/>
        </w:numPr>
        <w:rPr>
          <w:rFonts w:ascii="Arial" w:cs="Arial" w:eastAsia="Arial" w:hAnsi="Arial"/>
          <w:sz w:val="16"/>
          <w:szCs w:val="16"/>
          <w:color w:val="auto"/>
        </w:rPr>
      </w:pPr>
      <w:r>
        <w:rPr>
          <w:rFonts w:ascii="Arial" w:cs="Arial" w:eastAsia="Arial" w:hAnsi="Arial"/>
          <w:sz w:val="16"/>
          <w:szCs w:val="16"/>
          <w:color w:val="auto"/>
        </w:rPr>
        <w:t>unless otherwise specified with respect to Securities of such Series as contemplated by Section 2.2, the Company has delivered to the Trustee an Opinion of Counsel from a nationally recognized counsel acceptable to the Trustee to the effect referred to in Section 8.1(b)(4) with respect to such legal defeasance, which opinion is based on (i) a private ruling of the Internal Revenue Service addressed to the Company or the Trustee, (ii) a published ruling of the Internal Revenue Service or (iii) a change in the applicable Federal income tax law (including regulations) after the date of this Indenture; the Company has complied with any other conditions specified pursuant to Section 2.2 to be applicable to the legal defeasance of Securities of such Series pursuant to this Section 8.1(c); and</w:t>
      </w:r>
    </w:p>
    <w:p>
      <w:pPr>
        <w:spacing w:after="0" w:line="39"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40" w:lineRule="exact"/>
        <w:rPr>
          <w:sz w:val="20"/>
          <w:szCs w:val="20"/>
          <w:color w:val="auto"/>
        </w:rPr>
      </w:pPr>
    </w:p>
    <w:p>
      <w:pPr>
        <w:ind w:right="260" w:firstLine="913"/>
        <w:spacing w:after="0" w:line="335" w:lineRule="auto"/>
        <w:rPr>
          <w:sz w:val="20"/>
          <w:szCs w:val="20"/>
          <w:color w:val="auto"/>
        </w:rPr>
      </w:pPr>
      <w:r>
        <w:rPr>
          <w:rFonts w:ascii="Arial" w:cs="Arial" w:eastAsia="Arial" w:hAnsi="Arial"/>
          <w:sz w:val="15"/>
          <w:szCs w:val="15"/>
          <w:color w:val="auto"/>
        </w:rPr>
        <w:t>In such event, the Company will be discharged from its obligations under this Indenture and the Securities of such Series to pay principal of, premium (if any) and interest on, and any Additional Amounts with respect to, Securities of such Series, the Company’s obligations under Sections 4.1 and 4.6 shall terminate with respect to such Securities, and the entire indebtedness of the Company evidenced by such Securities shall be deemed paid and discharged.</w:t>
      </w:r>
    </w:p>
    <w:p>
      <w:pPr>
        <w:spacing w:after="0" w:line="88" w:lineRule="exact"/>
        <w:rPr>
          <w:sz w:val="20"/>
          <w:szCs w:val="20"/>
          <w:color w:val="auto"/>
        </w:rPr>
      </w:pPr>
    </w:p>
    <w:p>
      <w:pPr>
        <w:ind w:right="20"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43"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AMENDMENTS AND WAIVERS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Without the consent of any Holder of Securities of a Series, the Company, the Guarantor and the Trustee may amend or supplement this Indenture, such Series of Securities or the Guarantee in the following circumstances:</w:t>
      </w:r>
    </w:p>
    <w:p>
      <w:pPr>
        <w:spacing w:after="0" w:line="51"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90"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under this Indenture or the Guarantor’s obligations under the Guarantee by a successor upon any merger, consolidation or asset transfer in accordance with Section 5.1 or to provide for the assumption of the Company’s obligations under this Indenture by a subsidiary of the Guarantor in accordance with Section 5.2;</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provide any security for or guarantees of the Company’s Securities or for the addition of an additional obligor on the Company’s Securities;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95" w:name="page96"/>
    <w:bookmarkEnd w:id="95"/>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any requirement to effect or maintain the qualification of this Indenture under the TIA, if applicable;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Company’s Securities or to surrender any rights the Company has under this Indenture;</w:t>
      </w:r>
    </w:p>
    <w:p>
      <w:pPr>
        <w:spacing w:after="0" w:line="113"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Securities;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Securities;</w:t>
      </w:r>
    </w:p>
    <w:p>
      <w:pPr>
        <w:spacing w:after="0" w:line="90" w:lineRule="exact"/>
        <w:rPr>
          <w:rFonts w:ascii="Arial" w:cs="Arial" w:eastAsia="Arial" w:hAnsi="Arial"/>
          <w:sz w:val="18"/>
          <w:szCs w:val="18"/>
          <w:color w:val="auto"/>
        </w:rPr>
      </w:pPr>
    </w:p>
    <w:p>
      <w:pPr>
        <w:jc w:val="both"/>
        <w:ind w:left="460" w:right="60" w:firstLine="443"/>
        <w:spacing w:after="0" w:line="259" w:lineRule="auto"/>
        <w:tabs>
          <w:tab w:leader="none" w:pos="12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issue additional Securities of any Series, provided that such additional Securities have substantially the same terms (other than the issue date, date from which interest accrues, first interest payment date and restrictions on transfer) as, and be deemed part of the same Series as, the applicable Series of Securities to the extent required under this Indenture;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2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evidence and provide for the acceptance of and appointment by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Company’s Securities; and</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Securities in any material respect.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This Indenture or the Securities of a Series or the Guarantee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or applicable Guarantee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w:t>
      </w:r>
    </w:p>
    <w:p>
      <w:pPr>
        <w:spacing w:after="0" w:line="118"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The Holders of a majority in principal amount of the outstanding Securities of a Series issued by the Company may waive any existing or past Default or Event of Default with respect to those Securities. Those Holders may not, however, waive any Default or Event of Default in any payment on any Security.</w:t>
      </w:r>
    </w:p>
    <w:p>
      <w:pPr>
        <w:spacing w:after="0" w:line="14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Without the consent of each Holder of outstanding Securities of a Series, an amendment, supplement or waiver may not (with respect to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 held by a non-consenting Holder):</w:t>
      </w:r>
    </w:p>
    <w:p>
      <w:pPr>
        <w:spacing w:after="0" w:line="84" w:lineRule="exact"/>
        <w:rPr>
          <w:sz w:val="20"/>
          <w:szCs w:val="20"/>
          <w:color w:val="auto"/>
        </w:rPr>
      </w:pPr>
    </w:p>
    <w:p>
      <w:pPr>
        <w:ind w:left="5620" w:right="1760" w:hanging="4717"/>
        <w:spacing w:after="0" w:line="440" w:lineRule="auto"/>
        <w:tabs>
          <w:tab w:leader="none" w:pos="11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reduce the amount of the Securities of such Series whose Holders must consent to an amendment, supplement or waiver; 35</w:t>
      </w:r>
    </w:p>
    <w:p>
      <w:pPr>
        <w:sectPr>
          <w:pgSz w:w="11900" w:h="16838" w:orient="portrait"/>
          <w:cols w:equalWidth="0" w:num="1">
            <w:col w:w="11400"/>
          </w:cols>
          <w:pgMar w:left="240" w:top="280" w:right="259" w:bottom="1440" w:gutter="0" w:footer="0" w:header="0"/>
        </w:sectPr>
      </w:pPr>
    </w:p>
    <w:bookmarkStart w:id="96" w:name="page97"/>
    <w:bookmarkEnd w:id="96"/>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rate of or change the time for payment of interest on the Securities of such Series;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principal of the Securities of such Series or change the Stated Maturity of the Securities of such Series;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Securities of such Series or change the time at which the Securities of such Series may or must be redeemed;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Securities of such Series;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payments on the Securities of such Series payable in currency other than as originally stated in such Securities;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Securities of such Series;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Securities of such Series necessary to waive compliance with Sections 6.8 and 6.13 of this Indenture or to make any change in this Section 9.3(8);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Securities of such Series.</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Form of Amendments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1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9.7. </w:t>
      </w:r>
      <w:r>
        <w:rPr>
          <w:rFonts w:ascii="Arial" w:cs="Arial" w:eastAsia="Arial" w:hAnsi="Arial"/>
          <w:sz w:val="18"/>
          <w:szCs w:val="18"/>
          <w:u w:val="single" w:color="auto"/>
          <w:color w:val="auto"/>
        </w:rPr>
        <w:t>Trustee Protected.</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Notices.</w:t>
      </w:r>
    </w:p>
    <w:p>
      <w:pPr>
        <w:spacing w:after="0" w:line="171"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Any request, direction, instruction, demand, document, notice or communication by the Company, the Guarantor or the Trustee to the other, or by a Holder to the Company or the Trustee, shall be in English and in writing and delivered in person, mailed by first-class mail, delivered via facsimile or delivered by overnight courier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Schlumberger Investment SA</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5 Avenue Gaston Diderich,</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L-1420 Luxembourg</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Fax: +352 2744 8101</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Attention: Sinan Sar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And also to:</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Attention: Vice President Treasurer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if to the Guarantor:</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Fax: (713) 513-2006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Attention: Vice President Treasurer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101 Barclay Street, Floor 4 East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Fax: (212) 815-5704</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Attention: Corporate Trust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98" w:name="page99"/>
    <w:bookmarkEnd w:id="98"/>
    <w:p>
      <w:pPr>
        <w:ind w:right="3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shall be effective upon the recipient’s actual receipt thereof. Any party by notice to the other parties may designate additional or different addresses for subsequent notices or communications.</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43"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If a notice or communication to any Securityholder is given in the manner provided above, within the time prescribed, it is duly given, whether or not the Securityholder receives it.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Company mails a notice or communication to Securityholders, it shall mail a copy to the Trustee and each Agent at the same time.</w:t>
      </w:r>
    </w:p>
    <w:p>
      <w:pPr>
        <w:spacing w:after="0" w:line="194"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70" w:lineRule="auto"/>
        <w:rPr>
          <w:sz w:val="20"/>
          <w:szCs w:val="20"/>
          <w:color w:val="auto"/>
        </w:rPr>
      </w:pPr>
      <w:r>
        <w:rPr>
          <w:rFonts w:ascii="Arial" w:cs="Arial" w:eastAsia="Arial" w:hAnsi="Arial"/>
          <w:sz w:val="15"/>
          <w:szCs w:val="15"/>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any request or application by the Company or the Guarantor to the Trustee to take any action under this Indenture, the Company 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as applicable, shall furnish to the Trustee:</w:t>
      </w:r>
    </w:p>
    <w:p>
      <w:pPr>
        <w:spacing w:after="0" w:line="84" w:lineRule="exact"/>
        <w:rPr>
          <w:sz w:val="20"/>
          <w:szCs w:val="20"/>
          <w:color w:val="auto"/>
        </w:rPr>
      </w:pPr>
    </w:p>
    <w:p>
      <w:pPr>
        <w:ind w:left="1480" w:right="180" w:hanging="567"/>
        <w:spacing w:after="0" w:line="332" w:lineRule="auto"/>
        <w:tabs>
          <w:tab w:leader="none" w:pos="14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4" w:lineRule="exact"/>
        <w:rPr>
          <w:rFonts w:ascii="Arial" w:cs="Arial" w:eastAsia="Arial" w:hAnsi="Arial"/>
          <w:sz w:val="16"/>
          <w:szCs w:val="16"/>
          <w:color w:val="auto"/>
        </w:rPr>
      </w:pPr>
    </w:p>
    <w:p>
      <w:pPr>
        <w:ind w:left="1480" w:right="28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10.4 hereof) stating that, in the opinion of such counsel, all such conditions precedent have been complied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4"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9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99" w:name="page100"/>
    <w:bookmarkEnd w:id="99"/>
    <w:p>
      <w:pPr>
        <w:ind w:left="1480" w:right="280" w:hanging="567"/>
        <w:spacing w:after="0" w:line="268" w:lineRule="auto"/>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statement that, in the opinion of such Person, he has made such examination or investigation as is necessary to enable him to express an informed opinion as to whether or not such covenant or condition has been complied with;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Personal Liability of Directors, Officers, Employees and Certain Others</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or any obligations of the Company or the Guarantor under this Indenture or the Securities, or Guarantee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Governing Laws</w:t>
      </w:r>
      <w:r>
        <w:rPr>
          <w:rFonts w:ascii="Arial" w:cs="Arial" w:eastAsia="Arial" w:hAnsi="Arial"/>
          <w:sz w:val="18"/>
          <w:szCs w:val="18"/>
          <w:color w:val="auto"/>
        </w:rPr>
        <w:t>.</w:t>
      </w:r>
    </w:p>
    <w:p>
      <w:pPr>
        <w:spacing w:after="0" w:line="16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THIS INDENTURE, THE SECURITIES AND THE GUARANTEE, INCLUDING ANY CLAIM OR CONTROVERSY ARISING OUT OF OR RELATING TO THIS INDENTURE, THE SECURITIES OR THE GUARANTEE, SHALL BE GOVERNED BY THE LAWS OF THE STATE OF NEW YORK WITHOUT REGARD TO CONFLICT OF LAW PRINCIPLES THAT WOULD RESULT IN THE APPLICATION OF ANY LAW OTHER THAN THE LAW OF THE STATE OF NEW YORK.</w:t>
      </w:r>
    </w:p>
    <w:p>
      <w:pPr>
        <w:spacing w:after="0" w:line="136" w:lineRule="exact"/>
        <w:rPr>
          <w:sz w:val="20"/>
          <w:szCs w:val="20"/>
          <w:color w:val="auto"/>
        </w:rPr>
      </w:pPr>
    </w:p>
    <w:p>
      <w:pPr>
        <w:ind w:right="840" w:firstLine="913"/>
        <w:spacing w:after="0" w:line="339" w:lineRule="auto"/>
        <w:rPr>
          <w:sz w:val="20"/>
          <w:szCs w:val="20"/>
          <w:color w:val="auto"/>
        </w:rPr>
      </w:pPr>
      <w:r>
        <w:rPr>
          <w:rFonts w:ascii="Arial" w:cs="Arial" w:eastAsia="Arial" w:hAnsi="Arial"/>
          <w:sz w:val="16"/>
          <w:szCs w:val="16"/>
          <w:b w:val="1"/>
          <w:bCs w:val="1"/>
          <w:color w:val="auto"/>
        </w:rPr>
        <w:t>THE APPLICATION OF THE PROVISIONS OF THE ARTICLES 86 TO 94-8 AND THE ARTICLES 96 AND 97 OF THE LUXEMBOURG LAW OF 10 AUGUST 1915 ON COMMERCIAL COMPANIES, AS AMENDED, IS HEREBY EXPRESSLY EXCLUDED.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All agreements of the Company and the Guarantor in this Indenture and the Securities shall bind their respective successors. All agreements of the Trustee in this Indenture shall bind its successor.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171"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Each of the Company and the Guarantor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Legal Holiday in The City of New York on which banking institutions are authorized or required by law, regulation or executive order to close.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English Language</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Submission to Jurisdiction; Appointment of Agent</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Any suit, action or proceeding against the Company or the Guarantor or its respective properties, assets or revenues with respect to this Indenture, the Securities or the Guarantee (a “</w:t>
      </w:r>
      <w:r>
        <w:rPr>
          <w:rFonts w:ascii="Arial" w:cs="Arial" w:eastAsia="Arial" w:hAnsi="Arial"/>
          <w:sz w:val="18"/>
          <w:szCs w:val="18"/>
          <w:i w:val="1"/>
          <w:iCs w:val="1"/>
          <w:color w:val="auto"/>
        </w:rPr>
        <w:t>Related Proceeding</w:t>
      </w:r>
      <w:r>
        <w:rPr>
          <w:rFonts w:ascii="Arial" w:cs="Arial" w:eastAsia="Arial" w:hAnsi="Arial"/>
          <w:sz w:val="18"/>
          <w:szCs w:val="18"/>
          <w:color w:val="auto"/>
        </w:rPr>
        <w:t>”) may be brought in any state or Federal court in the Borough of Manhattan in The City of New York, New York, as the Person bringing such Related Proceeding may elect in its sole discretion. The Company and the Guarantor hereby consent to the non-exclusive jurisdiction of each such court for the purpose of any Related Proceeding and have irrevocably waived any objection to the laying of venue of any Related Proceeding brought in any such court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101" w:name="page102"/>
    <w:bookmarkEnd w:id="101"/>
    <w:p>
      <w:pPr>
        <w:ind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fullest extent they may effectively do so and the defense of an inconvenient forum to the maintenance of any Related Proceeding or any such suit, action or proceeding in any such court. The Company and the Guarantor hereby agree that service of all writs, claims, process and summonses in any Related Proceeding brought against them in the State of New York may be made upon Schlumberger Limited, 5599 San Felipe Street, 17</w:t>
      </w:r>
      <w:r>
        <w:rPr>
          <w:rFonts w:ascii="Arial" w:cs="Arial" w:eastAsia="Arial" w:hAnsi="Arial"/>
          <w:sz w:val="10"/>
          <w:szCs w:val="10"/>
          <w:color w:val="auto"/>
        </w:rPr>
        <w:t>th</w:t>
      </w:r>
      <w:r>
        <w:rPr>
          <w:rFonts w:ascii="Arial" w:cs="Arial" w:eastAsia="Arial" w:hAnsi="Arial"/>
          <w:sz w:val="15"/>
          <w:szCs w:val="15"/>
          <w:color w:val="auto"/>
        </w:rPr>
        <w:t xml:space="preserve"> Floor, Houston, Texas 77057 Attention: Vice President Treasurer (the “</w:t>
      </w:r>
      <w:r>
        <w:rPr>
          <w:rFonts w:ascii="Arial" w:cs="Arial" w:eastAsia="Arial" w:hAnsi="Arial"/>
          <w:sz w:val="15"/>
          <w:szCs w:val="15"/>
          <w:i w:val="1"/>
          <w:iCs w:val="1"/>
          <w:color w:val="auto"/>
        </w:rPr>
        <w:t>Process Agent</w:t>
      </w:r>
      <w:r>
        <w:rPr>
          <w:rFonts w:ascii="Arial" w:cs="Arial" w:eastAsia="Arial" w:hAnsi="Arial"/>
          <w:sz w:val="15"/>
          <w:szCs w:val="15"/>
          <w:color w:val="auto"/>
        </w:rPr>
        <w:t>”). The Company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and the Guarantor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To the extent that the Company or the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Securities and/or the Guarantees.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71" w:lineRule="exact"/>
        <w:rPr>
          <w:sz w:val="20"/>
          <w:szCs w:val="20"/>
          <w:color w:val="auto"/>
        </w:rPr>
      </w:pPr>
    </w:p>
    <w:p>
      <w:pPr>
        <w:ind w:right="420" w:firstLine="913"/>
        <w:spacing w:after="0" w:line="306" w:lineRule="auto"/>
        <w:rPr>
          <w:sz w:val="20"/>
          <w:szCs w:val="20"/>
          <w:color w:val="auto"/>
        </w:rPr>
      </w:pPr>
      <w:r>
        <w:rPr>
          <w:rFonts w:ascii="Arial" w:cs="Arial" w:eastAsia="Arial" w:hAnsi="Arial"/>
          <w:sz w:val="16"/>
          <w:szCs w:val="16"/>
          <w:color w:val="auto"/>
        </w:rPr>
        <w:t>EACH OF THE PARTIES HERETO HEREBY IRREVOCABLY WAIVES ALL RIGHTS TO TRIAL BY JURY IN ANY ACTION, PROCEEDING OR COUNTERCLAIM (WHETHER BASED ON CONTRACT, TORT OR OTHERWISE) ARISING OUT OF OR RELATING TO THIS INDENTURE, THE SECURITIES, THE GUARANTEES OR THE TRANSACTIONS CONTEMPLATED HEREBY OR THEREBY.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any provision of this Indenture limits, qualifies or conflicts with the duties imposed by operation of TIA § 318(c), the imposed duties shall control.</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Investment SA</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 Registrar, Paying Agent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Transfer Agent</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Base Indenture</w:t>
      </w:r>
    </w:p>
    <w:p>
      <w:pPr>
        <w:sectPr>
          <w:pgSz w:w="11900" w:h="16838" w:orient="portrait"/>
          <w:cols w:equalWidth="0" w:num="1">
            <w:col w:w="9440"/>
          </w:cols>
          <w:pgMar w:left="1160" w:top="280" w:right="12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213985" cy="960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August 26,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Investment 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As set forth in the Registration Statement on Form S-3 (the “Registration Statement”) proposed to be filed by Schlumberger Investment SA, a public company limited by shares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the Grand Duchy of Luxembourg (the “Company”) and Schlumberger Limited, a company organized under the laws of Curaçao (the “Guarantor”), with the Securities and Exchange Commission (the “Commission”) under the Securities Act of 1933, as amended (the “Act”), relating to the registration under the Act of (i) senior unsecured debt securities of the Company (“Debt Securities”) and</w:t>
      </w:r>
    </w:p>
    <w:p>
      <w:pPr>
        <w:spacing w:after="0" w:line="3"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guarantees of the Debt Securities by the Guarantor (the “Guarantees,” and, together with the Debt Securities, the “Securities”), that may be issued and sold</w:t>
      </w:r>
    </w:p>
    <w:p>
      <w:pPr>
        <w:spacing w:after="0" w:line="3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from time to time pursuant to Rule 415 under the Act, certain legal matters in connection with the Securities are being passed upon for you by us. At your request, this opinion is being furnished to you for filing as Exhibit 5.1 to the Registration Statement.</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our capacity as your counsel in the connection referred to above, we have examined (i) the Articles of Incorporation of the Company, (ii) the Articles of Incorporation and Amended and Restated Bylaws of the Guarantor, each as amended to date (together, the “Guarantor Charter Documents”), (iii) the form of Indenture filed as Exhibit 4.1 to the Registration Statement to be executed by the Company, the Guarantor and the trustee thereunder (the “Indenture”) pursuant to which the Securities may be issued, (iv) the originals, or copies certified or otherwise identified, of corporate records of each of the Company and the Guarantor, and (v) certificates of public officials and of representatives of each of the Company and the Guarantor, statutes and other instruments and documents as a basis for the opinions hereinafter expressed.</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giving this opinion, we have relied on certificates of officers of each of the Company and the Guarantor and of public officials with respect to the accuracy of the material factual matters contained in such certificates and we have assumed, without independent investigation, that all signatures on documents we have examined are genuine, all documents submitted to us as originals are authentic, all documents submitted to us as certified or photostatic copies of original documents conform to the original documents and all these original documents are authentic, and all information submitted to us was accurate and complete.</w:t>
      </w:r>
    </w:p>
    <w:p>
      <w:pPr>
        <w:sectPr>
          <w:pgSz w:w="11900" w:h="16838" w:orient="portrait"/>
          <w:cols w:equalWidth="0" w:num="1">
            <w:col w:w="11420"/>
          </w:cols>
          <w:pgMar w:left="240" w:top="125" w:right="239" w:bottom="1440" w:gutter="0" w:footer="0" w:header="0"/>
        </w:sectPr>
      </w:pPr>
    </w:p>
    <w:bookmarkStart w:id="104" w:name="page105"/>
    <w:bookmarkEnd w:id="104"/>
    <w:p>
      <w:pPr>
        <w:ind w:left="5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6649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6649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Schlumberger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this opinion, we have assumed that (i) the Registration Statement, and any amendments thereto (including post-effective amendments), will have become effective under the Act; (ii) a prospectus supplement will have been prepared and filed with the Commission describing the Securities offered thereby; (iii) all Securities will be offered, issued and sold in compliance with applicable federal and state securities laws and in the manner stated in the Registration Statement and the applicable prospectus supplement; and (iv) a definitive purchase, underwriting or similar agreement with respect to any Securities offered will have been duly authorized and validly executed and delivered by the Company, the Guarantor and the other parties thereto.</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with respect to Debt Securities to be issued under the Indenture and the Guarantees to be included in the Debt Securities, when (i) the Indenture and any supplemental indenture thereto have been duly authorized and validly executed and delivered by the Company, the Guarantor and the trustee thereunder, (ii) the Indenture has been duly qualified under the Trust Indenture Act of 1939, as amended, (iii) the Board of Directors of the Company or, to the extent permitted by applicable law and the Articles of Incorporation of the Company, a duly authorized committee thereof (the “Board”), has taken all necessary corporate action to approve and establish the terms of such Debt Securities, to approve the issuance thereof and the terms of the offering thereof and related matters and such Debt Securities do not include any provision that is unenforceable, (iv) the Board of Directors of the Guarantor or, to the extent permitted by applicable law and the Guarantor Charter Documents, a duly authorized committee thereof, has taken all necessary corporate action to approve and establish the terms of the Guarantee included in such Debt Securities, to approve the issuance thereof and the terms of the offering thereof and related matters, and (v) such Debt Securities have been duly executed, authenticated, issued and delivered in accordance with both the provisions of the Indenture and the provisions of the applicable definitive purchase, underwriting or similar agreement approved by the Board upon payment of the consideration therefor provided for therein; such Debt Securities, and the Guarantees included in such Debt Securities, will constitute legal, valid and binding obligations of the Company and the Guarantor, respectively, enforceable against the Company and the Guarantor, respectively, except as the enforceability thereof is subject to the effect of (i) any applicable bankruptcy, insolvency, reorganization, moratorium, fraudulent conveyance or other laws relating to or affecting creditors’ rights generally, (ii) general principles of equity (regardless of whether such enforceability is considered in a proceeding in equity or at law) and (iii) any implied covenants of good faith and fair dealing.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opinions set forth above are limited to the applicable laws of the State of New York and the applicable federal laws of the United States.</w:t>
      </w:r>
    </w:p>
    <w:p>
      <w:pPr>
        <w:spacing w:after="0" w:line="19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hereby consent to the filing of this opinion as Exhibit 5.1 to the Registration Statement and any related 462(b) Registration Statement and to the reference to us under “Validity of the Securities” in the prospectus forming a part of the Registration Statement. In giving this consent, we do not admit that we are in the category of persons whose consent is required under Section 7 of the Act or the rules and regulations of the Commission thereunder.</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Baker Botts L.L.P.</w:t>
      </w:r>
    </w:p>
    <w:p>
      <w:pPr>
        <w:sectPr>
          <w:pgSz w:w="11900" w:h="16838" w:orient="portrait"/>
          <w:cols w:equalWidth="0" w:num="1">
            <w:col w:w="11400"/>
          </w:cols>
          <w:pgMar w:left="240" w:top="428"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5.2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26 August,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(“SISA”), of a Registration Statement on Form S-3 (the “Registration Statement”), with the Securities and Exchange Commission (the “Commission”) under the Securities Act of 1933, as amended (the “Act”), relating to the registration under the Act of (i) senior unsecured debt securities of SISA (“Debt Securities”) and (ii) guarantees of the Debt Securities by the Company (the “Guarantees,” and, together with the Debt Securities, the “Securities”), that may be issued and sold from time to time pursuant to Rule 415 under the Act, certain legal matters in connection with the Securities are being passed upon for you by us. At your request, this opinion is being furnished to you for filing as Exhibit 5 to the Registration Statement.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our examination as aforesaid, we are of the opinion that:</w:t>
      </w:r>
    </w:p>
    <w:p>
      <w:pPr>
        <w:spacing w:after="0" w:line="171" w:lineRule="exact"/>
        <w:rPr>
          <w:sz w:val="20"/>
          <w:szCs w:val="20"/>
          <w:color w:val="auto"/>
        </w:rPr>
      </w:pPr>
    </w:p>
    <w:p>
      <w:pPr>
        <w:ind w:left="460" w:right="180" w:firstLine="443"/>
        <w:spacing w:after="0" w:line="268" w:lineRule="auto"/>
        <w:tabs>
          <w:tab w:leader="none" w:pos="10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and is currently validly existing as a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under the laws of Curaçao.</w:t>
      </w:r>
    </w:p>
    <w:p>
      <w:pPr>
        <w:spacing w:after="0" w:line="131" w:lineRule="exact"/>
        <w:rPr>
          <w:rFonts w:ascii="Arial" w:cs="Arial" w:eastAsia="Arial" w:hAnsi="Arial"/>
          <w:sz w:val="18"/>
          <w:szCs w:val="18"/>
          <w:color w:val="auto"/>
        </w:rPr>
      </w:pPr>
    </w:p>
    <w:p>
      <w:pPr>
        <w:ind w:left="460" w:firstLine="443"/>
        <w:spacing w:after="0" w:line="259" w:lineRule="auto"/>
        <w:tabs>
          <w:tab w:leader="none" w:pos="10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pacing w:after="0" w:line="14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hereby consent to the filing of this opinion as Exhibit 5 to the Registration Statement. In giving this consent, we do not admit that we are in the category of persons whose consent is required under Section 7 of the Act or the rules and regulations of the Commission thereunder.</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understand that Baker Botts L.L.P. intends to rely upon this opinion for purposes of the opinion such firm expects to deliver in connection with the Registration Statement, and we hereby consent to such reliance as though this opinion were addressed to such firm.</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15"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STvB Advocaten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(Curaçao) N.V.</w:t>
      </w:r>
    </w:p>
    <w:p>
      <w:pPr>
        <w:sectPr>
          <w:pgSz w:w="11900" w:h="16838" w:orient="portrait"/>
          <w:cols w:equalWidth="0" w:num="1">
            <w:col w:w="11420"/>
          </w:cols>
          <w:pgMar w:left="240" w:top="125" w:right="239" w:bottom="1440" w:gutter="0" w:footer="0" w:header="0"/>
        </w:sectPr>
      </w:pPr>
    </w:p>
    <w:bookmarkStart w:id="106" w:name="page107"/>
    <w:bookmarkEnd w:id="106"/>
    <w:tbl>
      <w:tblPr>
        <w:tblLayout w:type="fixed"/>
        <w:tblInd w:w="790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2260" w:type="dxa"/>
            <w:vAlign w:val="bottom"/>
          </w:tcPr>
          <w:p>
            <w:pPr>
              <w:ind w:left="1440"/>
              <w:spacing w:after="0"/>
              <w:rPr>
                <w:sz w:val="20"/>
                <w:szCs w:val="20"/>
                <w:color w:val="auto"/>
              </w:rPr>
            </w:pPr>
            <w:r>
              <w:rPr>
                <w:rFonts w:ascii="Arial" w:cs="Arial" w:eastAsia="Arial" w:hAnsi="Arial"/>
                <w:sz w:val="18"/>
                <w:szCs w:val="18"/>
                <w:b w:val="1"/>
                <w:bCs w:val="1"/>
                <w:color w:val="auto"/>
                <w:w w:val="88"/>
              </w:rPr>
              <w:t>Exhibit 5.3</w:t>
            </w:r>
          </w:p>
        </w:tc>
      </w:tr>
      <w:tr>
        <w:trPr>
          <w:trHeight w:val="342"/>
        </w:trPr>
        <w:tc>
          <w:tcPr>
            <w:tcW w:w="1260" w:type="dxa"/>
            <w:vAlign w:val="bottom"/>
          </w:tcPr>
          <w:p>
            <w:pPr>
              <w:jc w:val="right"/>
              <w:ind w:right="92"/>
              <w:spacing w:after="0"/>
              <w:rPr>
                <w:sz w:val="20"/>
                <w:szCs w:val="20"/>
                <w:color w:val="auto"/>
              </w:rPr>
            </w:pPr>
            <w:r>
              <w:rPr>
                <w:rFonts w:ascii="Arial" w:cs="Arial" w:eastAsia="Arial" w:hAnsi="Arial"/>
                <w:sz w:val="14"/>
                <w:szCs w:val="14"/>
                <w:color w:val="auto"/>
                <w:w w:val="87"/>
              </w:rPr>
              <w:t>OFFICE ADDRESS</w:t>
            </w:r>
          </w:p>
        </w:tc>
        <w:tc>
          <w:tcPr>
            <w:tcW w:w="2260" w:type="dxa"/>
            <w:vAlign w:val="bottom"/>
          </w:tcPr>
          <w:p>
            <w:pPr>
              <w:ind w:left="140"/>
              <w:spacing w:after="0"/>
              <w:rPr>
                <w:sz w:val="20"/>
                <w:szCs w:val="20"/>
                <w:color w:val="auto"/>
              </w:rPr>
            </w:pPr>
            <w:r>
              <w:rPr>
                <w:rFonts w:ascii="Arial" w:cs="Arial" w:eastAsia="Arial" w:hAnsi="Arial"/>
                <w:sz w:val="14"/>
                <w:szCs w:val="14"/>
                <w:color w:val="auto"/>
              </w:rPr>
              <w:t>18-20, rue Edward Steichen</w:t>
            </w:r>
          </w:p>
        </w:tc>
      </w:tr>
      <w:tr>
        <w:trPr>
          <w:trHeight w:val="149"/>
        </w:trPr>
        <w:tc>
          <w:tcPr>
            <w:tcW w:w="1260" w:type="dxa"/>
            <w:vAlign w:val="bottom"/>
          </w:tcPr>
          <w:p>
            <w:pPr>
              <w:spacing w:after="0"/>
              <w:rPr>
                <w:sz w:val="12"/>
                <w:szCs w:val="12"/>
                <w:color w:val="auto"/>
              </w:rPr>
            </w:pPr>
          </w:p>
        </w:tc>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L-2540 LUXEMBOURG</w:t>
            </w:r>
          </w:p>
        </w:tc>
      </w:tr>
      <w:tr>
        <w:trPr>
          <w:trHeight w:val="149"/>
        </w:trPr>
        <w:tc>
          <w:tcPr>
            <w:tcW w:w="1260" w:type="dxa"/>
            <w:vAlign w:val="bottom"/>
          </w:tcPr>
          <w:p>
            <w:pPr>
              <w:spacing w:after="0"/>
              <w:rPr>
                <w:sz w:val="12"/>
                <w:szCs w:val="12"/>
                <w:color w:val="auto"/>
              </w:rPr>
            </w:pPr>
          </w:p>
        </w:tc>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Luxembourg - Kirchberg</w:t>
            </w:r>
          </w:p>
        </w:tc>
      </w:tr>
      <w:tr>
        <w:trPr>
          <w:trHeight w:val="149"/>
        </w:trPr>
        <w:tc>
          <w:tcPr>
            <w:tcW w:w="1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TELEPHONE</w:t>
            </w:r>
          </w:p>
        </w:tc>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+352 466 230</w:t>
            </w:r>
          </w:p>
        </w:tc>
      </w:tr>
      <w:tr>
        <w:trPr>
          <w:trHeight w:val="149"/>
        </w:trPr>
        <w:tc>
          <w:tcPr>
            <w:tcW w:w="1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FAX</w:t>
            </w:r>
          </w:p>
        </w:tc>
        <w:tc>
          <w:tcPr>
            <w:tcW w:w="2260" w:type="dxa"/>
            <w:vAlign w:val="bottom"/>
          </w:tcPr>
          <w:p>
            <w:pPr>
              <w:ind w:left="140"/>
              <w:spacing w:after="0" w:line="149" w:lineRule="exact"/>
              <w:rPr>
                <w:sz w:val="20"/>
                <w:szCs w:val="20"/>
                <w:color w:val="auto"/>
              </w:rPr>
            </w:pPr>
            <w:r>
              <w:rPr>
                <w:rFonts w:ascii="Arial" w:cs="Arial" w:eastAsia="Arial" w:hAnsi="Arial"/>
                <w:sz w:val="14"/>
                <w:szCs w:val="14"/>
                <w:color w:val="auto"/>
              </w:rPr>
              <w:t>+352 466 234</w:t>
            </w:r>
          </w:p>
        </w:tc>
      </w:tr>
      <w:tr>
        <w:trPr>
          <w:trHeight w:val="172"/>
        </w:trPr>
        <w:tc>
          <w:tcPr>
            <w:tcW w:w="1260" w:type="dxa"/>
            <w:vAlign w:val="bottom"/>
          </w:tcPr>
          <w:p>
            <w:pPr>
              <w:jc w:val="right"/>
              <w:ind w:right="92"/>
              <w:spacing w:after="0"/>
              <w:rPr>
                <w:sz w:val="20"/>
                <w:szCs w:val="20"/>
                <w:color w:val="auto"/>
              </w:rPr>
            </w:pPr>
            <w:r>
              <w:rPr>
                <w:rFonts w:ascii="Arial" w:cs="Arial" w:eastAsia="Arial" w:hAnsi="Arial"/>
                <w:sz w:val="14"/>
                <w:szCs w:val="14"/>
                <w:color w:val="auto"/>
              </w:rPr>
              <w:t>INTERNET</w:t>
            </w:r>
          </w:p>
        </w:tc>
        <w:tc>
          <w:tcPr>
            <w:tcW w:w="2260" w:type="dxa"/>
            <w:vAlign w:val="bottom"/>
          </w:tcPr>
          <w:p>
            <w:pPr>
              <w:ind w:left="140"/>
              <w:spacing w:after="0"/>
              <w:rPr>
                <w:sz w:val="20"/>
                <w:szCs w:val="20"/>
                <w:color w:val="auto"/>
              </w:rPr>
            </w:pPr>
            <w:r>
              <w:rPr>
                <w:rFonts w:ascii="Arial" w:cs="Arial" w:eastAsia="Arial" w:hAnsi="Arial"/>
                <w:sz w:val="14"/>
                <w:szCs w:val="14"/>
                <w:color w:val="auto"/>
              </w:rPr>
              <w:t>www.loyensloeff.lu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1689735" cy="531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Investment S.A.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5, avenue Gaston Diderich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L-1420 Luxembourg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26,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6"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71"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acted as special legal counsel in the Grand Duchy of Luxembourg (</w:t>
      </w:r>
      <w:r>
        <w:rPr>
          <w:rFonts w:ascii="Arial" w:cs="Arial" w:eastAsia="Arial" w:hAnsi="Arial"/>
          <w:sz w:val="18"/>
          <w:szCs w:val="18"/>
          <w:b w:val="1"/>
          <w:bCs w:val="1"/>
          <w:color w:val="auto"/>
        </w:rPr>
        <w:t>Luxembourg</w:t>
      </w:r>
      <w:r>
        <w:rPr>
          <w:rFonts w:ascii="Arial" w:cs="Arial" w:eastAsia="Arial" w:hAnsi="Arial"/>
          <w:sz w:val="18"/>
          <w:szCs w:val="18"/>
          <w:color w:val="auto"/>
        </w:rPr>
        <w:t>) to 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the Grand Duchy of Luxembourg with registered office at 5, avenue Gaston Diderich, L-1420 Luxembourg, registered with the Luxembourg Register of Commerce and Companies (</w:t>
      </w:r>
      <w:r>
        <w:rPr>
          <w:rFonts w:ascii="Arial" w:cs="Arial" w:eastAsia="Arial" w:hAnsi="Arial"/>
          <w:sz w:val="18"/>
          <w:szCs w:val="18"/>
          <w:b w:val="1"/>
          <w:bCs w:val="1"/>
          <w:color w:val="auto"/>
        </w:rPr>
        <w:t>RCS</w:t>
      </w:r>
      <w:r>
        <w:rPr>
          <w:rFonts w:ascii="Arial" w:cs="Arial" w:eastAsia="Arial" w:hAnsi="Arial"/>
          <w:sz w:val="18"/>
          <w:szCs w:val="18"/>
          <w:color w:val="auto"/>
        </w:rPr>
        <w:t xml:space="preserve">) under number B 163.122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filling by the Company and Schlumberger Limited, a company organized under the laws of Curaçao (</w:t>
      </w:r>
      <w:r>
        <w:rPr>
          <w:rFonts w:ascii="Arial" w:cs="Arial" w:eastAsia="Arial" w:hAnsi="Arial"/>
          <w:sz w:val="18"/>
          <w:szCs w:val="18"/>
          <w:b w:val="1"/>
          <w:bCs w:val="1"/>
          <w:color w:val="auto"/>
        </w:rPr>
        <w:t>Schlumberger</w:t>
      </w:r>
      <w:r>
        <w:rPr>
          <w:rFonts w:ascii="Arial" w:cs="Arial" w:eastAsia="Arial" w:hAnsi="Arial"/>
          <w:sz w:val="18"/>
          <w:szCs w:val="18"/>
          <w:color w:val="auto"/>
        </w:rPr>
        <w:t xml:space="preserve">) of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xml:space="preserve">) under the United States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8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For the purpose of this Opinion, we have examined a copy of the following documents:</w:t>
      </w:r>
    </w:p>
    <w:p>
      <w:pPr>
        <w:spacing w:after="0" w:line="211" w:lineRule="exact"/>
        <w:rPr>
          <w:rFonts w:ascii="Arial" w:cs="Arial" w:eastAsia="Arial" w:hAnsi="Arial"/>
          <w:sz w:val="18"/>
          <w:szCs w:val="18"/>
          <w:b w:val="1"/>
          <w:bCs w:val="1"/>
          <w:color w:val="auto"/>
        </w:rPr>
      </w:pPr>
    </w:p>
    <w:p>
      <w:pPr>
        <w:jc w:val="both"/>
        <w:ind w:left="900" w:right="18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an executed copy of the Registration Statement, to be filed with the Commission under the Act, relating to,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registration under the Act of senior unsecured debt securities of the Company (the </w:t>
      </w:r>
      <w:r>
        <w:rPr>
          <w:rFonts w:ascii="Arial" w:cs="Arial" w:eastAsia="Arial" w:hAnsi="Arial"/>
          <w:sz w:val="18"/>
          <w:szCs w:val="18"/>
          <w:b w:val="1"/>
          <w:bCs w:val="1"/>
          <w:color w:val="auto"/>
        </w:rPr>
        <w:t>Debt Securities</w:t>
      </w:r>
      <w:r>
        <w:rPr>
          <w:rFonts w:ascii="Arial" w:cs="Arial" w:eastAsia="Arial" w:hAnsi="Arial"/>
          <w:sz w:val="18"/>
          <w:szCs w:val="18"/>
          <w:color w:val="auto"/>
        </w:rPr>
        <w:t xml:space="preserve">) and guarantees of the Debt Securities by Schlumberger (the </w:t>
      </w:r>
      <w:r>
        <w:rPr>
          <w:rFonts w:ascii="Arial" w:cs="Arial" w:eastAsia="Arial" w:hAnsi="Arial"/>
          <w:sz w:val="18"/>
          <w:szCs w:val="18"/>
          <w:b w:val="1"/>
          <w:bCs w:val="1"/>
          <w:color w:val="auto"/>
        </w:rPr>
        <w:t>Guarantees</w:t>
      </w:r>
      <w:r>
        <w:rPr>
          <w:rFonts w:ascii="Arial" w:cs="Arial" w:eastAsia="Arial" w:hAnsi="Arial"/>
          <w:sz w:val="18"/>
          <w:szCs w:val="18"/>
          <w:color w:val="auto"/>
        </w:rPr>
        <w:t xml:space="preserve">, and, together with the Debt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 dated August 26, 2013;</w:t>
      </w:r>
    </w:p>
    <w:p>
      <w:pPr>
        <w:spacing w:after="0" w:line="180" w:lineRule="exact"/>
        <w:rPr>
          <w:rFonts w:ascii="Arial" w:cs="Arial" w:eastAsia="Arial" w:hAnsi="Arial"/>
          <w:sz w:val="18"/>
          <w:szCs w:val="18"/>
          <w:color w:val="auto"/>
        </w:rPr>
      </w:pPr>
    </w:p>
    <w:p>
      <w:pPr>
        <w:ind w:left="900" w:right="70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consolidated text of the articles of association of the Company as at September 2, 2011 drawn up by Maître Martine Schaeffer, notary in Luxembourg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00" w:hanging="446"/>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an excerpt pertaining to the Company delivered by the RCS, dated August 26, 2013 (the </w:t>
      </w:r>
      <w:r>
        <w:rPr>
          <w:rFonts w:ascii="Arial" w:cs="Arial" w:eastAsia="Arial" w:hAnsi="Arial"/>
          <w:sz w:val="18"/>
          <w:szCs w:val="18"/>
          <w:b w:val="1"/>
          <w:bCs w:val="1"/>
          <w:color w:val="auto"/>
        </w:rPr>
        <w:t>Excerpt</w:t>
      </w:r>
      <w:r>
        <w:rPr>
          <w:rFonts w:ascii="Arial" w:cs="Arial" w:eastAsia="Arial" w:hAnsi="Arial"/>
          <w:sz w:val="18"/>
          <w:szCs w:val="18"/>
          <w:color w:val="auto"/>
        </w:rPr>
        <w:t>); and</w:t>
      </w:r>
    </w:p>
    <w:p>
      <w:pPr>
        <w:spacing w:after="0" w:line="217" w:lineRule="exact"/>
        <w:rPr>
          <w:rFonts w:ascii="Arial" w:cs="Arial" w:eastAsia="Arial" w:hAnsi="Arial"/>
          <w:sz w:val="18"/>
          <w:szCs w:val="18"/>
          <w:color w:val="auto"/>
        </w:rPr>
      </w:pPr>
    </w:p>
    <w:p>
      <w:pPr>
        <w:ind w:left="900" w:right="20" w:hanging="446"/>
        <w:spacing w:after="0" w:line="33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 certificate of absence of judicial decisions (</w:t>
      </w:r>
      <w:r>
        <w:rPr>
          <w:rFonts w:ascii="Arial" w:cs="Arial" w:eastAsia="Arial" w:hAnsi="Arial"/>
          <w:sz w:val="16"/>
          <w:szCs w:val="16"/>
          <w:i w:val="1"/>
          <w:iCs w:val="1"/>
          <w:color w:val="auto"/>
        </w:rPr>
        <w:t>certificat de non-inscription d’une décision judiciaire</w:t>
      </w:r>
      <w:r>
        <w:rPr>
          <w:rFonts w:ascii="Arial" w:cs="Arial" w:eastAsia="Arial" w:hAnsi="Arial"/>
          <w:sz w:val="16"/>
          <w:szCs w:val="16"/>
          <w:color w:val="auto"/>
        </w:rPr>
        <w:t xml:space="preserve">) pertaining to the Company, delivered by the RCS on August 26, 2013, with respect to the situation of the Company as at August 25, 2013 (the </w:t>
      </w:r>
      <w:r>
        <w:rPr>
          <w:rFonts w:ascii="Arial" w:cs="Arial" w:eastAsia="Arial" w:hAnsi="Arial"/>
          <w:sz w:val="16"/>
          <w:szCs w:val="16"/>
          <w:b w:val="1"/>
          <w:bCs w:val="1"/>
          <w:color w:val="auto"/>
        </w:rPr>
        <w:t>RCS Certificate</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Law partnership.</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AMSTERDAM • ARNHEM • BRUSSELS • GENEVA • HONG KONG • LONDON • NEW YORK •</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tabs>
          <w:tab w:leader="none" w:pos="1040" w:val="left"/>
          <w:tab w:leader="none" w:pos="1380" w:val="left"/>
          <w:tab w:leader="none" w:pos="2620" w:val="left"/>
          <w:tab w:leader="none" w:pos="2920" w:val="left"/>
          <w:tab w:leader="none" w:pos="4040" w:val="left"/>
          <w:tab w:leader="none" w:pos="4380" w:val="left"/>
          <w:tab w:leader="none" w:pos="5680" w:val="left"/>
          <w:tab w:leader="none" w:pos="5860" w:val="left"/>
          <w:tab w:leader="none" w:pos="6440" w:val="left"/>
        </w:tabs>
        <w:rPr>
          <w:sz w:val="20"/>
          <w:szCs w:val="20"/>
          <w:color w:val="auto"/>
        </w:rPr>
      </w:pPr>
      <w:r>
        <w:rPr>
          <w:rFonts w:ascii="Arial" w:cs="Arial" w:eastAsia="Arial" w:hAnsi="Arial"/>
          <w:sz w:val="14"/>
          <w:szCs w:val="14"/>
          <w:color w:val="auto"/>
        </w:rPr>
        <w:t>EINDHOVEN</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LUXEMBOURG</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ROTTERDAM</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ARUBA CURACAO</w:t>
        <w:tab/>
        <w:t>•</w:t>
        <w:tab/>
        <w:t>DUBAI</w:t>
      </w:r>
      <w:r>
        <w:rPr>
          <w:sz w:val="20"/>
          <w:szCs w:val="20"/>
          <w:color w:val="auto"/>
        </w:rPr>
        <w:tab/>
      </w:r>
      <w:r>
        <w:rPr>
          <w:rFonts w:ascii="Arial" w:cs="Arial" w:eastAsia="Arial" w:hAnsi="Arial"/>
          <w:sz w:val="11"/>
          <w:szCs w:val="11"/>
          <w:color w:val="auto"/>
        </w:rPr>
        <w:t>•</w:t>
      </w:r>
    </w:p>
    <w:p>
      <w:pPr>
        <w:ind w:left="20"/>
        <w:spacing w:after="0"/>
        <w:tabs>
          <w:tab w:leader="none" w:pos="500" w:val="left"/>
          <w:tab w:leader="none" w:pos="700" w:val="left"/>
          <w:tab w:leader="none" w:pos="1580" w:val="left"/>
          <w:tab w:leader="none" w:pos="1760" w:val="left"/>
          <w:tab w:leader="none" w:pos="2360" w:val="left"/>
          <w:tab w:leader="none" w:pos="2560" w:val="left"/>
        </w:tabs>
        <w:rPr>
          <w:sz w:val="20"/>
          <w:szCs w:val="20"/>
          <w:color w:val="auto"/>
        </w:rPr>
      </w:pPr>
      <w:r>
        <w:rPr>
          <w:rFonts w:ascii="Arial" w:cs="Arial" w:eastAsia="Arial" w:hAnsi="Arial"/>
          <w:sz w:val="14"/>
          <w:szCs w:val="14"/>
          <w:color w:val="auto"/>
        </w:rPr>
        <w:t>PARIS</w:t>
        <w:tab/>
        <w:t>•</w:t>
        <w:tab/>
        <w:t>SINGAPORE</w:t>
        <w:tab/>
        <w:t>•</w:t>
        <w:tab/>
        <w:t>TOKYO</w:t>
        <w:tab/>
        <w:t>•</w:t>
      </w:r>
      <w:r>
        <w:rPr>
          <w:sz w:val="20"/>
          <w:szCs w:val="20"/>
          <w:color w:val="auto"/>
        </w:rPr>
        <w:tab/>
      </w:r>
      <w:r>
        <w:rPr>
          <w:rFonts w:ascii="Arial" w:cs="Arial" w:eastAsia="Arial" w:hAnsi="Arial"/>
          <w:sz w:val="12"/>
          <w:szCs w:val="12"/>
          <w:color w:val="auto"/>
        </w:rPr>
        <w:t>ZURICH</w:t>
      </w:r>
    </w:p>
    <w:p>
      <w:pPr>
        <w:sectPr>
          <w:pgSz w:w="11900" w:h="16838" w:orient="portrait"/>
          <w:cols w:equalWidth="0" w:num="2">
            <w:col w:w="3780" w:space="140"/>
            <w:col w:w="7500"/>
          </w:cols>
          <w:pgMar w:left="240" w:top="125" w:right="239" w:bottom="1440" w:gutter="0" w:footer="0" w:header="0"/>
          <w:type w:val="continuous"/>
        </w:sectPr>
      </w:pPr>
    </w:p>
    <w:bookmarkStart w:id="107" w:name="page108"/>
    <w:bookmarkEnd w:id="107"/>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Assumptions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have assumed the following:</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genuineness of all signatures, stamps and seals of the persons purported to have signed the relevant documents;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authenticity of all documents submitted to us as originals and the conformity to the originals of all documents submitted to us as copies;</w:t>
      </w:r>
    </w:p>
    <w:p>
      <w:pPr>
        <w:spacing w:after="0" w:line="212" w:lineRule="exact"/>
        <w:rPr>
          <w:sz w:val="20"/>
          <w:szCs w:val="20"/>
          <w:color w:val="auto"/>
        </w:rPr>
      </w:pPr>
    </w:p>
    <w:p>
      <w:pPr>
        <w:ind w:left="460" w:right="460" w:hanging="445"/>
        <w:spacing w:after="0" w:line="268" w:lineRule="auto"/>
        <w:tabs>
          <w:tab w:leader="none" w:pos="440" w:val="left"/>
        </w:tabs>
        <w:rPr>
          <w:sz w:val="20"/>
          <w:szCs w:val="20"/>
          <w:color w:val="auto"/>
        </w:rPr>
      </w:pPr>
      <w:r>
        <w:rPr>
          <w:rFonts w:ascii="Arial" w:cs="Arial" w:eastAsia="Arial" w:hAnsi="Arial"/>
          <w:sz w:val="18"/>
          <w:szCs w:val="18"/>
          <w:color w:val="auto"/>
        </w:rPr>
        <w:t>3.3</w:t>
        <w:tab/>
        <w:t>all factual matters and statements relied upon or assumed in this Opinion are and were true and complete on the date of execution of the Registration Statement (and any document in connection therewith) and on the date of this Opinion;</w:t>
      </w:r>
    </w:p>
    <w:p>
      <w:pPr>
        <w:spacing w:after="0" w:line="172"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3.4</w:t>
        <w:tab/>
        <w:t>the due compliance with all requirements (including, without limitation, the obtaining of the necessary consents, licences, approvals and authorisations, the making of the necessary filings, registrations and notifications and the payment of stamp duties and other taxes) under any laws (other than, but only to the extent expressly opined herein, Luxembourg laws) in connection with the issue of the Securities and execution and performance under the Registration Statement (and any document in connection therewith);</w:t>
      </w:r>
    </w:p>
    <w:p>
      <w:pPr>
        <w:spacing w:after="0" w:line="184"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3.5</w:t>
        <w:tab/>
        <w:t>with respect to the domiciliation of the Company in Luxembourg, proper compliance with, and adherence to, the Luxembourg law dated May 31, 1999 concerning the domiciliation of companies, as amended;</w:t>
      </w:r>
    </w:p>
    <w:p>
      <w:pPr>
        <w:spacing w:after="0" w:line="172"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Company has its central administration (</w:t>
      </w:r>
      <w:r>
        <w:rPr>
          <w:rFonts w:ascii="Arial" w:cs="Arial" w:eastAsia="Arial" w:hAnsi="Arial"/>
          <w:sz w:val="16"/>
          <w:szCs w:val="16"/>
          <w:i w:val="1"/>
          <w:iCs w:val="1"/>
          <w:color w:val="auto"/>
        </w:rPr>
        <w:t>administration centrale</w:t>
      </w:r>
      <w:r>
        <w:rPr>
          <w:rFonts w:ascii="Arial" w:cs="Arial" w:eastAsia="Arial" w:hAnsi="Arial"/>
          <w:sz w:val="16"/>
          <w:szCs w:val="16"/>
          <w:color w:val="auto"/>
        </w:rPr>
        <w:t xml:space="preserve">) and, for the purposes of the Council Regulation (EC) No. 1346/2000 of May 29, 2000 on insolvency proceedings (the </w:t>
      </w:r>
      <w:r>
        <w:rPr>
          <w:rFonts w:ascii="Arial" w:cs="Arial" w:eastAsia="Arial" w:hAnsi="Arial"/>
          <w:sz w:val="16"/>
          <w:szCs w:val="16"/>
          <w:b w:val="1"/>
          <w:bCs w:val="1"/>
          <w:color w:val="auto"/>
        </w:rPr>
        <w:t>EU Insolvency Regulation</w:t>
      </w:r>
      <w:r>
        <w:rPr>
          <w:rFonts w:ascii="Arial" w:cs="Arial" w:eastAsia="Arial" w:hAnsi="Arial"/>
          <w:sz w:val="16"/>
          <w:szCs w:val="16"/>
          <w:color w:val="auto"/>
        </w:rPr>
        <w:t>), the centre of its main interests (</w:t>
      </w:r>
      <w:r>
        <w:rPr>
          <w:rFonts w:ascii="Arial" w:cs="Arial" w:eastAsia="Arial" w:hAnsi="Arial"/>
          <w:sz w:val="16"/>
          <w:szCs w:val="16"/>
          <w:i w:val="1"/>
          <w:iCs w:val="1"/>
          <w:color w:val="auto"/>
        </w:rPr>
        <w:t>centre des intérêts principaux</w:t>
      </w:r>
      <w:r>
        <w:rPr>
          <w:rFonts w:ascii="Arial" w:cs="Arial" w:eastAsia="Arial" w:hAnsi="Arial"/>
          <w:sz w:val="16"/>
          <w:szCs w:val="16"/>
          <w:color w:val="auto"/>
        </w:rPr>
        <w:t>) at the place of its registered office (</w:t>
      </w:r>
      <w:r>
        <w:rPr>
          <w:rFonts w:ascii="Arial" w:cs="Arial" w:eastAsia="Arial" w:hAnsi="Arial"/>
          <w:sz w:val="16"/>
          <w:szCs w:val="16"/>
          <w:i w:val="1"/>
          <w:iCs w:val="1"/>
          <w:color w:val="auto"/>
        </w:rPr>
        <w:t>siège statutaire</w:t>
      </w:r>
      <w:r>
        <w:rPr>
          <w:rFonts w:ascii="Arial" w:cs="Arial" w:eastAsia="Arial" w:hAnsi="Arial"/>
          <w:sz w:val="16"/>
          <w:szCs w:val="16"/>
          <w:color w:val="auto"/>
        </w:rPr>
        <w:t>) in Luxembourg and has no establishment (as defined in the EU Insolvency Regulation) outside Luxembourg;</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the Articles are in full force and effect and have not been amended, rescinded, revoked or declared null and void;</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color w:val="auto"/>
        </w:rPr>
        <w:t>the information contained in the Excerpt and the RCS Certificate is true and accurate at the date of this Opinion;</w:t>
      </w:r>
    </w:p>
    <w:p>
      <w:pPr>
        <w:spacing w:after="0" w:line="212"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3.9</w:t>
        <w:tab/>
        <w:t>the issue of the Debt Securities and the execution, performance under and filing of the Registration Statement with the Commission (and all documents in connection therewith) by the Company are in the corporate interest of the Company;</w:t>
      </w:r>
    </w:p>
    <w:p>
      <w:pPr>
        <w:spacing w:after="0" w:line="172" w:lineRule="exact"/>
        <w:rPr>
          <w:sz w:val="20"/>
          <w:szCs w:val="20"/>
          <w:color w:val="auto"/>
        </w:rPr>
      </w:pPr>
    </w:p>
    <w:p>
      <w:pPr>
        <w:ind w:left="460" w:right="160" w:hanging="445"/>
        <w:spacing w:after="0" w:line="259" w:lineRule="auto"/>
        <w:tabs>
          <w:tab w:leader="none" w:pos="440" w:val="left"/>
        </w:tabs>
        <w:rPr>
          <w:sz w:val="20"/>
          <w:szCs w:val="20"/>
          <w:color w:val="auto"/>
        </w:rPr>
      </w:pPr>
      <w:r>
        <w:rPr>
          <w:rFonts w:ascii="Arial" w:cs="Arial" w:eastAsia="Arial" w:hAnsi="Arial"/>
          <w:sz w:val="18"/>
          <w:szCs w:val="18"/>
          <w:color w:val="auto"/>
        </w:rPr>
        <w:t>3.10</w:t>
        <w:tab/>
        <w:t>all obligations of the Company in connection with the Securities and under the Registration Statement (and the documents in connection therewith) are legal, valid, binding upon it and enforceable as a matter of all relevant laws (other than, but only to the extent expressly opined herein, Luxembourg law) and, in particular, their expressed governing law;</w:t>
      </w:r>
    </w:p>
    <w:p>
      <w:pPr>
        <w:spacing w:after="0" w:line="181" w:lineRule="exact"/>
        <w:rPr>
          <w:sz w:val="20"/>
          <w:szCs w:val="20"/>
          <w:color w:val="auto"/>
        </w:rPr>
      </w:pPr>
    </w:p>
    <w:p>
      <w:pPr>
        <w:jc w:val="both"/>
        <w:ind w:left="460" w:right="280" w:hanging="445"/>
        <w:spacing w:after="0" w:line="306" w:lineRule="auto"/>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Company will issue the Debt Securities and execute and perform its obligations under the Registration Statement (and all documents in connection therewith) in good faith, for the purpose of carrying out its business and without any intention to defraud or deprive of any legal benefit any other party (including third party creditors) or to circumvent any mandatory law or regulation of any jurisdiction;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314" w:right="29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89735" cy="531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47" w:lineRule="exact"/>
        <w:rPr>
          <w:sz w:val="20"/>
          <w:szCs w:val="20"/>
          <w:color w:val="auto"/>
        </w:rPr>
      </w:pPr>
    </w:p>
    <w:p>
      <w:pPr>
        <w:ind w:left="460" w:right="120" w:hanging="445"/>
        <w:spacing w:after="0" w:line="298" w:lineRule="auto"/>
        <w:tabs>
          <w:tab w:leader="none" w:pos="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the Securities will not be offered to the public in Luxembourg, unless a prospectus has been duly approved by the </w:t>
      </w:r>
      <w:r>
        <w:rPr>
          <w:rFonts w:ascii="Arial" w:cs="Arial" w:eastAsia="Arial" w:hAnsi="Arial"/>
          <w:sz w:val="16"/>
          <w:szCs w:val="16"/>
          <w:i w:val="1"/>
          <w:iCs w:val="1"/>
          <w:color w:val="auto"/>
        </w:rPr>
        <w:t>Commission de Surveillance du Secteur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Financier </w:t>
      </w:r>
      <w:r>
        <w:rPr>
          <w:rFonts w:ascii="Arial" w:cs="Arial" w:eastAsia="Arial" w:hAnsi="Arial"/>
          <w:sz w:val="16"/>
          <w:szCs w:val="16"/>
          <w:color w:val="auto"/>
        </w:rPr>
        <w:t>in accordance with the Law of July 10, 2005 on prospectuses for securities, as amended by the law of July 3, 2012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Prospectus Law</w:t>
      </w:r>
      <w:r>
        <w:rPr>
          <w:rFonts w:ascii="Arial" w:cs="Arial" w:eastAsia="Arial" w:hAnsi="Arial"/>
          <w:sz w:val="16"/>
          <w:szCs w:val="16"/>
          <w:color w:val="auto"/>
        </w:rPr>
        <w: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 benefits from an exemption to or constitutes a transaction otherwise not subject to the requirement to publish a prospectus for the purpose of the Prospectus Law and the Securities will not be listed on the Luxembourg Stock Exchange;</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 proceeds of the Debt Securities will be applied by the Company in accordance with the Articles and Luxembourg law; and</w:t>
      </w:r>
    </w:p>
    <w:p>
      <w:pPr>
        <w:spacing w:after="0" w:line="212" w:lineRule="exact"/>
        <w:rPr>
          <w:sz w:val="20"/>
          <w:szCs w:val="20"/>
          <w:color w:val="auto"/>
        </w:rPr>
      </w:pPr>
    </w:p>
    <w:p>
      <w:pPr>
        <w:ind w:left="460" w:right="40" w:hanging="445"/>
        <w:spacing w:after="0" w:line="332" w:lineRule="auto"/>
        <w:tabs>
          <w:tab w:leader="none" w:pos="4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 Debt Securities will be duly and validly executed on behalf of the Company , delivered and paid for in accordance with the terms of the Debt Securities and the applicable purchase agreement, subscription agreement or underwriting agreement in respect of such issuance.</w:t>
      </w:r>
    </w:p>
    <w:p>
      <w:pPr>
        <w:spacing w:after="0" w:line="12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Based upon the assumptions made above and subject to the qualifications set out below and any matter not disclosed to us, we are of the following opinion:</w:t>
      </w:r>
    </w:p>
    <w:p>
      <w:pPr>
        <w:spacing w:after="0" w:line="2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4"/>
          <w:szCs w:val="14"/>
          <w:color w:val="auto"/>
        </w:rPr>
        <w:t>Status</w:t>
      </w:r>
    </w:p>
    <w:p>
      <w:pPr>
        <w:spacing w:after="0" w:line="17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Company is a public company limited by shares (</w:t>
      </w:r>
      <w:r>
        <w:rPr>
          <w:rFonts w:ascii="Arial" w:cs="Arial" w:eastAsia="Arial" w:hAnsi="Arial"/>
          <w:sz w:val="18"/>
          <w:szCs w:val="18"/>
          <w:i w:val="1"/>
          <w:iCs w:val="1"/>
          <w:color w:val="auto"/>
        </w:rPr>
        <w:t>société anonyme</w:t>
      </w:r>
      <w:r>
        <w:rPr>
          <w:rFonts w:ascii="Arial" w:cs="Arial" w:eastAsia="Arial" w:hAnsi="Arial"/>
          <w:sz w:val="18"/>
          <w:szCs w:val="18"/>
          <w:color w:val="auto"/>
        </w:rPr>
        <w:t>), duly incorporated and validly existing under Luxembourg law for an unlimited duration.</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Corporate authority</w:t>
      </w:r>
    </w:p>
    <w:p>
      <w:pPr>
        <w:spacing w:after="0" w:line="171"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Debt Securities, if and when the issue and the amount of any such Debt Securities have been duly authorized by the board of directors of the Company, will, if and when issued by the Company, be duly authorized according to Luxembourg laws applicable to commercial companies generally.</w:t>
      </w:r>
    </w:p>
    <w:p>
      <w:pPr>
        <w:spacing w:after="0" w:line="12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Opinion is subject to the following qualifications:</w:t>
      </w:r>
    </w:p>
    <w:p>
      <w:pPr>
        <w:spacing w:after="0" w:line="212" w:lineRule="exact"/>
        <w:rPr>
          <w:sz w:val="20"/>
          <w:szCs w:val="20"/>
          <w:color w:val="auto"/>
        </w:rPr>
      </w:pPr>
    </w:p>
    <w:p>
      <w:pPr>
        <w:ind w:left="460" w:right="160" w:hanging="445"/>
        <w:spacing w:after="0" w:line="298"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Our Opinion is subject to all limitations resulting from the application of Luxembourg public policy rules, overriding statutes and mandatory laws as well as to all limitations by reasons of bankruptcy (</w:t>
      </w:r>
      <w:r>
        <w:rPr>
          <w:rFonts w:ascii="Arial" w:cs="Arial" w:eastAsia="Arial" w:hAnsi="Arial"/>
          <w:sz w:val="16"/>
          <w:szCs w:val="16"/>
          <w:i w:val="1"/>
          <w:iCs w:val="1"/>
          <w:color w:val="auto"/>
        </w:rPr>
        <w:t>faillite</w:t>
      </w:r>
      <w:r>
        <w:rPr>
          <w:rFonts w:ascii="Arial" w:cs="Arial" w:eastAsia="Arial" w:hAnsi="Arial"/>
          <w:sz w:val="16"/>
          <w:szCs w:val="16"/>
          <w:color w:val="auto"/>
        </w:rPr>
        <w:t>), composition with creditors (</w:t>
      </w:r>
      <w:r>
        <w:rPr>
          <w:rFonts w:ascii="Arial" w:cs="Arial" w:eastAsia="Arial" w:hAnsi="Arial"/>
          <w:sz w:val="16"/>
          <w:szCs w:val="16"/>
          <w:i w:val="1"/>
          <w:iCs w:val="1"/>
          <w:color w:val="auto"/>
        </w:rPr>
        <w:t>concordat</w:t>
      </w:r>
      <w:r>
        <w:rPr>
          <w:rFonts w:ascii="Arial" w:cs="Arial" w:eastAsia="Arial" w:hAnsi="Arial"/>
          <w:sz w:val="16"/>
          <w:szCs w:val="16"/>
          <w:color w:val="auto"/>
        </w:rPr>
        <w:t>), suspension of payments (</w:t>
      </w:r>
      <w:r>
        <w:rPr>
          <w:rFonts w:ascii="Arial" w:cs="Arial" w:eastAsia="Arial" w:hAnsi="Arial"/>
          <w:sz w:val="16"/>
          <w:szCs w:val="16"/>
          <w:i w:val="1"/>
          <w:iCs w:val="1"/>
          <w:color w:val="auto"/>
        </w:rPr>
        <w:t>sursis de paiement</w:t>
      </w:r>
      <w:r>
        <w:rPr>
          <w:rFonts w:ascii="Arial" w:cs="Arial" w:eastAsia="Arial" w:hAnsi="Arial"/>
          <w:sz w:val="16"/>
          <w:szCs w:val="16"/>
          <w:color w:val="auto"/>
        </w:rPr>
        <w:t>),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or the appointment of a temporary administrator (</w:t>
      </w:r>
      <w:r>
        <w:rPr>
          <w:rFonts w:ascii="Arial" w:cs="Arial" w:eastAsia="Arial" w:hAnsi="Arial"/>
          <w:sz w:val="16"/>
          <w:szCs w:val="16"/>
          <w:i w:val="1"/>
          <w:iCs w:val="1"/>
          <w:color w:val="auto"/>
        </w:rPr>
        <w:t>administrateur provisoire</w:t>
      </w:r>
      <w:r>
        <w:rPr>
          <w:rFonts w:ascii="Arial" w:cs="Arial" w:eastAsia="Arial" w:hAnsi="Arial"/>
          <w:sz w:val="16"/>
          <w:szCs w:val="16"/>
          <w:color w:val="auto"/>
        </w:rPr>
        <w:t>) and any similar Luxembourg or foreign proceedings affecting the rights of creditors generally (</w:t>
      </w:r>
      <w:r>
        <w:rPr>
          <w:rFonts w:ascii="Arial" w:cs="Arial" w:eastAsia="Arial" w:hAnsi="Arial"/>
          <w:sz w:val="16"/>
          <w:szCs w:val="16"/>
          <w:b w:val="1"/>
          <w:bCs w:val="1"/>
          <w:color w:val="auto"/>
        </w:rPr>
        <w:t>Insolvency Proceedings</w:t>
      </w:r>
      <w:r>
        <w:rPr>
          <w:rFonts w:ascii="Arial" w:cs="Arial" w:eastAsia="Arial" w:hAnsi="Arial"/>
          <w:sz w:val="16"/>
          <w:szCs w:val="16"/>
          <w:color w:val="auto"/>
        </w:rPr>
        <w:t>).</w:t>
      </w:r>
    </w:p>
    <w:p>
      <w:pPr>
        <w:spacing w:after="0" w:line="153" w:lineRule="exact"/>
        <w:rPr>
          <w:sz w:val="20"/>
          <w:szCs w:val="20"/>
          <w:color w:val="auto"/>
        </w:rPr>
      </w:pPr>
    </w:p>
    <w:p>
      <w:pPr>
        <w:ind w:left="460" w:right="860" w:hanging="445"/>
        <w:spacing w:after="0" w:line="268" w:lineRule="auto"/>
        <w:tabs>
          <w:tab w:leader="none" w:pos="440" w:val="left"/>
        </w:tabs>
        <w:rPr>
          <w:sz w:val="20"/>
          <w:szCs w:val="20"/>
          <w:color w:val="auto"/>
        </w:rPr>
      </w:pPr>
      <w:r>
        <w:rPr>
          <w:rFonts w:ascii="Arial" w:cs="Arial" w:eastAsia="Arial" w:hAnsi="Arial"/>
          <w:sz w:val="18"/>
          <w:szCs w:val="18"/>
          <w:color w:val="auto"/>
        </w:rPr>
        <w:t>5.2</w:t>
        <w:tab/>
        <w:t>Powers of attorney, mandates (</w:t>
      </w:r>
      <w:r>
        <w:rPr>
          <w:rFonts w:ascii="Arial" w:cs="Arial" w:eastAsia="Arial" w:hAnsi="Arial"/>
          <w:sz w:val="18"/>
          <w:szCs w:val="18"/>
          <w:i w:val="1"/>
          <w:iCs w:val="1"/>
          <w:color w:val="auto"/>
        </w:rPr>
        <w:t>mandats</w:t>
      </w:r>
      <w:r>
        <w:rPr>
          <w:rFonts w:ascii="Arial" w:cs="Arial" w:eastAsia="Arial" w:hAnsi="Arial"/>
          <w:sz w:val="18"/>
          <w:szCs w:val="18"/>
          <w:color w:val="auto"/>
        </w:rPr>
        <w:t>) or appointments of agents may terminate by law and without notice upon the occurrence of Insolvency Proceedings and may be revoked despite their being expressed to be irrevocable.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40" w:right="25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89735" cy="531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47" w:lineRule="exact"/>
        <w:rPr>
          <w:sz w:val="20"/>
          <w:szCs w:val="20"/>
          <w:color w:val="auto"/>
        </w:rPr>
      </w:pPr>
    </w:p>
    <w:p>
      <w:pPr>
        <w:ind w:left="460" w:right="100" w:hanging="445"/>
        <w:spacing w:after="0" w:line="255" w:lineRule="auto"/>
        <w:tabs>
          <w:tab w:leader="none" w:pos="440" w:val="left"/>
        </w:tabs>
        <w:rPr>
          <w:sz w:val="20"/>
          <w:szCs w:val="20"/>
          <w:color w:val="auto"/>
        </w:rPr>
      </w:pPr>
      <w:r>
        <w:rPr>
          <w:rFonts w:ascii="Arial" w:cs="Arial" w:eastAsia="Arial" w:hAnsi="Arial"/>
          <w:sz w:val="18"/>
          <w:szCs w:val="18"/>
          <w:color w:val="auto"/>
        </w:rPr>
        <w:t>5.3</w:t>
        <w:tab/>
        <w:t>Our opinion that the Company exists validly is based on the Articles, the Excerpt and the RCS Certificate (which confirms in particular that no judicial decisions in respect of bankruptcy (</w:t>
      </w:r>
      <w:r>
        <w:rPr>
          <w:rFonts w:ascii="Arial" w:cs="Arial" w:eastAsia="Arial" w:hAnsi="Arial"/>
          <w:sz w:val="18"/>
          <w:szCs w:val="18"/>
          <w:i w:val="1"/>
          <w:iCs w:val="1"/>
          <w:color w:val="auto"/>
        </w:rPr>
        <w:t>faillite</w:t>
      </w:r>
      <w:r>
        <w:rPr>
          <w:rFonts w:ascii="Arial" w:cs="Arial" w:eastAsia="Arial" w:hAnsi="Arial"/>
          <w:sz w:val="18"/>
          <w:szCs w:val="18"/>
          <w:color w:val="auto"/>
        </w:rPr>
        <w:t>), composition with creditors (</w:t>
      </w:r>
      <w:r>
        <w:rPr>
          <w:rFonts w:ascii="Arial" w:cs="Arial" w:eastAsia="Arial" w:hAnsi="Arial"/>
          <w:sz w:val="18"/>
          <w:szCs w:val="18"/>
          <w:i w:val="1"/>
          <w:iCs w:val="1"/>
          <w:color w:val="auto"/>
        </w:rPr>
        <w:t>concordat</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sursis de paiement</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or the appointment of a temporary administrator (</w:t>
      </w:r>
      <w:r>
        <w:rPr>
          <w:rFonts w:ascii="Arial" w:cs="Arial" w:eastAsia="Arial" w:hAnsi="Arial"/>
          <w:sz w:val="18"/>
          <w:szCs w:val="18"/>
          <w:i w:val="1"/>
          <w:iCs w:val="1"/>
          <w:color w:val="auto"/>
        </w:rPr>
        <w:t>administrateur provisoire</w:t>
      </w:r>
      <w:r>
        <w:rPr>
          <w:rFonts w:ascii="Arial" w:cs="Arial" w:eastAsia="Arial" w:hAnsi="Arial"/>
          <w:sz w:val="18"/>
          <w:szCs w:val="18"/>
          <w:color w:val="auto"/>
        </w:rPr>
        <w:t>) pertaining to the Company have been registered with the RCS). The Articles, the Excerpt and the RCS Certificate are, however, not capable of revealing conclusively whether or not the Company is subject to any Insolvency Proceedings.</w:t>
      </w:r>
    </w:p>
    <w:p>
      <w:pPr>
        <w:spacing w:after="0" w:line="183" w:lineRule="exact"/>
        <w:rPr>
          <w:sz w:val="20"/>
          <w:szCs w:val="20"/>
          <w:color w:val="auto"/>
        </w:rPr>
      </w:pPr>
    </w:p>
    <w:p>
      <w:pPr>
        <w:jc w:val="both"/>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5.4</w:t>
        <w:tab/>
        <w:t>Corporate documents of, and courts orders affecting, the Company may not be available at the RCS and the clerk’s office of the Luxembourg district court forthwith upon their execution and filing and there may be a delay in the filing and publication of the documents or notices related thereto. We express no opinion as to the consequences of any failure by the Company to comply with its filing and publication obligations pursuant to the law of August 10, 1915 on commercial companies, as amended.</w:t>
      </w:r>
    </w:p>
    <w:p>
      <w:pPr>
        <w:spacing w:after="0" w:line="184" w:lineRule="exact"/>
        <w:rPr>
          <w:sz w:val="20"/>
          <w:szCs w:val="20"/>
          <w:color w:val="auto"/>
        </w:rPr>
      </w:pPr>
    </w:p>
    <w:p>
      <w:pPr>
        <w:ind w:left="460" w:right="460" w:hanging="445"/>
        <w:spacing w:after="0" w:line="268" w:lineRule="auto"/>
        <w:tabs>
          <w:tab w:leader="none" w:pos="440" w:val="left"/>
        </w:tabs>
        <w:rPr>
          <w:sz w:val="20"/>
          <w:szCs w:val="20"/>
          <w:color w:val="auto"/>
        </w:rPr>
      </w:pPr>
      <w:r>
        <w:rPr>
          <w:rFonts w:ascii="Arial" w:cs="Arial" w:eastAsia="Arial" w:hAnsi="Arial"/>
          <w:sz w:val="18"/>
          <w:szCs w:val="18"/>
          <w:color w:val="auto"/>
        </w:rPr>
        <w:t>5.5</w:t>
        <w:tab/>
        <w:t>We do not express an opinion on the validity or/and enforceability of the Registration Statement, the documents in connection therewith and the Debt Securities.</w:t>
      </w:r>
    </w:p>
    <w:p>
      <w:pPr>
        <w:spacing w:after="0" w:line="172" w:lineRule="exact"/>
        <w:rPr>
          <w:sz w:val="20"/>
          <w:szCs w:val="20"/>
          <w:color w:val="auto"/>
        </w:rPr>
      </w:pPr>
    </w:p>
    <w:p>
      <w:pPr>
        <w:ind w:left="460" w:right="640" w:hanging="445"/>
        <w:spacing w:after="0" w:line="268" w:lineRule="auto"/>
        <w:tabs>
          <w:tab w:leader="none" w:pos="440" w:val="left"/>
        </w:tabs>
        <w:rPr>
          <w:sz w:val="20"/>
          <w:szCs w:val="20"/>
          <w:color w:val="auto"/>
        </w:rPr>
      </w:pPr>
      <w:r>
        <w:rPr>
          <w:rFonts w:ascii="Arial" w:cs="Arial" w:eastAsia="Arial" w:hAnsi="Arial"/>
          <w:sz w:val="18"/>
          <w:szCs w:val="18"/>
          <w:color w:val="auto"/>
        </w:rPr>
        <w:t>5.6</w:t>
        <w:tab/>
        <w:t>We do not express an opinion in relation to tax laws or regulations or the tax consequences of the transactions contemplated in connection with the Registration Statement.</w:t>
      </w:r>
    </w:p>
    <w:p>
      <w:pPr>
        <w:spacing w:after="0" w:line="172"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5.7</w:t>
        <w:tab/>
        <w:t>We have not reviewed any documents incorporated by reference or referred to in the Registration Statement and therefore our opinions do not extend to such documents (other than those expressly set out in Section 2 hereof).</w:t>
      </w:r>
    </w:p>
    <w:p>
      <w:pPr>
        <w:spacing w:after="0" w:line="16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18" w:lineRule="exact"/>
        <w:rPr>
          <w:sz w:val="20"/>
          <w:szCs w:val="20"/>
          <w:color w:val="auto"/>
        </w:rPr>
      </w:pPr>
    </w:p>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6.1</w:t>
        <w:tab/>
        <w:t>This Opinion is as of this date and is given on the basis of Luxembourg laws in effect and as published, construed and applied by Luxembourg courts, as of such date. We undertake no obligation to update it or to advise of any changes in such laws or their construction or application. We express no opinion, nor do we imply any opinion, as to any laws other than Luxembourg laws.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This Opinion is strictly limited to the matters expressly set forth therein. No other opinion is, or may be, implied or inferred therefrom.</w:t>
      </w:r>
    </w:p>
    <w:p>
      <w:pPr>
        <w:spacing w:after="0" w:line="212"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6.3</w:t>
        <w:tab/>
        <w:t>Luxembourg legal concepts are expressed in English terms, which may not correspond to the original French or German terms relating thereto. We accept no liability for omissions or inaccuracies attributable to the use of English terms.</w:t>
      </w:r>
    </w:p>
    <w:p>
      <w:pPr>
        <w:spacing w:after="0" w:line="172"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6.4</w:t>
        <w:tab/>
        <w:t>This Opinion is given on the express condition, accepted by each person entitled to rely on it, that this Opinion and all rights, obligations, issues of interpretation and liabilities in relation to it are governed by, and shall be construed in accordance with, Luxembourg law and any action or claim in relation to it can be brought exclusively before the Luxembourg courts.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40" w:right="25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89735" cy="531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47" w:lineRule="exact"/>
        <w:rPr>
          <w:sz w:val="20"/>
          <w:szCs w:val="20"/>
          <w:color w:val="auto"/>
        </w:rPr>
      </w:pPr>
    </w:p>
    <w:p>
      <w:pPr>
        <w:ind w:left="460" w:hanging="445"/>
        <w:spacing w:after="0" w:line="332" w:lineRule="auto"/>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We hereby consent to the filing of this opinion as Exhibit 5 to the Registration Statement. In giving this consent, we do not admit that we are in the category of persons whose consent is required under Section 7 of the Act or the rules and regulations of the Commission thereunder.</w:t>
      </w:r>
    </w:p>
    <w:p>
      <w:pPr>
        <w:spacing w:after="0" w:line="4"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6.6</w:t>
        <w:tab/>
        <w:t>This Opinion is issued by Loyens &amp; Loeff Luxembourg S.à r.l. and may only be relied upon under the express condition, accepted by each person entitled to rely on it, that any liability of Loyens &amp; Loeff Luxembourg S.à r.l. is limited to the amount paid out under its professional liability insurance policies. Individuals or legal entities that are involved in the services provided by, or on behalf of, Loyens &amp; Loeff Luxembourg S.à r.l. cannot be held liable in any manner whatsoever.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Loyens &amp; Loeff Luxembourg S.à 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Avocats à la Cour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4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Ratios of Earnings to Fixed Charges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9"/>
            <w:vMerge w:val="restart"/>
          </w:tcPr>
          <w:p>
            <w:pPr>
              <w:jc w:val="right"/>
              <w:ind w:right="52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20" w:type="dxa"/>
            <w:vAlign w:val="bottom"/>
            <w:gridSpan w:val="3"/>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gridSpan w:val="9"/>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Earnings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taxes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4,291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6,959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6,018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4,898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3,934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 (Deduct):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capitalized interest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Distributions from equity investments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Equity Income</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6,925</w:t>
            </w: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Interest component of rental expense (*)</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700" w:type="dxa"/>
            <w:vAlign w:val="bottom"/>
            <w:gridSpan w:val="4"/>
            <w:vMerge w:val="restart"/>
          </w:tcPr>
          <w:p>
            <w:pPr>
              <w:spacing w:after="0"/>
              <w:rPr>
                <w:sz w:val="20"/>
                <w:szCs w:val="20"/>
                <w:color w:val="auto"/>
              </w:rPr>
            </w:pPr>
            <w:r>
              <w:rPr>
                <w:rFonts w:ascii="Arial" w:cs="Arial" w:eastAsia="Arial" w:hAnsi="Arial"/>
                <w:sz w:val="18"/>
                <w:szCs w:val="18"/>
                <w:color w:val="auto"/>
              </w:rPr>
              <w:t>(*)   17.6% of operating lease rental expense.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January 31, 2013 relating to the financial statements and the effectiveness of internal control over financial reporting, which appears in Schlumberger Limited’s Annual Report on Form 10-K for the year ended December 31, 2012. 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26, 2013</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b w:val="1"/>
          <w:bCs w:val="1"/>
          <w:color w:val="auto"/>
        </w:rPr>
        <w:t>KNOW ALL MEN BY THESE PRESENTS</w:t>
      </w:r>
      <w:r>
        <w:rPr>
          <w:rFonts w:ascii="Arial" w:cs="Arial" w:eastAsia="Arial" w:hAnsi="Arial"/>
          <w:sz w:val="15"/>
          <w:szCs w:val="15"/>
          <w:color w:val="auto"/>
        </w:rPr>
        <w:t>, that each of the undersigned, being a director or officer of Schlumberger Limited, a Curacao corporation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“Guarantor”), hereby constitutes and appoints Alexander C. Juden, Howard Guild, or Saul R. Laureles, and each of them, his or her true and lawful attorney-in-fact and agent, with full and several power of substitution and resubstitution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Schlumberger Investment SA’s debt securities and the Guarantor’s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1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hereunto set his or her hand this 17th day of January,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600" w:type="dxa"/>
            <w:vAlign w:val="bottom"/>
          </w:tcPr>
          <w:p>
            <w:pPr>
              <w:spacing w:after="0"/>
              <w:rPr>
                <w:sz w:val="14"/>
                <w:szCs w:val="14"/>
                <w:color w:val="auto"/>
              </w:rPr>
            </w:pPr>
          </w:p>
        </w:tc>
        <w:tc>
          <w:tcPr>
            <w:tcW w:w="4780" w:type="dxa"/>
            <w:vAlign w:val="bottom"/>
            <w:gridSpan w:val="3"/>
          </w:tcPr>
          <w:p>
            <w:pPr>
              <w:jc w:val="center"/>
              <w:ind w:left="974"/>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Paal Kibsgaard</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0"/>
              </w:rPr>
              <w:t>Chief Executive Officer and Director</w:t>
            </w:r>
          </w:p>
        </w:tc>
      </w:tr>
      <w:tr>
        <w:trPr>
          <w:trHeight w:val="216"/>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(Paal Kibsgaard)</w:t>
            </w:r>
          </w:p>
        </w:tc>
        <w:tc>
          <w:tcPr>
            <w:tcW w:w="4780" w:type="dxa"/>
            <w:vAlign w:val="bottom"/>
            <w:gridSpan w:val="3"/>
          </w:tcPr>
          <w:p>
            <w:pPr>
              <w:jc w:val="center"/>
              <w:ind w:left="974"/>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16"/>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Simon Ayat</w:t>
            </w:r>
          </w:p>
        </w:tc>
        <w:tc>
          <w:tcPr>
            <w:tcW w:w="4780" w:type="dxa"/>
            <w:vAlign w:val="bottom"/>
            <w:gridSpan w:val="3"/>
          </w:tcPr>
          <w:p>
            <w:pPr>
              <w:jc w:val="center"/>
              <w:ind w:left="954"/>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1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2"/>
              </w:rPr>
              <w:t>(Simon Ayat)</w:t>
            </w:r>
          </w:p>
        </w:tc>
        <w:tc>
          <w:tcPr>
            <w:tcW w:w="4780" w:type="dxa"/>
            <w:vAlign w:val="bottom"/>
            <w:gridSpan w:val="3"/>
          </w:tcPr>
          <w:p>
            <w:pPr>
              <w:jc w:val="center"/>
              <w:ind w:left="974"/>
              <w:spacing w:after="0" w:line="202" w:lineRule="exact"/>
              <w:rPr>
                <w:sz w:val="20"/>
                <w:szCs w:val="20"/>
                <w:color w:val="auto"/>
              </w:rPr>
            </w:pPr>
            <w:r>
              <w:rPr>
                <w:rFonts w:ascii="Arial" w:cs="Arial" w:eastAsia="Arial" w:hAnsi="Arial"/>
                <w:sz w:val="18"/>
                <w:szCs w:val="18"/>
                <w:color w:val="auto"/>
                <w:w w:val="92"/>
              </w:rPr>
              <w:t>(Principal Financial Officer)</w:t>
            </w:r>
          </w:p>
        </w:tc>
      </w:tr>
      <w:tr>
        <w:trPr>
          <w:trHeight w:val="316"/>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Howard Guild</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2"/>
              </w:rPr>
              <w:t>Chief Accounting Officer</w:t>
            </w:r>
          </w:p>
        </w:tc>
      </w:tr>
      <w:tr>
        <w:trPr>
          <w:trHeight w:val="21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2"/>
              </w:rPr>
              <w:t>(Howard Guild)</w:t>
            </w:r>
          </w:p>
        </w:tc>
        <w:tc>
          <w:tcPr>
            <w:tcW w:w="4780" w:type="dxa"/>
            <w:vAlign w:val="bottom"/>
            <w:gridSpan w:val="3"/>
          </w:tcPr>
          <w:p>
            <w:pPr>
              <w:jc w:val="center"/>
              <w:ind w:left="974"/>
              <w:spacing w:after="0" w:line="202" w:lineRule="exact"/>
              <w:rPr>
                <w:sz w:val="20"/>
                <w:szCs w:val="20"/>
                <w:color w:val="auto"/>
              </w:rPr>
            </w:pPr>
            <w:r>
              <w:rPr>
                <w:rFonts w:ascii="Arial" w:cs="Arial" w:eastAsia="Arial" w:hAnsi="Arial"/>
                <w:sz w:val="18"/>
                <w:szCs w:val="18"/>
                <w:color w:val="auto"/>
                <w:w w:val="92"/>
              </w:rPr>
              <w:t>(Principal Accounting Officer)</w:t>
            </w: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Peter L.S. Currie</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0"/>
              </w:rPr>
              <w:t>(Peter L.S. Currie)</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/s/ Tony Isaac</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87"/>
              </w:rPr>
              <w:t>Chairman</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7"/>
              </w:rPr>
              <w:t>(Tony Isaac)</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K. Vaman Kamath</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(K. Vaman Kamath)</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Nikolay Kudryavtsev</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3"/>
              </w:rPr>
              <w:t>(Nikolay Kudryavtsev)</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Adrian Lajous</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(Adrian Lajous)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E. Marks</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(Michael E. Marks)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1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Elizabeth Anne Moler</w:t>
            </w:r>
          </w:p>
        </w:tc>
        <w:tc>
          <w:tcPr>
            <w:tcW w:w="4780" w:type="dxa"/>
            <w:vAlign w:val="bottom"/>
            <w:gridSpan w:val="3"/>
          </w:tcPr>
          <w:p>
            <w:pPr>
              <w:jc w:val="center"/>
              <w:ind w:left="974"/>
              <w:spacing w:after="0"/>
              <w:rPr>
                <w:sz w:val="20"/>
                <w:szCs w:val="20"/>
                <w:color w:val="auto"/>
              </w:rPr>
            </w:pPr>
            <w:r>
              <w:rPr>
                <w:rFonts w:ascii="Arial" w:cs="Arial" w:eastAsia="Arial" w:hAnsi="Arial"/>
                <w:sz w:val="18"/>
                <w:szCs w:val="18"/>
                <w:color w:val="auto"/>
                <w:w w:val="95"/>
              </w:rPr>
              <w:t>Director</w:t>
            </w:r>
          </w:p>
        </w:tc>
      </w:tr>
      <w:tr>
        <w:trPr>
          <w:trHeight w:val="21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(Elizabeth Anne Moler)</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Lubna S. Olayan</w:t>
            </w: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217"/>
        </w:trPr>
        <w:tc>
          <w:tcPr>
            <w:tcW w:w="5820" w:type="dxa"/>
            <w:vAlign w:val="bottom"/>
          </w:tcPr>
          <w:p>
            <w:pPr>
              <w:jc w:val="center"/>
              <w:spacing w:after="0"/>
              <w:rPr>
                <w:sz w:val="20"/>
                <w:szCs w:val="20"/>
                <w:color w:val="auto"/>
              </w:rPr>
            </w:pPr>
            <w:r>
              <w:rPr>
                <w:rFonts w:ascii="Arial" w:cs="Arial" w:eastAsia="Arial" w:hAnsi="Arial"/>
                <w:sz w:val="18"/>
                <w:szCs w:val="18"/>
                <w:color w:val="auto"/>
                <w:w w:val="88"/>
              </w:rPr>
              <w:t>(Lubna S. Olayan)</w:t>
            </w:r>
          </w:p>
        </w:tc>
        <w:tc>
          <w:tcPr>
            <w:tcW w:w="3220" w:type="dxa"/>
            <w:vAlign w:val="bottom"/>
          </w:tcPr>
          <w:p>
            <w:pPr>
              <w:spacing w:after="0"/>
              <w:rPr>
                <w:sz w:val="18"/>
                <w:szCs w:val="18"/>
                <w:color w:val="auto"/>
              </w:rPr>
            </w:pPr>
          </w:p>
        </w:tc>
      </w:tr>
      <w:tr>
        <w:trPr>
          <w:trHeight w:val="31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Leo Rafael Reif</w:t>
            </w: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217"/>
        </w:trPr>
        <w:tc>
          <w:tcPr>
            <w:tcW w:w="5820" w:type="dxa"/>
            <w:vAlign w:val="bottom"/>
          </w:tcPr>
          <w:p>
            <w:pPr>
              <w:jc w:val="center"/>
              <w:spacing w:after="0"/>
              <w:rPr>
                <w:sz w:val="20"/>
                <w:szCs w:val="20"/>
                <w:color w:val="auto"/>
              </w:rPr>
            </w:pPr>
            <w:r>
              <w:rPr>
                <w:rFonts w:ascii="Arial" w:cs="Arial" w:eastAsia="Arial" w:hAnsi="Arial"/>
                <w:sz w:val="18"/>
                <w:szCs w:val="18"/>
                <w:color w:val="auto"/>
                <w:w w:val="91"/>
              </w:rPr>
              <w:t>(Leo Rafael Reif)</w:t>
            </w:r>
          </w:p>
        </w:tc>
        <w:tc>
          <w:tcPr>
            <w:tcW w:w="3220" w:type="dxa"/>
            <w:vAlign w:val="bottom"/>
          </w:tcPr>
          <w:p>
            <w:pPr>
              <w:spacing w:after="0"/>
              <w:rPr>
                <w:sz w:val="18"/>
                <w:szCs w:val="18"/>
                <w:color w:val="auto"/>
              </w:rPr>
            </w:pPr>
          </w:p>
        </w:tc>
      </w:tr>
      <w:tr>
        <w:trPr>
          <w:trHeight w:val="31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Tore I. Sandvold</w:t>
            </w: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217"/>
        </w:trPr>
        <w:tc>
          <w:tcPr>
            <w:tcW w:w="5820" w:type="dxa"/>
            <w:vAlign w:val="bottom"/>
          </w:tcPr>
          <w:p>
            <w:pPr>
              <w:jc w:val="center"/>
              <w:spacing w:after="0"/>
              <w:rPr>
                <w:sz w:val="20"/>
                <w:szCs w:val="20"/>
                <w:color w:val="auto"/>
              </w:rPr>
            </w:pPr>
            <w:r>
              <w:rPr>
                <w:rFonts w:ascii="Arial" w:cs="Arial" w:eastAsia="Arial" w:hAnsi="Arial"/>
                <w:sz w:val="18"/>
                <w:szCs w:val="18"/>
                <w:color w:val="auto"/>
                <w:w w:val="88"/>
              </w:rPr>
              <w:t>(Tore I. Sandvold)</w:t>
            </w:r>
          </w:p>
        </w:tc>
        <w:tc>
          <w:tcPr>
            <w:tcW w:w="3220" w:type="dxa"/>
            <w:vAlign w:val="bottom"/>
          </w:tcPr>
          <w:p>
            <w:pPr>
              <w:spacing w:after="0"/>
              <w:rPr>
                <w:sz w:val="18"/>
                <w:szCs w:val="18"/>
                <w:color w:val="auto"/>
              </w:rPr>
            </w:pPr>
          </w:p>
        </w:tc>
      </w:tr>
      <w:tr>
        <w:trPr>
          <w:trHeight w:val="31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Henri Seydoux</w:t>
            </w:r>
          </w:p>
        </w:tc>
        <w:tc>
          <w:tcPr>
            <w:tcW w:w="3220" w:type="dxa"/>
            <w:vAlign w:val="bottom"/>
          </w:tcPr>
          <w:p>
            <w:pPr>
              <w:ind w:left="2620"/>
              <w:spacing w:after="0"/>
              <w:rPr>
                <w:sz w:val="20"/>
                <w:szCs w:val="20"/>
                <w:color w:val="auto"/>
              </w:rPr>
            </w:pPr>
            <w:r>
              <w:rPr>
                <w:rFonts w:ascii="Arial" w:cs="Arial" w:eastAsia="Arial" w:hAnsi="Arial"/>
                <w:sz w:val="18"/>
                <w:szCs w:val="18"/>
                <w:color w:val="auto"/>
                <w:w w:val="91"/>
              </w:rPr>
              <w:t>Director</w:t>
            </w:r>
          </w:p>
        </w:tc>
      </w:tr>
      <w:tr>
        <w:trPr>
          <w:trHeight w:val="217"/>
        </w:trPr>
        <w:tc>
          <w:tcPr>
            <w:tcW w:w="5820" w:type="dxa"/>
            <w:vAlign w:val="bottom"/>
          </w:tcPr>
          <w:p>
            <w:pPr>
              <w:jc w:val="center"/>
              <w:spacing w:after="0"/>
              <w:rPr>
                <w:sz w:val="20"/>
                <w:szCs w:val="20"/>
                <w:color w:val="auto"/>
              </w:rPr>
            </w:pPr>
            <w:r>
              <w:rPr>
                <w:rFonts w:ascii="Arial" w:cs="Arial" w:eastAsia="Arial" w:hAnsi="Arial"/>
                <w:sz w:val="18"/>
                <w:szCs w:val="18"/>
                <w:color w:val="auto"/>
                <w:w w:val="89"/>
              </w:rPr>
              <w:t>(Henri Seydoux)</w:t>
            </w:r>
          </w:p>
        </w:tc>
        <w:tc>
          <w:tcPr>
            <w:tcW w:w="3220" w:type="dxa"/>
            <w:vAlign w:val="bottom"/>
          </w:tcPr>
          <w:p>
            <w:pPr>
              <w:spacing w:after="0"/>
              <w:rPr>
                <w:sz w:val="18"/>
                <w:szCs w:val="18"/>
                <w:color w:val="auto"/>
              </w:rPr>
            </w:pPr>
          </w:p>
        </w:tc>
      </w:tr>
    </w:tbl>
    <w:p>
      <w:pPr>
        <w:sectPr>
          <w:pgSz w:w="11900" w:h="16838" w:orient="portrait"/>
          <w:cols w:equalWidth="0" w:num="1">
            <w:col w:w="10219"/>
          </w:cols>
          <w:pgMar w:left="240" w:top="388"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of the undersigned, being a director or officer of Schlumberger Investment SA, a Luxembourg société</w:t>
      </w:r>
      <w:r>
        <w:rPr>
          <w:rFonts w:ascii="Arial" w:cs="Arial" w:eastAsia="Arial" w:hAnsi="Arial"/>
          <w:sz w:val="16"/>
          <w:szCs w:val="16"/>
          <w:b w:val="1"/>
          <w:bCs w:val="1"/>
          <w:color w:val="auto"/>
        </w:rPr>
        <w:t xml:space="preserve"> </w:t>
      </w:r>
      <w:r>
        <w:rPr>
          <w:rFonts w:ascii="Arial" w:cs="Arial" w:eastAsia="Arial" w:hAnsi="Arial"/>
          <w:sz w:val="16"/>
          <w:szCs w:val="16"/>
          <w:color w:val="auto"/>
        </w:rPr>
        <w:t>anonyme (the “Company”), hereby constitutes and appoints Philippe Petre, Saul Laureles, Krishna Shivram, Joanna Todd, Alejandro Parma or Eileen Hardell, and each of them, his or her true and lawful attorney-in-fact and agent, with full and several power of substitution and resubstitution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the Company’s debt securities and Schlumberger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hereunto set his or her hand this 31st day of May,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600" w:type="dxa"/>
            <w:vAlign w:val="bottom"/>
          </w:tcPr>
          <w:p>
            <w:pPr>
              <w:spacing w:after="0"/>
              <w:rPr>
                <w:sz w:val="14"/>
                <w:szCs w:val="14"/>
                <w:color w:val="auto"/>
              </w:rPr>
            </w:pPr>
          </w:p>
        </w:tc>
        <w:tc>
          <w:tcPr>
            <w:tcW w:w="3500" w:type="dxa"/>
            <w:vAlign w:val="bottom"/>
            <w:gridSpan w:val="3"/>
          </w:tcPr>
          <w:p>
            <w:pPr>
              <w:jc w:val="center"/>
              <w:ind w:left="2257"/>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242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w w:val="73"/>
              </w:rPr>
              <w:t>/s/</w:t>
            </w:r>
          </w:p>
        </w:tc>
        <w:tc>
          <w:tcPr>
            <w:tcW w:w="3400" w:type="dxa"/>
            <w:vAlign w:val="bottom"/>
            <w:tcBorders>
              <w:bottom w:val="single" w:sz="8" w:color="auto"/>
            </w:tcBorders>
            <w:gridSpan w:val="3"/>
          </w:tcPr>
          <w:p>
            <w:pPr>
              <w:jc w:val="center"/>
              <w:ind w:right="2060"/>
              <w:spacing w:after="0"/>
              <w:rPr>
                <w:sz w:val="20"/>
                <w:szCs w:val="20"/>
                <w:color w:val="auto"/>
              </w:rPr>
            </w:pPr>
            <w:r>
              <w:rPr>
                <w:rFonts w:ascii="Arial" w:cs="Arial" w:eastAsia="Arial" w:hAnsi="Arial"/>
                <w:sz w:val="18"/>
                <w:szCs w:val="18"/>
                <w:color w:val="auto"/>
                <w:w w:val="87"/>
              </w:rPr>
              <w:t>Philippe Petre</w:t>
            </w:r>
          </w:p>
        </w:tc>
        <w:tc>
          <w:tcPr>
            <w:tcW w:w="3500" w:type="dxa"/>
            <w:vAlign w:val="bottom"/>
            <w:gridSpan w:val="3"/>
          </w:tcPr>
          <w:p>
            <w:pPr>
              <w:jc w:val="center"/>
              <w:ind w:left="2257"/>
              <w:spacing w:after="0"/>
              <w:rPr>
                <w:sz w:val="20"/>
                <w:szCs w:val="20"/>
                <w:color w:val="auto"/>
              </w:rPr>
            </w:pPr>
            <w:r>
              <w:rPr>
                <w:rFonts w:ascii="Arial" w:cs="Arial" w:eastAsia="Arial" w:hAnsi="Arial"/>
                <w:sz w:val="18"/>
                <w:szCs w:val="18"/>
                <w:color w:val="auto"/>
                <w:w w:val="89"/>
              </w:rPr>
              <w:t>Class B Director</w:t>
            </w:r>
          </w:p>
        </w:tc>
      </w:tr>
      <w:tr>
        <w:trPr>
          <w:trHeight w:val="217"/>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90"/>
              </w:rPr>
              <w:t>(Philippe Petre)</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5"/>
        </w:trPr>
        <w:tc>
          <w:tcPr>
            <w:tcW w:w="2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center"/>
              <w:ind w:right="2400"/>
              <w:spacing w:after="0"/>
              <w:rPr>
                <w:sz w:val="20"/>
                <w:szCs w:val="20"/>
                <w:color w:val="auto"/>
              </w:rPr>
            </w:pPr>
            <w:r>
              <w:rPr>
                <w:rFonts w:ascii="Arial" w:cs="Arial" w:eastAsia="Arial" w:hAnsi="Arial"/>
                <w:sz w:val="18"/>
                <w:szCs w:val="18"/>
                <w:color w:val="auto"/>
                <w:w w:val="96"/>
              </w:rPr>
              <w:t>/s/  Sinar Sar</w:t>
            </w:r>
          </w:p>
        </w:tc>
        <w:tc>
          <w:tcPr>
            <w:tcW w:w="3500" w:type="dxa"/>
            <w:vAlign w:val="bottom"/>
            <w:gridSpan w:val="3"/>
          </w:tcPr>
          <w:p>
            <w:pPr>
              <w:jc w:val="center"/>
              <w:ind w:left="2237"/>
              <w:spacing w:after="0"/>
              <w:rPr>
                <w:sz w:val="20"/>
                <w:szCs w:val="20"/>
                <w:color w:val="auto"/>
              </w:rPr>
            </w:pPr>
            <w:r>
              <w:rPr>
                <w:rFonts w:ascii="Arial" w:cs="Arial" w:eastAsia="Arial" w:hAnsi="Arial"/>
                <w:sz w:val="18"/>
                <w:szCs w:val="18"/>
                <w:color w:val="auto"/>
                <w:w w:val="90"/>
              </w:rPr>
              <w:t>Class A Director</w:t>
            </w:r>
          </w:p>
        </w:tc>
      </w:tr>
      <w:tr>
        <w:trPr>
          <w:trHeight w:val="217"/>
        </w:trPr>
        <w:tc>
          <w:tcPr>
            <w:tcW w:w="2420" w:type="dxa"/>
            <w:vAlign w:val="bottom"/>
          </w:tcPr>
          <w:p>
            <w:pPr>
              <w:spacing w:after="0"/>
              <w:rPr>
                <w:sz w:val="18"/>
                <w:szCs w:val="18"/>
                <w:color w:val="auto"/>
              </w:rPr>
            </w:pPr>
          </w:p>
        </w:tc>
        <w:tc>
          <w:tcPr>
            <w:tcW w:w="3400" w:type="dxa"/>
            <w:vAlign w:val="bottom"/>
            <w:gridSpan w:val="3"/>
          </w:tcPr>
          <w:p>
            <w:pPr>
              <w:jc w:val="center"/>
              <w:ind w:right="2400"/>
              <w:spacing w:after="0"/>
              <w:rPr>
                <w:sz w:val="20"/>
                <w:szCs w:val="20"/>
                <w:color w:val="auto"/>
              </w:rPr>
            </w:pPr>
            <w:r>
              <w:rPr>
                <w:rFonts w:ascii="Arial" w:cs="Arial" w:eastAsia="Arial" w:hAnsi="Arial"/>
                <w:sz w:val="18"/>
                <w:szCs w:val="18"/>
                <w:color w:val="auto"/>
                <w:w w:val="87"/>
              </w:rPr>
              <w:t>(Sinar Sar)</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5"/>
        </w:trPr>
        <w:tc>
          <w:tcPr>
            <w:tcW w:w="242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gridSpan w:val="3"/>
          </w:tcPr>
          <w:p>
            <w:pPr>
              <w:jc w:val="center"/>
              <w:ind w:right="2060"/>
              <w:spacing w:after="0"/>
              <w:rPr>
                <w:sz w:val="20"/>
                <w:szCs w:val="20"/>
                <w:color w:val="auto"/>
              </w:rPr>
            </w:pPr>
            <w:r>
              <w:rPr>
                <w:rFonts w:ascii="Arial" w:cs="Arial" w:eastAsia="Arial" w:hAnsi="Arial"/>
                <w:sz w:val="18"/>
                <w:szCs w:val="18"/>
                <w:color w:val="auto"/>
                <w:w w:val="88"/>
              </w:rPr>
              <w:t>Gerard Matheis</w:t>
            </w:r>
          </w:p>
        </w:tc>
        <w:tc>
          <w:tcPr>
            <w:tcW w:w="3500" w:type="dxa"/>
            <w:vAlign w:val="bottom"/>
            <w:gridSpan w:val="3"/>
          </w:tcPr>
          <w:p>
            <w:pPr>
              <w:jc w:val="center"/>
              <w:ind w:left="2237"/>
              <w:spacing w:after="0"/>
              <w:rPr>
                <w:sz w:val="20"/>
                <w:szCs w:val="20"/>
                <w:color w:val="auto"/>
              </w:rPr>
            </w:pPr>
            <w:r>
              <w:rPr>
                <w:rFonts w:ascii="Arial" w:cs="Arial" w:eastAsia="Arial" w:hAnsi="Arial"/>
                <w:sz w:val="18"/>
                <w:szCs w:val="18"/>
                <w:color w:val="auto"/>
                <w:w w:val="90"/>
              </w:rPr>
              <w:t>Class A Director</w:t>
            </w:r>
          </w:p>
        </w:tc>
      </w:tr>
      <w:tr>
        <w:trPr>
          <w:trHeight w:val="217"/>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88"/>
              </w:rPr>
              <w:t>(Gerard Matheis)</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400"/>
          </w:cols>
          <w:pgMar w:left="240" w:top="274"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63" w:lineRule="exact"/>
        <w:rPr>
          <w:sz w:val="20"/>
          <w:szCs w:val="20"/>
          <w:color w:val="auto"/>
        </w:rPr>
      </w:pPr>
    </w:p>
    <w:p>
      <w:pPr>
        <w:ind w:left="460" w:right="560" w:hanging="452"/>
        <w:spacing w:after="0" w:line="256" w:lineRule="auto"/>
        <w:tabs>
          <w:tab w:leader="none" w:pos="460" w:val="left"/>
        </w:tabs>
        <w:numPr>
          <w:ilvl w:val="0"/>
          <w:numId w:val="10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4" w:lineRule="exact"/>
        <w:rPr>
          <w:sz w:val="20"/>
          <w:szCs w:val="20"/>
          <w:color w:val="auto"/>
        </w:rPr>
      </w:pPr>
    </w:p>
    <w:tbl>
      <w:tblPr>
        <w:tblLayout w:type="fixed"/>
        <w:tblInd w:w="1700" w:type="dxa"/>
        <w:tblCellMar>
          <w:top w:w="0" w:type="dxa"/>
          <w:left w:w="0" w:type="dxa"/>
          <w:bottom w:w="0" w:type="dxa"/>
          <w:right w:w="0" w:type="dxa"/>
        </w:tblCellMar>
      </w:tblPr>
      <w:tr>
        <w:trPr>
          <w:trHeight w:val="228"/>
        </w:trPr>
        <w:tc>
          <w:tcPr>
            <w:tcW w:w="6120" w:type="dxa"/>
            <w:vAlign w:val="bottom"/>
            <w:gridSpan w:val="3"/>
          </w:tcPr>
          <w:p>
            <w:pPr>
              <w:jc w:val="center"/>
              <w:ind w:left="1821"/>
              <w:spacing w:after="0"/>
              <w:rPr>
                <w:sz w:val="20"/>
                <w:szCs w:val="20"/>
                <w:color w:val="auto"/>
              </w:rPr>
            </w:pPr>
            <w:r>
              <w:rPr>
                <w:rFonts w:ascii="Arial" w:cs="Arial" w:eastAsia="Arial" w:hAnsi="Arial"/>
                <w:sz w:val="18"/>
                <w:szCs w:val="18"/>
                <w:b w:val="1"/>
                <w:bCs w:val="1"/>
                <w:color w:val="auto"/>
                <w:w w:val="87"/>
              </w:rPr>
              <w:t>(Exact name of trustee as specified in its charter)</w:t>
            </w:r>
          </w:p>
        </w:tc>
        <w:tc>
          <w:tcPr>
            <w:tcW w:w="1400" w:type="dxa"/>
            <w:vAlign w:val="bottom"/>
          </w:tcPr>
          <w:p>
            <w:pPr>
              <w:spacing w:after="0"/>
              <w:rPr>
                <w:sz w:val="19"/>
                <w:szCs w:val="19"/>
                <w:color w:val="auto"/>
              </w:rPr>
            </w:pPr>
          </w:p>
        </w:tc>
      </w:tr>
      <w:tr>
        <w:trPr>
          <w:trHeight w:val="279"/>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6"/>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0"/>
              </w:rPr>
              <w:t>New York</w:t>
            </w:r>
          </w:p>
        </w:tc>
        <w:tc>
          <w:tcPr>
            <w:tcW w:w="1400" w:type="dxa"/>
            <w:vAlign w:val="bottom"/>
          </w:tcPr>
          <w:p>
            <w:pPr>
              <w:jc w:val="center"/>
              <w:ind w:left="183"/>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612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6"/>
              </w:rPr>
              <w:t>(State of incorporation</w:t>
            </w:r>
          </w:p>
        </w:tc>
        <w:tc>
          <w:tcPr>
            <w:tcW w:w="140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1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7"/>
              </w:rPr>
              <w:t>if not a U.S. national bank)</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One Wall Street, New York, NY</w:t>
            </w:r>
          </w:p>
        </w:tc>
        <w:tc>
          <w:tcPr>
            <w:tcW w:w="1400" w:type="dxa"/>
            <w:vAlign w:val="bottom"/>
          </w:tcPr>
          <w:p>
            <w:pPr>
              <w:jc w:val="center"/>
              <w:ind w:left="203"/>
              <w:spacing w:after="0"/>
              <w:rPr>
                <w:sz w:val="20"/>
                <w:szCs w:val="20"/>
                <w:color w:val="auto"/>
              </w:rPr>
            </w:pPr>
            <w:r>
              <w:rPr>
                <w:rFonts w:ascii="Arial" w:cs="Arial" w:eastAsia="Arial" w:hAnsi="Arial"/>
                <w:sz w:val="18"/>
                <w:szCs w:val="18"/>
                <w:b w:val="1"/>
                <w:bCs w:val="1"/>
                <w:color w:val="auto"/>
                <w:w w:val="87"/>
              </w:rPr>
              <w:t>10286</w:t>
            </w:r>
          </w:p>
        </w:tc>
      </w:tr>
      <w:tr>
        <w:trPr>
          <w:trHeight w:val="174"/>
        </w:trPr>
        <w:tc>
          <w:tcPr>
            <w:tcW w:w="61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28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59"/>
        </w:trPr>
        <w:tc>
          <w:tcPr>
            <w:tcW w:w="6120" w:type="dxa"/>
            <w:vAlign w:val="bottom"/>
            <w:gridSpan w:val="3"/>
          </w:tcPr>
          <w:p>
            <w:pPr>
              <w:jc w:val="center"/>
              <w:ind w:left="1841"/>
              <w:spacing w:after="0"/>
              <w:rPr>
                <w:sz w:val="20"/>
                <w:szCs w:val="20"/>
                <w:color w:val="auto"/>
              </w:rPr>
            </w:pPr>
            <w:r>
              <w:rPr>
                <w:rFonts w:ascii="Arial" w:cs="Arial" w:eastAsia="Arial" w:hAnsi="Arial"/>
                <w:sz w:val="18"/>
                <w:szCs w:val="18"/>
                <w:b w:val="1"/>
                <w:bCs w:val="1"/>
                <w:color w:val="auto"/>
                <w:w w:val="98"/>
              </w:rPr>
              <w:t>SCHLUMBERGER INVESTMENT SA</w:t>
            </w:r>
          </w:p>
        </w:tc>
        <w:tc>
          <w:tcPr>
            <w:tcW w:w="1400" w:type="dxa"/>
            <w:vAlign w:val="bottom"/>
          </w:tcPr>
          <w:p>
            <w:pPr>
              <w:spacing w:after="0"/>
              <w:rPr>
                <w:sz w:val="24"/>
                <w:szCs w:val="24"/>
                <w:color w:val="auto"/>
              </w:rPr>
            </w:pPr>
          </w:p>
        </w:tc>
      </w:tr>
      <w:tr>
        <w:trPr>
          <w:trHeight w:val="174"/>
        </w:trPr>
        <w:tc>
          <w:tcPr>
            <w:tcW w:w="6120" w:type="dxa"/>
            <w:vAlign w:val="bottom"/>
            <w:gridSpan w:val="3"/>
          </w:tcPr>
          <w:p>
            <w:pPr>
              <w:jc w:val="center"/>
              <w:ind w:left="1821"/>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1400" w:type="dxa"/>
            <w:vAlign w:val="bottom"/>
          </w:tcPr>
          <w:p>
            <w:pPr>
              <w:spacing w:after="0"/>
              <w:rPr>
                <w:sz w:val="15"/>
                <w:szCs w:val="15"/>
                <w:color w:val="auto"/>
              </w:rPr>
            </w:pPr>
          </w:p>
        </w:tc>
      </w:tr>
      <w:tr>
        <w:trPr>
          <w:trHeight w:val="271"/>
        </w:trPr>
        <w:tc>
          <w:tcPr>
            <w:tcW w:w="28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6"/>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Luxembourg</w:t>
            </w:r>
          </w:p>
        </w:tc>
        <w:tc>
          <w:tcPr>
            <w:tcW w:w="1400" w:type="dxa"/>
            <w:vAlign w:val="bottom"/>
          </w:tcPr>
          <w:p>
            <w:pPr>
              <w:jc w:val="center"/>
              <w:ind w:left="183"/>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612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0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12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612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87"/>
              </w:rPr>
              <w:t>5 Avenue Gaston Diderich</w:t>
            </w:r>
          </w:p>
        </w:tc>
        <w:tc>
          <w:tcPr>
            <w:tcW w:w="1400" w:type="dxa"/>
            <w:vAlign w:val="bottom"/>
          </w:tcPr>
          <w:p>
            <w:pPr>
              <w:spacing w:after="0"/>
              <w:rPr>
                <w:sz w:val="24"/>
                <w:szCs w:val="24"/>
                <w:color w:val="auto"/>
              </w:rPr>
            </w:pPr>
          </w:p>
        </w:tc>
      </w:tr>
      <w:tr>
        <w:trPr>
          <w:trHeight w:val="231"/>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Luxembourg</w:t>
            </w:r>
          </w:p>
        </w:tc>
        <w:tc>
          <w:tcPr>
            <w:tcW w:w="1400" w:type="dxa"/>
            <w:vAlign w:val="bottom"/>
          </w:tcPr>
          <w:p>
            <w:pPr>
              <w:jc w:val="center"/>
              <w:ind w:left="183"/>
              <w:spacing w:after="0"/>
              <w:rPr>
                <w:sz w:val="20"/>
                <w:szCs w:val="20"/>
                <w:color w:val="auto"/>
              </w:rPr>
            </w:pPr>
            <w:r>
              <w:rPr>
                <w:rFonts w:ascii="Arial" w:cs="Arial" w:eastAsia="Arial" w:hAnsi="Arial"/>
                <w:sz w:val="18"/>
                <w:szCs w:val="18"/>
                <w:b w:val="1"/>
                <w:bCs w:val="1"/>
                <w:color w:val="auto"/>
                <w:w w:val="94"/>
              </w:rPr>
              <w:t>L-1420</w:t>
            </w:r>
          </w:p>
        </w:tc>
      </w:tr>
      <w:tr>
        <w:trPr>
          <w:trHeight w:val="174"/>
        </w:trPr>
        <w:tc>
          <w:tcPr>
            <w:tcW w:w="61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6"/>
              </w:rPr>
              <w:t>(Zip code)</w:t>
            </w:r>
          </w:p>
        </w:tc>
      </w:tr>
      <w:tr>
        <w:trPr>
          <w:trHeight w:val="284"/>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7"/>
        </w:trPr>
        <w:tc>
          <w:tcPr>
            <w:tcW w:w="2820" w:type="dxa"/>
            <w:vAlign w:val="bottom"/>
          </w:tcPr>
          <w:p>
            <w:pPr>
              <w:spacing w:after="0"/>
              <w:rPr>
                <w:sz w:val="24"/>
                <w:szCs w:val="24"/>
                <w:color w:val="auto"/>
              </w:rPr>
            </w:pPr>
          </w:p>
        </w:tc>
        <w:tc>
          <w:tcPr>
            <w:tcW w:w="33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6"/>
              </w:rPr>
              <w:t>SCHLUMBERGER N.V.</w:t>
            </w:r>
          </w:p>
        </w:tc>
        <w:tc>
          <w:tcPr>
            <w:tcW w:w="1400" w:type="dxa"/>
            <w:vAlign w:val="bottom"/>
          </w:tcPr>
          <w:p>
            <w:pPr>
              <w:spacing w:after="0"/>
              <w:rPr>
                <w:sz w:val="24"/>
                <w:szCs w:val="24"/>
                <w:color w:val="auto"/>
              </w:rPr>
            </w:pPr>
          </w:p>
        </w:tc>
      </w:tr>
      <w:tr>
        <w:trPr>
          <w:trHeight w:val="218"/>
        </w:trPr>
        <w:tc>
          <w:tcPr>
            <w:tcW w:w="6120" w:type="dxa"/>
            <w:vAlign w:val="bottom"/>
            <w:gridSpan w:val="3"/>
          </w:tcPr>
          <w:p>
            <w:pPr>
              <w:jc w:val="center"/>
              <w:ind w:left="1821"/>
              <w:spacing w:after="0"/>
              <w:rPr>
                <w:sz w:val="20"/>
                <w:szCs w:val="20"/>
                <w:color w:val="auto"/>
              </w:rPr>
            </w:pPr>
            <w:r>
              <w:rPr>
                <w:rFonts w:ascii="Arial" w:cs="Arial" w:eastAsia="Arial" w:hAnsi="Arial"/>
                <w:sz w:val="18"/>
                <w:szCs w:val="18"/>
                <w:b w:val="1"/>
                <w:bCs w:val="1"/>
                <w:color w:val="auto"/>
              </w:rPr>
              <w:t>(SCHLUMBERGER LIMITED)</w:t>
            </w:r>
          </w:p>
        </w:tc>
        <w:tc>
          <w:tcPr>
            <w:tcW w:w="1400" w:type="dxa"/>
            <w:vAlign w:val="bottom"/>
          </w:tcPr>
          <w:p>
            <w:pPr>
              <w:spacing w:after="0"/>
              <w:rPr>
                <w:sz w:val="18"/>
                <w:szCs w:val="18"/>
                <w:color w:val="auto"/>
              </w:rPr>
            </w:pPr>
          </w:p>
        </w:tc>
      </w:tr>
      <w:tr>
        <w:trPr>
          <w:trHeight w:val="174"/>
        </w:trPr>
        <w:tc>
          <w:tcPr>
            <w:tcW w:w="6120" w:type="dxa"/>
            <w:vAlign w:val="bottom"/>
            <w:gridSpan w:val="3"/>
          </w:tcPr>
          <w:p>
            <w:pPr>
              <w:jc w:val="center"/>
              <w:ind w:left="1821"/>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1400" w:type="dxa"/>
            <w:vAlign w:val="bottom"/>
          </w:tcPr>
          <w:p>
            <w:pPr>
              <w:spacing w:after="0"/>
              <w:rPr>
                <w:sz w:val="15"/>
                <w:szCs w:val="15"/>
                <w:color w:val="auto"/>
              </w:rPr>
            </w:pPr>
          </w:p>
        </w:tc>
      </w:tr>
      <w:tr>
        <w:trPr>
          <w:trHeight w:val="271"/>
        </w:trPr>
        <w:tc>
          <w:tcPr>
            <w:tcW w:w="28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26"/>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1"/>
              </w:rPr>
              <w:t>Curaçao</w:t>
            </w:r>
          </w:p>
        </w:tc>
        <w:tc>
          <w:tcPr>
            <w:tcW w:w="1400" w:type="dxa"/>
            <w:vAlign w:val="bottom"/>
          </w:tcPr>
          <w:p>
            <w:pPr>
              <w:jc w:val="center"/>
              <w:ind w:left="183"/>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612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00" w:type="dxa"/>
            <w:vAlign w:val="bottom"/>
          </w:tcPr>
          <w:p>
            <w:pPr>
              <w:jc w:val="center"/>
              <w:ind w:left="183"/>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120" w:type="dxa"/>
            <w:vAlign w:val="bottom"/>
            <w:gridSpan w:val="3"/>
          </w:tcPr>
          <w:p>
            <w:pPr>
              <w:jc w:val="center"/>
              <w:ind w:right="372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612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89"/>
              </w:rPr>
              <w:t>42, rue Saint-Dominique</w:t>
            </w:r>
          </w:p>
        </w:tc>
        <w:tc>
          <w:tcPr>
            <w:tcW w:w="1400" w:type="dxa"/>
            <w:vAlign w:val="bottom"/>
          </w:tcPr>
          <w:p>
            <w:pPr>
              <w:spacing w:after="0"/>
              <w:rPr>
                <w:sz w:val="24"/>
                <w:szCs w:val="24"/>
                <w:color w:val="auto"/>
              </w:rPr>
            </w:pPr>
          </w:p>
        </w:tc>
      </w:tr>
      <w:tr>
        <w:trPr>
          <w:trHeight w:val="230"/>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0"/>
              </w:rPr>
              <w:t>Paris, France</w:t>
            </w:r>
          </w:p>
        </w:tc>
        <w:tc>
          <w:tcPr>
            <w:tcW w:w="1400" w:type="dxa"/>
            <w:vAlign w:val="bottom"/>
          </w:tcPr>
          <w:p>
            <w:pPr>
              <w:jc w:val="center"/>
              <w:ind w:left="203"/>
              <w:spacing w:after="0"/>
              <w:rPr>
                <w:sz w:val="20"/>
                <w:szCs w:val="20"/>
                <w:color w:val="auto"/>
              </w:rPr>
            </w:pPr>
            <w:r>
              <w:rPr>
                <w:rFonts w:ascii="Arial" w:cs="Arial" w:eastAsia="Arial" w:hAnsi="Arial"/>
                <w:sz w:val="18"/>
                <w:szCs w:val="18"/>
                <w:b w:val="1"/>
                <w:bCs w:val="1"/>
                <w:color w:val="auto"/>
                <w:w w:val="87"/>
              </w:rPr>
              <w:t>75007</w:t>
            </w:r>
          </w:p>
        </w:tc>
      </w:tr>
      <w:tr>
        <w:trPr>
          <w:trHeight w:val="216"/>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8"/>
              </w:rPr>
              <w:t>5599 San Felipe, 17th Floor</w:t>
            </w:r>
          </w:p>
        </w:tc>
        <w:tc>
          <w:tcPr>
            <w:tcW w:w="1400" w:type="dxa"/>
            <w:vAlign w:val="bottom"/>
          </w:tcPr>
          <w:p>
            <w:pPr>
              <w:spacing w:after="0"/>
              <w:rPr>
                <w:sz w:val="18"/>
                <w:szCs w:val="18"/>
                <w:color w:val="auto"/>
              </w:rPr>
            </w:pPr>
          </w:p>
        </w:tc>
      </w:tr>
      <w:tr>
        <w:trPr>
          <w:trHeight w:val="216"/>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5"/>
              </w:rPr>
              <w:t>Houston, Texas</w:t>
            </w:r>
          </w:p>
        </w:tc>
        <w:tc>
          <w:tcPr>
            <w:tcW w:w="1400" w:type="dxa"/>
            <w:vAlign w:val="bottom"/>
          </w:tcPr>
          <w:p>
            <w:pPr>
              <w:jc w:val="center"/>
              <w:ind w:left="203"/>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0"/>
              </w:rPr>
              <w:t>Parkstraat 83, The Hague</w:t>
            </w:r>
          </w:p>
        </w:tc>
        <w:tc>
          <w:tcPr>
            <w:tcW w:w="1400" w:type="dxa"/>
            <w:vAlign w:val="bottom"/>
          </w:tcPr>
          <w:p>
            <w:pPr>
              <w:spacing w:after="0"/>
              <w:rPr>
                <w:sz w:val="19"/>
                <w:szCs w:val="19"/>
                <w:color w:val="auto"/>
              </w:rPr>
            </w:pPr>
          </w:p>
        </w:tc>
      </w:tr>
      <w:tr>
        <w:trPr>
          <w:trHeight w:val="219"/>
        </w:trPr>
        <w:tc>
          <w:tcPr>
            <w:tcW w:w="612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9"/>
              </w:rPr>
              <w:t>The Netherlands</w:t>
            </w:r>
          </w:p>
        </w:tc>
        <w:tc>
          <w:tcPr>
            <w:tcW w:w="1400" w:type="dxa"/>
            <w:vAlign w:val="bottom"/>
          </w:tcPr>
          <w:p>
            <w:pPr>
              <w:jc w:val="center"/>
              <w:ind w:left="183"/>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612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400" w:type="dxa"/>
            <w:vAlign w:val="bottom"/>
          </w:tcPr>
          <w:p>
            <w:pPr>
              <w:jc w:val="center"/>
              <w:ind w:left="183"/>
              <w:spacing w:after="0"/>
              <w:rPr>
                <w:sz w:val="20"/>
                <w:szCs w:val="20"/>
                <w:color w:val="auto"/>
              </w:rPr>
            </w:pPr>
            <w:r>
              <w:rPr>
                <w:rFonts w:ascii="Arial" w:cs="Arial" w:eastAsia="Arial" w:hAnsi="Arial"/>
                <w:sz w:val="14"/>
                <w:szCs w:val="14"/>
                <w:b w:val="1"/>
                <w:bCs w:val="1"/>
                <w:color w:val="auto"/>
                <w:w w:val="86"/>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 Securities of Schlumberger Investment 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 of Senior Debt Securities of Schlumberger Investment SA by Schlumberger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680" w:type="dxa"/>
            <w:vAlign w:val="bottom"/>
          </w:tcPr>
          <w:p>
            <w:pPr>
              <w:spacing w:after="0"/>
              <w:rPr>
                <w:sz w:val="15"/>
                <w:szCs w:val="15"/>
                <w:color w:val="auto"/>
              </w:rPr>
            </w:pPr>
          </w:p>
        </w:tc>
        <w:tc>
          <w:tcPr>
            <w:tcW w:w="536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Address</w:t>
            </w:r>
          </w:p>
        </w:tc>
      </w:tr>
      <w:tr>
        <w:trPr>
          <w:trHeight w:val="195"/>
        </w:trPr>
        <w:tc>
          <w:tcPr>
            <w:tcW w:w="6060" w:type="dxa"/>
            <w:vAlign w:val="bottom"/>
            <w:gridSpan w:val="2"/>
          </w:tcPr>
          <w:p>
            <w:pPr>
              <w:spacing w:after="0" w:line="195" w:lineRule="exact"/>
              <w:rPr>
                <w:sz w:val="20"/>
                <w:szCs w:val="20"/>
                <w:color w:val="auto"/>
              </w:rPr>
            </w:pPr>
            <w:r>
              <w:rPr>
                <w:rFonts w:ascii="Arial" w:cs="Arial" w:eastAsia="Arial" w:hAnsi="Arial"/>
                <w:sz w:val="18"/>
                <w:szCs w:val="18"/>
                <w:color w:val="auto"/>
              </w:rPr>
              <w:t>Superintendent of Banks of the State of New York</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One State Street, New York, NY</w:t>
            </w:r>
          </w:p>
        </w:tc>
      </w:tr>
      <w:tr>
        <w:trPr>
          <w:trHeight w:val="222"/>
        </w:trPr>
        <w:tc>
          <w:tcPr>
            <w:tcW w:w="3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10004-1417</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Federal Reserve Bank of New York</w:t>
            </w:r>
          </w:p>
        </w:tc>
        <w:tc>
          <w:tcPr>
            <w:tcW w:w="5360" w:type="dxa"/>
            <w:vAlign w:val="bottom"/>
          </w:tcPr>
          <w:p>
            <w:pPr>
              <w:spacing w:after="0"/>
              <w:rPr>
                <w:sz w:val="20"/>
                <w:szCs w:val="20"/>
                <w:color w:val="auto"/>
              </w:rPr>
            </w:pPr>
            <w:r>
              <w:rPr>
                <w:rFonts w:ascii="Arial" w:cs="Arial" w:eastAsia="Arial" w:hAnsi="Arial"/>
                <w:sz w:val="18"/>
                <w:szCs w:val="18"/>
                <w:color w:val="auto"/>
              </w:rPr>
              <w:t>33 Liberty Street</w:t>
            </w:r>
          </w:p>
        </w:tc>
      </w:tr>
      <w:tr>
        <w:trPr>
          <w:trHeight w:val="222"/>
        </w:trPr>
        <w:tc>
          <w:tcPr>
            <w:tcW w:w="3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New York, NY 10045</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5360" w:type="dxa"/>
            <w:vAlign w:val="bottom"/>
          </w:tcPr>
          <w:p>
            <w:pPr>
              <w:spacing w:after="0"/>
              <w:rPr>
                <w:sz w:val="20"/>
                <w:szCs w:val="20"/>
                <w:color w:val="auto"/>
              </w:rPr>
            </w:pPr>
            <w:r>
              <w:rPr>
                <w:rFonts w:ascii="Arial" w:cs="Arial" w:eastAsia="Arial" w:hAnsi="Arial"/>
                <w:sz w:val="18"/>
                <w:szCs w:val="18"/>
                <w:color w:val="auto"/>
              </w:rPr>
              <w:t>550 17</w:t>
            </w:r>
            <w:r>
              <w:rPr>
                <w:rFonts w:ascii="Arial" w:cs="Arial" w:eastAsia="Arial" w:hAnsi="Arial"/>
                <w:sz w:val="11"/>
                <w:szCs w:val="11"/>
                <w:color w:val="auto"/>
              </w:rPr>
              <w:t>th</w:t>
            </w:r>
            <w:r>
              <w:rPr>
                <w:rFonts w:ascii="Arial" w:cs="Arial" w:eastAsia="Arial" w:hAnsi="Arial"/>
                <w:sz w:val="18"/>
                <w:szCs w:val="18"/>
                <w:color w:val="auto"/>
              </w:rPr>
              <w:t xml:space="preserve"> Street, N.W.</w:t>
            </w:r>
          </w:p>
        </w:tc>
      </w:tr>
      <w:tr>
        <w:trPr>
          <w:trHeight w:val="222"/>
        </w:trPr>
        <w:tc>
          <w:tcPr>
            <w:tcW w:w="3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Washington, D.C. 20429</w:t>
            </w:r>
          </w:p>
        </w:tc>
      </w:tr>
      <w:tr>
        <w:trPr>
          <w:trHeight w:val="291"/>
        </w:trPr>
        <w:tc>
          <w:tcPr>
            <w:tcW w:w="3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3501 N. Fairfax Drive</w:t>
            </w:r>
          </w:p>
        </w:tc>
      </w:tr>
      <w:tr>
        <w:trPr>
          <w:trHeight w:val="222"/>
        </w:trPr>
        <w:tc>
          <w:tcPr>
            <w:tcW w:w="3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Arlington, VA 22226</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color w:val="auto"/>
              </w:rPr>
              <w:t>The Clearing House Association, L.L.C.</w:t>
            </w:r>
          </w:p>
        </w:tc>
        <w:tc>
          <w:tcPr>
            <w:tcW w:w="5360" w:type="dxa"/>
            <w:vAlign w:val="bottom"/>
          </w:tcPr>
          <w:p>
            <w:pPr>
              <w:spacing w:after="0"/>
              <w:rPr>
                <w:sz w:val="20"/>
                <w:szCs w:val="20"/>
                <w:color w:val="auto"/>
              </w:rPr>
            </w:pPr>
            <w:r>
              <w:rPr>
                <w:rFonts w:ascii="Arial" w:cs="Arial" w:eastAsia="Arial" w:hAnsi="Arial"/>
                <w:sz w:val="18"/>
                <w:szCs w:val="18"/>
                <w:color w:val="auto"/>
              </w:rPr>
              <w:t>450 West 33rd Street</w:t>
            </w:r>
          </w:p>
        </w:tc>
      </w:tr>
      <w:tr>
        <w:trPr>
          <w:trHeight w:val="222"/>
        </w:trPr>
        <w:tc>
          <w:tcPr>
            <w:tcW w:w="3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New York, NY 10001</w:t>
            </w:r>
          </w:p>
        </w:tc>
      </w:tr>
    </w:tbl>
    <w:p>
      <w:pPr>
        <w:spacing w:after="0" w:line="204" w:lineRule="exact"/>
        <w:rPr>
          <w:sz w:val="20"/>
          <w:szCs w:val="20"/>
          <w:color w:val="auto"/>
        </w:rPr>
      </w:pPr>
    </w:p>
    <w:p>
      <w:pPr>
        <w:ind w:left="900" w:hanging="446"/>
        <w:spacing w:after="0"/>
        <w:tabs>
          <w:tab w:leader="none" w:pos="900"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84" w:lineRule="exact"/>
        <w:rPr>
          <w:rFonts w:ascii="Arial" w:cs="Arial" w:eastAsia="Arial" w:hAnsi="Arial"/>
          <w:sz w:val="18"/>
          <w:szCs w:val="18"/>
          <w:b w:val="1"/>
          <w:bCs w:val="1"/>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Obligors.</w:t>
      </w:r>
    </w:p>
    <w:p>
      <w:pPr>
        <w:spacing w:after="0" w:line="90" w:lineRule="exact"/>
        <w:rPr>
          <w:rFonts w:ascii="Arial" w:cs="Arial" w:eastAsia="Arial" w:hAnsi="Arial"/>
          <w:sz w:val="18"/>
          <w:szCs w:val="18"/>
          <w:b w:val="1"/>
          <w:bCs w:val="1"/>
          <w:color w:val="auto"/>
        </w:rPr>
      </w:pPr>
    </w:p>
    <w:p>
      <w:pPr>
        <w:ind w:left="460" w:right="5060"/>
        <w:spacing w:after="0" w:line="3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any of the obligors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60" w:right="160" w:hanging="445"/>
        <w:spacing w:after="0" w:line="262" w:lineRule="auto"/>
        <w:rPr>
          <w:sz w:val="20"/>
          <w:szCs w:val="20"/>
          <w:color w:val="auto"/>
        </w:rPr>
      </w:pPr>
      <w:r>
        <w:rPr>
          <w:rFonts w:ascii="Arial" w:cs="Arial" w:eastAsia="Arial" w:hAnsi="Arial"/>
          <w:sz w:val="18"/>
          <w:szCs w:val="18"/>
          <w:b w:val="1"/>
          <w:bCs w:val="1"/>
          <w:color w:val="auto"/>
        </w:rPr>
        <w:t>3-15. Pursuant to General Instruction B of the Form T-1, no responses are included for Items 3-15 of this Form T-1 because, to the best of The Bank of New York Mellon’s knowledge, the obligors are not in default on any securities issued under indentures under which The Bank of New York Mellon acts as trustee and the trustee is not a foreign trustee as provided under Item 15.</w:t>
      </w:r>
    </w:p>
    <w:p>
      <w:pPr>
        <w:spacing w:after="0" w:line="51"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60" w:right="1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ectPr>
          <w:pgSz w:w="11900" w:h="16838" w:orient="portrait"/>
          <w:cols w:equalWidth="0" w:num="1">
            <w:col w:w="11420"/>
          </w:cols>
          <w:pgMar w:left="240" w:top="274" w:right="239" w:bottom="1440" w:gutter="0" w:footer="0" w:header="0"/>
        </w:sectPr>
      </w:pPr>
    </w:p>
    <w:bookmarkStart w:id="118" w:name="page119"/>
    <w:bookmarkEnd w:id="118"/>
    <w:p>
      <w:pPr>
        <w:ind w:left="446" w:hanging="446"/>
        <w:spacing w:after="0" w:line="294" w:lineRule="auto"/>
        <w:tabs>
          <w:tab w:leader="none" w:pos="446"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35" w:lineRule="exact"/>
        <w:rPr>
          <w:sz w:val="20"/>
          <w:szCs w:val="20"/>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333-187736).</w:t>
      </w:r>
    </w:p>
    <w:p>
      <w:pPr>
        <w:spacing w:after="0" w:line="90" w:lineRule="exact"/>
        <w:rPr>
          <w:sz w:val="20"/>
          <w:szCs w:val="20"/>
          <w:color w:val="auto"/>
        </w:rPr>
      </w:pPr>
    </w:p>
    <w:p>
      <w:pPr>
        <w:ind w:left="446" w:hanging="446"/>
        <w:spacing w:after="0"/>
        <w:tabs>
          <w:tab w:leader="none" w:pos="44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ectPr>
          <w:pgSz w:w="11900" w:h="16838" w:orient="portrait"/>
          <w:cols w:equalWidth="0" w:num="1">
            <w:col w:w="10946"/>
          </w:cols>
          <w:pgMar w:left="694" w:top="280" w:right="25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22</w:t>
      </w:r>
      <w:r>
        <w:rPr>
          <w:rFonts w:ascii="Arial" w:cs="Arial" w:eastAsia="Arial" w:hAnsi="Arial"/>
          <w:sz w:val="11"/>
          <w:szCs w:val="11"/>
          <w:color w:val="auto"/>
        </w:rPr>
        <w:t>nd</w:t>
      </w:r>
      <w:r>
        <w:rPr>
          <w:rFonts w:ascii="Arial" w:cs="Arial" w:eastAsia="Arial" w:hAnsi="Arial"/>
          <w:sz w:val="18"/>
          <w:szCs w:val="18"/>
          <w:color w:val="auto"/>
        </w:rPr>
        <w:t xml:space="preserve"> day of August,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Laurence J. O’Brien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340"/>
          </w:cols>
          <w:pgMar w:left="240" w:top="280"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member of the Federal Reserve System, at the close of business June 30, 2013, published in accordance with a call made by the Federal Reserve Bank of this District pursuant to the provisions of the Federal Reserve Act.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Dollar amounts</w:t>
            </w:r>
          </w:p>
        </w:tc>
      </w:tr>
      <w:tr>
        <w:trPr>
          <w:trHeight w:val="172"/>
        </w:trPr>
        <w:tc>
          <w:tcPr>
            <w:tcW w:w="20" w:type="dxa"/>
            <w:vAlign w:val="bottom"/>
          </w:tcPr>
          <w:p>
            <w:pPr>
              <w:spacing w:after="0"/>
              <w:rPr>
                <w:sz w:val="14"/>
                <w:szCs w:val="14"/>
                <w:color w:val="auto"/>
              </w:rPr>
            </w:pPr>
          </w:p>
        </w:tc>
        <w:tc>
          <w:tcPr>
            <w:tcW w:w="1036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in thousands</w:t>
            </w:r>
          </w:p>
        </w:tc>
      </w:tr>
      <w:tr>
        <w:trPr>
          <w:trHeight w:val="217"/>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5,547,000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 balances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109,455,000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Held-to-maturity securities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13,784,000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87,504,000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sold in domestic offices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3,072,000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Loans and leases held for sale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31,852,000</w:t>
            </w: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31,653,000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assets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5,889,000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1,047,000</w:t>
            </w: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6,412,000</w:t>
            </w: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1,356,000</w:t>
            </w: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281,339,000</w:t>
            </w: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Deposits: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119,068,000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74,829,000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117,772,000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940" w:type="dxa"/>
            <w:vAlign w:val="bottom"/>
          </w:tcPr>
          <w:p>
            <w:pPr>
              <w:jc w:val="right"/>
              <w:spacing w:after="0"/>
              <w:rPr>
                <w:sz w:val="20"/>
                <w:szCs w:val="20"/>
                <w:color w:val="auto"/>
              </w:rPr>
            </w:pPr>
            <w:r>
              <w:rPr>
                <w:rFonts w:ascii="Arial" w:cs="Arial" w:eastAsia="Arial" w:hAnsi="Arial"/>
                <w:sz w:val="18"/>
                <w:szCs w:val="18"/>
                <w:color w:val="auto"/>
              </w:rPr>
              <w:t>2,780,000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Trading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6,337,000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3,227,000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262,489,000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3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8,704,000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281,339,000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22" w:name="page123"/>
    <w:bookmarkEnd w:id="12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-125730</wp:posOffset>
            </wp:positionV>
            <wp:extent cx="163195" cy="514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195" cy="514350"/>
                    </a:xfrm>
                    <a:prstGeom prst="rect">
                      <a:avLst/>
                    </a:prstGeom>
                    <a:noFill/>
                  </pic:spPr>
                </pic:pic>
              </a:graphicData>
            </a:graphic>
          </wp:anchor>
        </w:drawing>
      </w:r>
    </w:p>
    <w:p>
      <w:pPr>
        <w:spacing w:after="0"/>
        <w:tabs>
          <w:tab w:leader="none" w:pos="712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Kowalski</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1)"/>
      <w:numFmt w:val="decimal"/>
      <w:start w:val="1"/>
    </w:lvl>
  </w:abstractNum>
  <w:abstractNum w:abstractNumId="11">
    <w:nsid w:val="7E0C57B1"/>
    <w:multiLevelType w:val="hybridMultilevel"/>
    <w:lvl w:ilvl="0">
      <w:lvlJc w:val="left"/>
      <w:lvlText w:val="(%1)"/>
      <w:numFmt w:val="decimal"/>
      <w:start w:val="3"/>
    </w:lvl>
  </w:abstractNum>
  <w:abstractNum w:abstractNumId="12">
    <w:nsid w:val="77AE35EB"/>
    <w:multiLevelType w:val="hybridMultilevel"/>
    <w:lvl w:ilvl="0">
      <w:lvlJc w:val="left"/>
      <w:lvlText w:val="(%1)"/>
      <w:numFmt w:val="decimal"/>
      <w:start w:val="1"/>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decimal"/>
      <w:start w:val="6"/>
    </w:lvl>
  </w:abstractNum>
  <w:abstractNum w:abstractNumId="15">
    <w:nsid w:val="5FF87E05"/>
    <w:multiLevelType w:val="hybridMultilevel"/>
    <w:lvl w:ilvl="0">
      <w:lvlJc w:val="left"/>
      <w:lvlText w:val="(%1)"/>
      <w:numFmt w:val="lowerLetter"/>
      <w:start w:val="2"/>
    </w:lvl>
  </w:abstractNum>
  <w:abstractNum w:abstractNumId="16">
    <w:nsid w:val="2F305DEF"/>
    <w:multiLevelType w:val="hybridMultilevel"/>
    <w:lvl w:ilvl="0">
      <w:lvlJc w:val="left"/>
      <w:lvlText w:val="(%1)"/>
      <w:numFmt w:val="lowerLetter"/>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6B94764"/>
    <w:multiLevelType w:val="hybridMultilevel"/>
    <w:lvl w:ilvl="0">
      <w:lvlJc w:val="left"/>
      <w:lvlText w:val="(%1)"/>
      <w:numFmt w:val="decimal"/>
      <w:start w:val="2"/>
    </w:lvl>
    <w:lvl w:ilvl="1">
      <w:lvlJc w:val="left"/>
      <w:lvlText w:val="(%2)"/>
      <w:numFmt w:val="upperLetter"/>
      <w:start w:val="1"/>
    </w:lvl>
  </w:abstractNum>
  <w:abstractNum w:abstractNumId="30">
    <w:nsid w:val="42C296BD"/>
    <w:multiLevelType w:val="hybridMultilevel"/>
    <w:lvl w:ilvl="0">
      <w:lvlJc w:val="left"/>
      <w:lvlText w:val="(%1)"/>
      <w:numFmt w:val="lowerRoman"/>
      <w:start w:val="7"/>
    </w:lvl>
  </w:abstractNum>
  <w:abstractNum w:abstractNumId="31">
    <w:nsid w:val="168E121F"/>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32">
    <w:nsid w:val="1EBA5D2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3">
    <w:nsid w:val="661E3F1E"/>
    <w:multiLevelType w:val="hybridMultilevel"/>
    <w:lvl w:ilvl="0">
      <w:lvlJc w:val="left"/>
      <w:lvlText w:val="%1"/>
      <w:numFmt w:val="decimal"/>
      <w:start w:val="24"/>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lowerRoman"/>
      <w:start w:val="1"/>
    </w:lvl>
  </w:abstractNum>
  <w:abstractNum w:abstractNumId="36">
    <w:nsid w:val="7BD3EE7B"/>
    <w:multiLevelType w:val="hybridMultilevel"/>
    <w:lvl w:ilvl="0">
      <w:lvlJc w:val="left"/>
      <w:lvlText w:val="(%1)"/>
      <w:numFmt w:val="lowerRoman"/>
      <w:start w:val="1"/>
    </w:lvl>
    <w:lvl w:ilvl="1">
      <w:lvlJc w:val="left"/>
      <w:lvlText w:val="-"/>
      <w:numFmt w:val="bullet"/>
      <w:start w:val="1"/>
    </w:lvl>
  </w:abstractNum>
  <w:abstractNum w:abstractNumId="37">
    <w:nsid w:val="51D9C564"/>
    <w:multiLevelType w:val="hybridMultilevel"/>
    <w:lvl w:ilvl="0">
      <w:lvlJc w:val="left"/>
      <w:lvlText w:val="(%1)"/>
      <w:numFmt w:val="lowerRoman"/>
      <w:start w:val="4"/>
    </w:lvl>
  </w:abstractNum>
  <w:abstractNum w:abstractNumId="38">
    <w:nsid w:val="613EFDC5"/>
    <w:multiLevelType w:val="hybridMultilevel"/>
    <w:lvl w:ilvl="0">
      <w:lvlJc w:val="left"/>
      <w:lvlText w:val="(%1)"/>
      <w:numFmt w:val="lowerRoman"/>
      <w:start w:val="1"/>
    </w:lvl>
  </w:abstractNum>
  <w:abstractNum w:abstractNumId="39">
    <w:nsid w:val="BF72B14"/>
    <w:multiLevelType w:val="hybridMultilevel"/>
    <w:lvl w:ilvl="0">
      <w:lvlJc w:val="left"/>
      <w:lvlText w:val="(%1)"/>
      <w:numFmt w:val="lowerRoman"/>
      <w:start w:val="1"/>
    </w:lvl>
    <w:lvl w:ilvl="1">
      <w:lvlJc w:val="left"/>
      <w:lvlText w:val="-"/>
      <w:numFmt w:val="bullet"/>
      <w:start w:val="1"/>
    </w:lvl>
  </w:abstractNum>
  <w:abstractNum w:abstractNumId="40">
    <w:nsid w:val="11447B73"/>
    <w:multiLevelType w:val="hybridMultilevel"/>
    <w:lvl w:ilvl="0">
      <w:lvlJc w:val="left"/>
      <w:lvlText w:val="(%1)"/>
      <w:numFmt w:val="lowerRoman"/>
      <w:start w:val="6"/>
    </w:lvl>
  </w:abstractNum>
  <w:abstractNum w:abstractNumId="41">
    <w:nsid w:val="42963E5A"/>
    <w:multiLevelType w:val="hybridMultilevel"/>
    <w:lvl w:ilvl="0">
      <w:lvlJc w:val="left"/>
      <w:lvlText w:val="(%1)"/>
      <w:numFmt w:val="lowerRoman"/>
      <w:start w:val="1"/>
    </w:lvl>
  </w:abstractNum>
  <w:abstractNum w:abstractNumId="42">
    <w:nsid w:val="A0382C5"/>
    <w:multiLevelType w:val="hybridMultilevel"/>
    <w:lvl w:ilvl="0">
      <w:lvlJc w:val="left"/>
      <w:lvlText w:val="(%1)"/>
      <w:numFmt w:val="lowerRoman"/>
      <w:start w:val="1"/>
    </w:lvl>
  </w:abstractNum>
  <w:abstractNum w:abstractNumId="43">
    <w:nsid w:val="8F2B15E"/>
    <w:multiLevelType w:val="hybridMultilevel"/>
    <w:lvl w:ilvl="0">
      <w:lvlJc w:val="left"/>
      <w:lvlText w:val="(%1)"/>
      <w:numFmt w:val="lowerRoman"/>
      <w:start w:val="1"/>
    </w:lvl>
    <w:lvl w:ilvl="1">
      <w:lvlJc w:val="left"/>
      <w:lvlText w:val="-"/>
      <w:numFmt w:val="bullet"/>
      <w:start w:val="1"/>
    </w:lvl>
  </w:abstractNum>
  <w:abstractNum w:abstractNumId="44">
    <w:nsid w:val="1A32234B"/>
    <w:multiLevelType w:val="hybridMultilevel"/>
    <w:lvl w:ilvl="0">
      <w:lvlJc w:val="left"/>
      <w:lvlText w:val="(%1)"/>
      <w:numFmt w:val="lowerRoman"/>
      <w:start w:val="6"/>
    </w:lvl>
  </w:abstractNum>
  <w:abstractNum w:abstractNumId="45">
    <w:nsid w:val="3B0FD379"/>
    <w:multiLevelType w:val="hybridMultilevel"/>
    <w:lvl w:ilvl="0">
      <w:lvlJc w:val="left"/>
      <w:lvlText w:val="(%1)"/>
      <w:numFmt w:val="lowerRoman"/>
      <w:start w:val="1"/>
    </w:lvl>
  </w:abstractNum>
  <w:abstractNum w:abstractNumId="46">
    <w:nsid w:val="68EB2F63"/>
    <w:multiLevelType w:val="hybridMultilevel"/>
    <w:lvl w:ilvl="0">
      <w:lvlJc w:val="left"/>
      <w:lvlText w:val="(%1)"/>
      <w:numFmt w:val="lowerRoman"/>
      <w:start w:val="1"/>
    </w:lvl>
  </w:abstractNum>
  <w:abstractNum w:abstractNumId="47">
    <w:nsid w:val="4962813B"/>
    <w:multiLevelType w:val="hybridMultilevel"/>
    <w:lvl w:ilvl="0">
      <w:lvlJc w:val="left"/>
      <w:lvlText w:val="(%1)"/>
      <w:numFmt w:val="lowerRoman"/>
      <w:start w:val="1"/>
    </w:lvl>
  </w:abstractNum>
  <w:abstractNum w:abstractNumId="48">
    <w:nsid w:val="60B6DF70"/>
    <w:multiLevelType w:val="hybridMultilevel"/>
    <w:lvl w:ilvl="0">
      <w:lvlJc w:val="left"/>
      <w:lvlText w:val="(%1)"/>
      <w:numFmt w:val="lowerRoman"/>
      <w:start w:val="1"/>
    </w:lvl>
  </w:abstractNum>
  <w:abstractNum w:abstractNumId="49">
    <w:nsid w:val="6A5EE64"/>
    <w:multiLevelType w:val="hybridMultilevel"/>
    <w:lvl w:ilvl="0">
      <w:lvlJc w:val="left"/>
      <w:lvlText w:val="(%1)"/>
      <w:numFmt w:val="lowerRoman"/>
      <w:start w:val="1"/>
    </w:lvl>
    <w:lvl w:ilvl="1">
      <w:lvlJc w:val="left"/>
      <w:lvlText w:val="-"/>
      <w:numFmt w:val="bullet"/>
      <w:start w:val="1"/>
    </w:lvl>
  </w:abstractNum>
  <w:abstractNum w:abstractNumId="50">
    <w:nsid w:val="14330624"/>
    <w:multiLevelType w:val="hybridMultilevel"/>
    <w:lvl w:ilvl="0">
      <w:lvlJc w:val="left"/>
      <w:lvlText w:val="(%1)"/>
      <w:numFmt w:val="lowerRoman"/>
      <w:start w:val="2"/>
    </w:lvl>
    <w:lvl w:ilvl="1">
      <w:lvlJc w:val="left"/>
      <w:lvlText w:val="-"/>
      <w:numFmt w:val="bullet"/>
      <w:start w:val="1"/>
    </w:lvl>
  </w:abstractNum>
  <w:abstractNum w:abstractNumId="51">
    <w:nsid w:val="7FFFCA11"/>
    <w:multiLevelType w:val="hybridMultilevel"/>
    <w:lvl w:ilvl="0">
      <w:lvlJc w:val="left"/>
      <w:lvlText w:val="(%1)"/>
      <w:numFmt w:val="lowerRoman"/>
      <w:start w:val="10"/>
    </w:lvl>
  </w:abstractNum>
  <w:abstractNum w:abstractNumId="52">
    <w:nsid w:val="1A27709E"/>
    <w:multiLevelType w:val="hybridMultilevel"/>
    <w:lvl w:ilvl="0">
      <w:lvlJc w:val="left"/>
      <w:lvlText w:val="(%1)"/>
      <w:numFmt w:val="lowerRoman"/>
      <w:start w:val="1"/>
    </w:lvl>
  </w:abstractNum>
  <w:abstractNum w:abstractNumId="53">
    <w:nsid w:val="71EA1109"/>
    <w:multiLevelType w:val="hybridMultilevel"/>
    <w:lvl w:ilvl="0">
      <w:lvlJc w:val="left"/>
      <w:lvlText w:val="(%1)"/>
      <w:numFmt w:val="lowerRoman"/>
      <w:start w:val="1"/>
    </w:lvl>
  </w:abstractNum>
  <w:abstractNum w:abstractNumId="54">
    <w:nsid w:val="100F59DC"/>
    <w:multiLevelType w:val="hybridMultilevel"/>
    <w:lvl w:ilvl="0">
      <w:lvlJc w:val="left"/>
      <w:lvlText w:val="(%1)"/>
      <w:numFmt w:val="lowerRoman"/>
      <w:start w:val="1"/>
    </w:lvl>
    <w:lvl w:ilvl="1">
      <w:lvlJc w:val="left"/>
      <w:lvlText w:val="-"/>
      <w:numFmt w:val="bullet"/>
      <w:start w:val="1"/>
    </w:lvl>
  </w:abstractNum>
  <w:abstractNum w:abstractNumId="55">
    <w:nsid w:val="7FB7E0AA"/>
    <w:multiLevelType w:val="hybridMultilevel"/>
    <w:lvl w:ilvl="0">
      <w:lvlJc w:val="left"/>
      <w:lvlText w:val="(%1)"/>
      <w:numFmt w:val="lowerRoman"/>
      <w:start w:val="8"/>
    </w:lvl>
  </w:abstractNum>
  <w:abstractNum w:abstractNumId="56">
    <w:nsid w:val="6EB5BD4"/>
    <w:multiLevelType w:val="hybridMultilevel"/>
    <w:lvl w:ilvl="0">
      <w:lvlJc w:val="left"/>
      <w:lvlText w:val="à"/>
      <w:numFmt w:val="bullet"/>
      <w:start w:val="1"/>
    </w:lvl>
    <w:lvl w:ilvl="1">
      <w:lvlJc w:val="left"/>
      <w:lvlText w:val="(%2)"/>
      <w:numFmt w:val="lowerRoman"/>
      <w:start w:val="1"/>
    </w:lvl>
  </w:abstractNum>
  <w:abstractNum w:abstractNumId="57">
    <w:nsid w:val="6F6DD9AC"/>
    <w:multiLevelType w:val="hybridMultilevel"/>
    <w:lvl w:ilvl="0">
      <w:lvlJc w:val="left"/>
      <w:lvlText w:val="à"/>
      <w:numFmt w:val="bullet"/>
      <w:start w:val="1"/>
    </w:lvl>
    <w:lvl w:ilvl="1">
      <w:lvlJc w:val="left"/>
      <w:lvlText w:val="(%2)"/>
      <w:numFmt w:val="lowerRoman"/>
      <w:start w:val="3"/>
    </w:lvl>
  </w:abstractNum>
  <w:abstractNum w:abstractNumId="58">
    <w:nsid w:val="94211F2"/>
    <w:multiLevelType w:val="hybridMultilevel"/>
    <w:lvl w:ilvl="0">
      <w:lvlJc w:val="left"/>
      <w:lvlText w:val="(%1)"/>
      <w:numFmt w:val="lowerLetter"/>
      <w:start w:val="25"/>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lowerRoman"/>
      <w:start w:val="2"/>
    </w:lvl>
  </w:abstractNum>
  <w:abstractNum w:abstractNumId="62">
    <w:nsid w:val="1716703B"/>
    <w:multiLevelType w:val="hybridMultilevel"/>
    <w:lvl w:ilvl="0">
      <w:lvlJc w:val="left"/>
      <w:lvlText w:val="(%1)"/>
      <w:numFmt w:val="lowerLetter"/>
      <w:start w:val="2"/>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lowerLetter"/>
      <w:start w:val="6"/>
    </w:lvl>
  </w:abstractNum>
  <w:abstractNum w:abstractNumId="66">
    <w:nsid w:val="68EBC550"/>
    <w:multiLevelType w:val="hybridMultilevel"/>
    <w:lvl w:ilvl="0">
      <w:lvlJc w:val="left"/>
      <w:lvlText w:val="(%1)"/>
      <w:numFmt w:val="lowerLetter"/>
      <w:start w:val="1"/>
    </w:lvl>
    <w:lvl w:ilvl="1">
      <w:lvlJc w:val="left"/>
      <w:lvlText w:val="(%2)"/>
      <w:numFmt w:val="decimal"/>
      <w:start w:val="1"/>
    </w:lvl>
  </w:abstractNum>
  <w:abstractNum w:abstractNumId="67">
    <w:nsid w:val="2DF6D648"/>
    <w:multiLevelType w:val="hybridMultilevel"/>
    <w:lvl w:ilvl="0">
      <w:lvlJc w:val="left"/>
      <w:lvlText w:val="%1"/>
      <w:numFmt w:val="lowerLetter"/>
      <w:start w:val="1"/>
    </w:lvl>
    <w:lvl w:ilvl="1">
      <w:lvlJc w:val="left"/>
      <w:lvlText w:val="(%2)"/>
      <w:numFmt w:val="decimal"/>
      <w:start w:val="2"/>
    </w:lvl>
  </w:abstractNum>
  <w:abstractNum w:abstractNumId="68">
    <w:nsid w:val="46B7D447"/>
    <w:multiLevelType w:val="hybridMultilevel"/>
    <w:lvl w:ilvl="0">
      <w:lvlJc w:val="left"/>
      <w:lvlText w:val="(%1)"/>
      <w:numFmt w:val="lowerLetter"/>
      <w:start w:val="2"/>
    </w:lvl>
    <w:lvl w:ilvl="1">
      <w:lvlJc w:val="left"/>
      <w:lvlText w:val="%2"/>
      <w:numFmt w:val="decimal"/>
      <w:start w:val="1"/>
    </w:lvl>
  </w:abstractNum>
  <w:abstractNum w:abstractNumId="69">
    <w:nsid w:val="4A2AC315"/>
    <w:multiLevelType w:val="hybridMultilevel"/>
    <w:lvl w:ilvl="0">
      <w:lvlJc w:val="left"/>
      <w:lvlText w:val="(%1)"/>
      <w:numFmt w:val="lowerLetter"/>
      <w:start w:val="4"/>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lvl w:ilvl="1">
      <w:lvlJc w:val="left"/>
      <w:lvlText w:val="(%2)"/>
      <w:numFmt w:val="decimal"/>
      <w:start w:val="1"/>
    </w:lvl>
  </w:abstractNum>
  <w:abstractNum w:abstractNumId="73">
    <w:nsid w:val="43F18422"/>
    <w:multiLevelType w:val="hybridMultilevel"/>
    <w:lvl w:ilvl="0">
      <w:lvlJc w:val="left"/>
      <w:lvlText w:val="(%1)"/>
      <w:numFmt w:val="lowerLetter"/>
      <w:start w:val="7"/>
    </w:lvl>
    <w:lvl w:ilvl="1">
      <w:lvlJc w:val="left"/>
      <w:lvlText w:val="(%2)"/>
      <w:numFmt w:val="decimal"/>
      <w:start w:val="1"/>
    </w:lvl>
  </w:abstractNum>
  <w:abstractNum w:abstractNumId="74">
    <w:nsid w:val="60EF0119"/>
    <w:multiLevelType w:val="hybridMultilevel"/>
    <w:lvl w:ilvl="0">
      <w:lvlJc w:val="left"/>
      <w:lvlText w:val="(%1)"/>
      <w:numFmt w:val="lowerLetter"/>
      <w:start w:val="8"/>
    </w:lvl>
  </w:abstractNum>
  <w:abstractNum w:abstractNumId="75">
    <w:nsid w:val="26F324BA"/>
    <w:multiLevelType w:val="hybridMultilevel"/>
    <w:lvl w:ilvl="0">
      <w:lvlJc w:val="left"/>
      <w:lvlText w:val="(%1)"/>
      <w:numFmt w:val="lowerLetter"/>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Letter"/>
      <w:start w:val="1"/>
    </w:lvl>
    <w:lvl w:ilvl="1">
      <w:lvlJc w:val="left"/>
      <w:lvlText w:val="(%2)"/>
      <w:numFmt w:val="decimal"/>
      <w:start w:val="1"/>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11"/>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84">
    <w:nsid w:val="7672BD2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85">
    <w:nsid w:val="6FC75AF8"/>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86">
    <w:nsid w:val="6A5F702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87">
    <w:nsid w:val="7D5E18F8"/>
    <w:multiLevelType w:val="hybridMultilevel"/>
    <w:lvl w:ilvl="0">
      <w:lvlJc w:val="left"/>
      <w:lvlText w:val="(%1)"/>
      <w:numFmt w:val="lowerLetter"/>
      <w:start w:val="35"/>
    </w:lvl>
    <w:lvl w:ilvl="1">
      <w:lvlJc w:val="left"/>
      <w:lvlText w:val="(%2)"/>
      <w:numFmt w:val="decimal"/>
      <w:start w:val="2"/>
    </w:lvl>
    <w:lvl w:ilvl="2">
      <w:lvlJc w:val="left"/>
      <w:lvlText w:val="%3"/>
      <w:numFmt w:val="upperLetter"/>
      <w:start w:val="1"/>
    </w:lvl>
  </w:abstractNum>
  <w:abstractNum w:abstractNumId="88">
    <w:nsid w:val="5F3534A4"/>
    <w:multiLevelType w:val="hybridMultilevel"/>
    <w:lvl w:ilvl="0">
      <w:lvlJc w:val="left"/>
      <w:lvlText w:val="(%1)"/>
      <w:numFmt w:val="lowerLetter"/>
      <w:start w:val="3"/>
    </w:lvl>
    <w:lvl w:ilvl="1">
      <w:lvlJc w:val="left"/>
      <w:lvlText w:val="(%2)"/>
      <w:numFmt w:val="decimal"/>
      <w:start w:val="1"/>
    </w:lvl>
  </w:abstractNum>
  <w:abstractNum w:abstractNumId="89">
    <w:nsid w:val="73A1821B"/>
    <w:multiLevelType w:val="hybridMultilevel"/>
    <w:lvl w:ilvl="0">
      <w:lvlJc w:val="left"/>
      <w:lvlText w:val="(%1)"/>
      <w:numFmt w:val="lowerLetter"/>
      <w:start w:val="4"/>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5"/>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decimal"/>
      <w:start w:val="2"/>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3"/>
    </w:lvl>
  </w:abstractNum>
  <w:abstractNum w:abstractNumId="97">
    <w:nsid w:val="53299938"/>
    <w:multiLevelType w:val="hybridMultilevel"/>
    <w:lvl w:ilvl="0">
      <w:lvlJc w:val="left"/>
      <w:lvlText w:val="(%1)"/>
      <w:numFmt w:val="lowerRoman"/>
      <w:start w:val="2"/>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bullet"/>
      <w:start w:val="1"/>
    </w:lvl>
  </w:abstractNum>
  <w:abstractNum w:abstractNumId="100">
    <w:nsid w:val="1D545C4D"/>
    <w:multiLevelType w:val="hybridMultilevel"/>
    <w:lvl w:ilvl="0">
      <w:lvlJc w:val="left"/>
      <w:lvlText w:val="2"/>
      <w:numFmt w:val="bullet"/>
      <w:start w:val="1"/>
    </w:lvl>
    <w:lvl w:ilvl="1">
      <w:lvlJc w:val="left"/>
      <w:lvlText w:val="(%2)"/>
      <w:numFmt w:val="lowerLetter"/>
      <w:start w:val="1"/>
    </w:lvl>
  </w:abstractNum>
  <w:abstractNum w:abstractNumId="101">
    <w:nsid w:val="59ADEA3D"/>
    <w:multiLevelType w:val="hybridMultilevel"/>
    <w:lvl w:ilvl="0">
      <w:lvlJc w:val="left"/>
      <w:lvlText w:val="3"/>
      <w:numFmt w:val="bullet"/>
      <w:start w:val="1"/>
    </w:lvl>
  </w:abstractNum>
  <w:abstractNum w:abstractNumId="102">
    <w:nsid w:val="288F1A34"/>
    <w:multiLevelType w:val="hybridMultilevel"/>
    <w:lvl w:ilvl="0">
      <w:lvlJc w:val="left"/>
      <w:lvlText w:val="4"/>
      <w:numFmt w:val="bullet"/>
      <w:start w:val="1"/>
    </w:lvl>
  </w:abstractNum>
  <w:abstractNum w:abstractNumId="103">
    <w:nsid w:val="2A155DBC"/>
    <w:multiLevelType w:val="hybridMultilevel"/>
    <w:lvl w:ilvl="0">
      <w:lvlJc w:val="left"/>
      <w:lvlText w:val="5"/>
      <w:numFmt w:val="bullet"/>
      <w:start w:val="1"/>
    </w:lvl>
  </w:abstractNum>
  <w:abstractNum w:abstractNumId="104">
    <w:nsid w:val="1D9F6E5F"/>
    <w:multiLevelType w:val="hybridMultilevel"/>
    <w:lvl w:ilvl="0">
      <w:lvlJc w:val="left"/>
      <w:lvlText w:val="6"/>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decimal"/>
      <w:start w:val="1"/>
    </w:lvl>
    <w:lvl w:ilvl="1">
      <w:lvlJc w:val="left"/>
      <w:lvlText w:val="(%2)"/>
      <w:numFmt w:val="lowerLetter"/>
      <w:start w:val="1"/>
    </w:lvl>
  </w:abstractNum>
  <w:abstractNum w:abstractNumId="107">
    <w:nsid w:val="1CA0C5FA"/>
    <w:multiLevelType w:val="hybridMultilevel"/>
    <w:lvl w:ilvl="0">
      <w:lvlJc w:val="left"/>
      <w:lvlText w:val="%1"/>
      <w:numFmt w:val="decimal"/>
      <w:start w:val="1"/>
    </w:lvl>
    <w:lvl w:ilvl="1">
      <w:lvlJc w:val="left"/>
      <w:lvlText w:val="(%2)"/>
      <w:numFmt w:val="lowerLetter"/>
      <w:start w:val="2"/>
    </w:lvl>
  </w:abstractNum>
  <w:abstractNum w:abstractNumId="108">
    <w:nsid w:val="53584BCB"/>
    <w:multiLevelType w:val="hybridMultilevel"/>
    <w:lvl w:ilvl="0">
      <w:lvlJc w:val="left"/>
      <w:lvlText w:val="%1."/>
      <w:numFmt w:val="decimal"/>
      <w:start w:val="2"/>
    </w:lvl>
    <w:lvl w:ilvl="1">
      <w:lvlJc w:val="left"/>
      <w:lvlText w:val="%2"/>
      <w:numFmt w:val="lowerLetter"/>
      <w:start w:val="1"/>
    </w:lvl>
  </w:abstractNum>
  <w:abstractNum w:abstractNumId="109">
    <w:nsid w:val="415E286C"/>
    <w:multiLevelType w:val="hybridMultilevel"/>
    <w:lvl w:ilvl="0">
      <w:lvlJc w:val="left"/>
      <w:lvlText w:val="%1."/>
      <w:numFmt w:val="decimal"/>
      <w:start w:val="16"/>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4"/>
    </w:lvl>
  </w:abstractNum>
  <w:abstractNum w:abstractNumId="112">
    <w:nsid w:val="45E6D48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2019-12-20T20:47:16Z</dcterms:created>
  <dcterms:modified xsi:type="dcterms:W3CDTF">2019-12-20T20:47:16Z</dcterms:modified>
</cp:coreProperties>
</file>