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51866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18668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Biguet Stephane</w:t>
        </w:r>
      </w:hyperlink>
    </w:p>
    <w:p>
      <w:pPr>
        <w:spacing w:after="0" w:line="321"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(Last)</w:t>
            </w:r>
          </w:p>
        </w:tc>
        <w:tc>
          <w:tcPr>
            <w:tcW w:w="1020" w:type="dxa"/>
            <w:vAlign w:val="bottom"/>
          </w:tcPr>
          <w:p>
            <w:pPr>
              <w:ind w:left="200"/>
              <w:spacing w:after="0"/>
              <w:rPr>
                <w:sz w:val="20"/>
                <w:szCs w:val="20"/>
                <w:color w:val="auto"/>
              </w:rPr>
            </w:pPr>
            <w:r>
              <w:rPr>
                <w:rFonts w:ascii="Arial" w:cs="Arial" w:eastAsia="Arial" w:hAnsi="Arial"/>
                <w:sz w:val="13"/>
                <w:szCs w:val="13"/>
                <w:color w:val="auto"/>
              </w:rPr>
              <w:t>(First)</w:t>
            </w:r>
          </w:p>
        </w:tc>
        <w:tc>
          <w:tcPr>
            <w:tcW w:w="1600" w:type="dxa"/>
            <w:vAlign w:val="bottom"/>
          </w:tcPr>
          <w:p>
            <w:pPr>
              <w:ind w:left="400"/>
              <w:spacing w:after="0"/>
              <w:rPr>
                <w:sz w:val="20"/>
                <w:szCs w:val="20"/>
                <w:color w:val="auto"/>
              </w:rPr>
            </w:pPr>
            <w:r>
              <w:rPr>
                <w:rFonts w:ascii="Arial" w:cs="Arial" w:eastAsia="Arial" w:hAnsi="Arial"/>
                <w:sz w:val="13"/>
                <w:szCs w:val="13"/>
                <w:color w:val="auto"/>
              </w:rPr>
              <w:t>(Middle)</w:t>
            </w:r>
          </w:p>
        </w:tc>
      </w:tr>
      <w:tr>
        <w:trPr>
          <w:trHeight w:val="279"/>
        </w:trPr>
        <w:tc>
          <w:tcPr>
            <w:tcW w:w="40" w:type="dxa"/>
            <w:vAlign w:val="bottom"/>
          </w:tcPr>
          <w:p>
            <w:pPr>
              <w:spacing w:after="0"/>
              <w:rPr>
                <w:sz w:val="24"/>
                <w:szCs w:val="24"/>
                <w:color w:val="auto"/>
              </w:rPr>
            </w:pPr>
          </w:p>
        </w:tc>
        <w:tc>
          <w:tcPr>
            <w:tcW w:w="3640" w:type="dxa"/>
            <w:vAlign w:val="bottom"/>
            <w:gridSpan w:val="3"/>
          </w:tcPr>
          <w:p>
            <w:pPr>
              <w:spacing w:after="0"/>
              <w:rPr>
                <w:sz w:val="20"/>
                <w:szCs w:val="20"/>
                <w:color w:val="auto"/>
              </w:rPr>
            </w:pPr>
            <w:r>
              <w:rPr>
                <w:rFonts w:ascii="Arial" w:cs="Arial" w:eastAsia="Arial" w:hAnsi="Arial"/>
                <w:sz w:val="17"/>
                <w:szCs w:val="17"/>
                <w:color w:val="0000FF"/>
              </w:rPr>
              <w:t>5599 SAN FELIPE, 17TH FLOOR</w:t>
            </w:r>
          </w:p>
        </w:tc>
      </w:tr>
      <w:tr>
        <w:trPr>
          <w:trHeight w:val="208"/>
        </w:trPr>
        <w:tc>
          <w:tcPr>
            <w:tcW w:w="40" w:type="dxa"/>
            <w:vAlign w:val="bottom"/>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1600" w:type="dxa"/>
            <w:vAlign w:val="bottom"/>
            <w:tcBorders>
              <w:bottom w:val="single" w:sz="8" w:color="9A9A9A"/>
            </w:tcBorders>
          </w:tcPr>
          <w:p>
            <w:pPr>
              <w:spacing w:after="0"/>
              <w:rPr>
                <w:sz w:val="18"/>
                <w:szCs w:val="18"/>
                <w:color w:val="auto"/>
              </w:rPr>
            </w:pPr>
          </w:p>
        </w:tc>
      </w:tr>
      <w:tr>
        <w:trPr>
          <w:trHeight w:val="267"/>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239"/>
        </w:trPr>
        <w:tc>
          <w:tcPr>
            <w:tcW w:w="4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Arial" w:cs="Arial" w:eastAsia="Arial" w:hAnsi="Arial"/>
                <w:sz w:val="17"/>
                <w:szCs w:val="17"/>
                <w:color w:val="0000FF"/>
              </w:rPr>
              <w:t>HOUSTON</w:t>
            </w:r>
          </w:p>
        </w:tc>
        <w:tc>
          <w:tcPr>
            <w:tcW w:w="1020" w:type="dxa"/>
            <w:vAlign w:val="bottom"/>
          </w:tcPr>
          <w:p>
            <w:pPr>
              <w:ind w:left="200"/>
              <w:spacing w:after="0"/>
              <w:rPr>
                <w:sz w:val="20"/>
                <w:szCs w:val="20"/>
                <w:color w:val="auto"/>
              </w:rPr>
            </w:pPr>
            <w:r>
              <w:rPr>
                <w:rFonts w:ascii="Arial" w:cs="Arial" w:eastAsia="Arial" w:hAnsi="Arial"/>
                <w:sz w:val="17"/>
                <w:szCs w:val="17"/>
                <w:color w:val="0000FF"/>
              </w:rPr>
              <w:t>TX</w:t>
            </w:r>
          </w:p>
        </w:tc>
        <w:tc>
          <w:tcPr>
            <w:tcW w:w="1600" w:type="dxa"/>
            <w:vAlign w:val="bottom"/>
          </w:tcPr>
          <w:p>
            <w:pPr>
              <w:ind w:left="400"/>
              <w:spacing w:after="0"/>
              <w:rPr>
                <w:sz w:val="20"/>
                <w:szCs w:val="20"/>
                <w:color w:val="auto"/>
              </w:rPr>
            </w:pPr>
            <w:r>
              <w:rPr>
                <w:rFonts w:ascii="Arial" w:cs="Arial" w:eastAsia="Arial" w:hAnsi="Arial"/>
                <w:sz w:val="17"/>
                <w:szCs w:val="17"/>
                <w:color w:val="0000FF"/>
              </w:rPr>
              <w:t>77056</w:t>
            </w:r>
          </w:p>
        </w:tc>
      </w:tr>
      <w:tr>
        <w:trPr>
          <w:trHeight w:val="155"/>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15"/>
        </w:trPr>
        <w:tc>
          <w:tcPr>
            <w:tcW w:w="80" w:type="dxa"/>
            <w:vAlign w:val="bottom"/>
          </w:tcPr>
          <w:p>
            <w:pPr>
              <w:spacing w:after="0"/>
              <w:rPr>
                <w:sz w:val="18"/>
                <w:szCs w:val="18"/>
                <w:color w:val="auto"/>
              </w:rPr>
            </w:pPr>
          </w:p>
        </w:tc>
        <w:tc>
          <w:tcPr>
            <w:tcW w:w="3740" w:type="dxa"/>
            <w:vAlign w:val="bottom"/>
            <w:gridSpan w:val="3"/>
          </w:tcPr>
          <w:p>
            <w:pPr>
              <w:spacing w:after="0" w:line="208" w:lineRule="exact"/>
              <w:rPr>
                <w:rFonts w:ascii="Arial" w:cs="Arial" w:eastAsia="Arial" w:hAnsi="Arial"/>
                <w:sz w:val="21"/>
                <w:szCs w:val="21"/>
                <w:color w:val="0000EE"/>
              </w:rPr>
            </w:pPr>
            <w:hyperlink r:id="rId13">
              <w:r>
                <w:rPr>
                  <w:rFonts w:ascii="Arial" w:cs="Arial" w:eastAsia="Arial" w:hAnsi="Arial"/>
                  <w:sz w:val="21"/>
                  <w:szCs w:val="21"/>
                  <w:color w:val="0000EE"/>
                </w:rPr>
                <w:t xml:space="preserve">SCHLUMBERGER LIMITED/NV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SLB</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2140" w:type="dxa"/>
            <w:vAlign w:val="bottom"/>
            <w:gridSpan w:val="3"/>
          </w:tcPr>
          <w:p>
            <w:pPr>
              <w:ind w:left="80"/>
              <w:spacing w:after="0"/>
              <w:rPr>
                <w:sz w:val="20"/>
                <w:szCs w:val="20"/>
                <w:color w:val="auto"/>
              </w:rPr>
            </w:pPr>
            <w:r>
              <w:rPr>
                <w:rFonts w:ascii="Arial" w:cs="Arial" w:eastAsia="Arial" w:hAnsi="Arial"/>
                <w:sz w:val="13"/>
                <w:szCs w:val="13"/>
                <w:color w:val="auto"/>
              </w:rPr>
              <w:t>(Check all applicable)</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4"/>
        </w:trPr>
        <w:tc>
          <w:tcPr>
            <w:tcW w:w="80" w:type="dxa"/>
            <w:vAlign w:val="bottom"/>
          </w:tcPr>
          <w:p>
            <w:pPr>
              <w:spacing w:after="0"/>
              <w:rPr>
                <w:sz w:val="11"/>
                <w:szCs w:val="11"/>
                <w:color w:val="auto"/>
              </w:rPr>
            </w:pPr>
          </w:p>
        </w:tc>
        <w:tc>
          <w:tcPr>
            <w:tcW w:w="120" w:type="dxa"/>
            <w:vAlign w:val="bottom"/>
            <w:tcBorders>
              <w:top w:val="single" w:sz="8" w:color="0000EE"/>
            </w:tcBorders>
          </w:tcPr>
          <w:p>
            <w:pPr>
              <w:spacing w:after="0"/>
              <w:rPr>
                <w:sz w:val="11"/>
                <w:szCs w:val="11"/>
                <w:color w:val="auto"/>
              </w:rPr>
            </w:pPr>
          </w:p>
        </w:tc>
        <w:tc>
          <w:tcPr>
            <w:tcW w:w="2900" w:type="dxa"/>
            <w:vAlign w:val="bottom"/>
            <w:tcBorders>
              <w:top w:val="single" w:sz="8" w:color="0000EE"/>
            </w:tcBorders>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40" w:type="dxa"/>
            <w:vAlign w:val="bottom"/>
          </w:tcPr>
          <w:p>
            <w:pPr>
              <w:ind w:left="100"/>
              <w:spacing w:after="0" w:line="134" w:lineRule="exact"/>
              <w:rPr>
                <w:sz w:val="20"/>
                <w:szCs w:val="20"/>
                <w:color w:val="auto"/>
              </w:rPr>
            </w:pPr>
            <w:r>
              <w:rPr>
                <w:rFonts w:ascii="Arial" w:cs="Arial" w:eastAsia="Arial" w:hAnsi="Arial"/>
                <w:sz w:val="13"/>
                <w:szCs w:val="13"/>
                <w:color w:val="auto"/>
              </w:rPr>
              <w:t>Director</w:t>
            </w:r>
          </w:p>
        </w:tc>
        <w:tc>
          <w:tcPr>
            <w:tcW w:w="1160" w:type="dxa"/>
            <w:vAlign w:val="bottom"/>
          </w:tcPr>
          <w:p>
            <w:pPr>
              <w:ind w:left="20"/>
              <w:spacing w:after="0" w:line="134"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39"/>
        </w:trPr>
        <w:tc>
          <w:tcPr>
            <w:tcW w:w="8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290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vMerge w:val="restart"/>
          </w:tcPr>
          <w:p>
            <w:pPr>
              <w:ind w:left="80"/>
              <w:spacing w:after="0"/>
              <w:rPr>
                <w:sz w:val="20"/>
                <w:szCs w:val="20"/>
                <w:color w:val="auto"/>
              </w:rPr>
            </w:pPr>
            <w:r>
              <w:rPr>
                <w:rFonts w:ascii="Arial" w:cs="Arial" w:eastAsia="Arial" w:hAnsi="Arial"/>
                <w:sz w:val="17"/>
                <w:szCs w:val="17"/>
                <w:color w:val="0000FF"/>
              </w:rPr>
              <w:t>X</w:t>
            </w:r>
          </w:p>
        </w:tc>
        <w:tc>
          <w:tcPr>
            <w:tcW w:w="1640" w:type="dxa"/>
            <w:vAlign w:val="bottom"/>
          </w:tcPr>
          <w:p>
            <w:pPr>
              <w:ind w:left="100"/>
              <w:spacing w:after="0" w:line="139" w:lineRule="exact"/>
              <w:rPr>
                <w:sz w:val="20"/>
                <w:szCs w:val="20"/>
                <w:color w:val="auto"/>
              </w:rPr>
            </w:pPr>
            <w:r>
              <w:rPr>
                <w:rFonts w:ascii="Arial" w:cs="Arial" w:eastAsia="Arial" w:hAnsi="Arial"/>
                <w:sz w:val="13"/>
                <w:szCs w:val="13"/>
                <w:color w:val="auto"/>
              </w:rPr>
              <w:t>Officer (give title</w:t>
            </w:r>
          </w:p>
        </w:tc>
        <w:tc>
          <w:tcPr>
            <w:tcW w:w="1160" w:type="dxa"/>
            <w:vAlign w:val="bottom"/>
          </w:tcPr>
          <w:p>
            <w:pPr>
              <w:ind w:left="20"/>
              <w:spacing w:after="0" w:line="139" w:lineRule="exact"/>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32"/>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1"/>
                <w:szCs w:val="11"/>
                <w:color w:val="auto"/>
              </w:rPr>
            </w:pPr>
          </w:p>
        </w:tc>
        <w:tc>
          <w:tcPr>
            <w:tcW w:w="300" w:type="dxa"/>
            <w:vAlign w:val="bottom"/>
            <w:vMerge w:val="continue"/>
          </w:tcPr>
          <w:p>
            <w:pPr>
              <w:spacing w:after="0"/>
              <w:rPr>
                <w:sz w:val="11"/>
                <w:szCs w:val="11"/>
                <w:color w:val="auto"/>
              </w:rPr>
            </w:pPr>
          </w:p>
        </w:tc>
        <w:tc>
          <w:tcPr>
            <w:tcW w:w="16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9"/>
        </w:trPr>
        <w:tc>
          <w:tcPr>
            <w:tcW w:w="200" w:type="dxa"/>
            <w:vAlign w:val="bottom"/>
            <w:gridSpan w:val="2"/>
            <w:vMerge w:val="continue"/>
          </w:tcPr>
          <w:p>
            <w:pPr>
              <w:spacing w:after="0"/>
              <w:rPr>
                <w:sz w:val="5"/>
                <w:szCs w:val="5"/>
                <w:color w:val="auto"/>
              </w:rPr>
            </w:pPr>
          </w:p>
        </w:tc>
        <w:tc>
          <w:tcPr>
            <w:tcW w:w="362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640" w:type="dxa"/>
            <w:vAlign w:val="bottom"/>
            <w:vMerge w:val="continue"/>
          </w:tcPr>
          <w:p>
            <w:pPr>
              <w:spacing w:after="0"/>
              <w:rPr>
                <w:sz w:val="5"/>
                <w:szCs w:val="5"/>
                <w:color w:val="auto"/>
              </w:rPr>
            </w:pPr>
          </w:p>
        </w:tc>
        <w:tc>
          <w:tcPr>
            <w:tcW w:w="11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7"/>
        </w:trPr>
        <w:tc>
          <w:tcPr>
            <w:tcW w:w="3100" w:type="dxa"/>
            <w:vAlign w:val="bottom"/>
            <w:gridSpan w:val="3"/>
          </w:tcPr>
          <w:p>
            <w:pPr>
              <w:ind w:left="80"/>
              <w:spacing w:after="0"/>
              <w:rPr>
                <w:sz w:val="20"/>
                <w:szCs w:val="20"/>
                <w:color w:val="auto"/>
              </w:rPr>
            </w:pPr>
            <w:r>
              <w:rPr>
                <w:rFonts w:ascii="Arial" w:cs="Arial" w:eastAsia="Arial" w:hAnsi="Arial"/>
                <w:sz w:val="17"/>
                <w:szCs w:val="17"/>
                <w:color w:val="0000FF"/>
              </w:rPr>
              <w:t>03/04/2022</w:t>
            </w:r>
          </w:p>
        </w:tc>
        <w:tc>
          <w:tcPr>
            <w:tcW w:w="7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40" w:type="dxa"/>
            <w:vAlign w:val="bottom"/>
          </w:tcPr>
          <w:p>
            <w:pPr>
              <w:ind w:left="720"/>
              <w:spacing w:after="0"/>
              <w:rPr>
                <w:sz w:val="20"/>
                <w:szCs w:val="20"/>
                <w:color w:val="auto"/>
              </w:rPr>
            </w:pPr>
            <w:r>
              <w:rPr>
                <w:rFonts w:ascii="Arial" w:cs="Arial" w:eastAsia="Arial" w:hAnsi="Arial"/>
                <w:sz w:val="17"/>
                <w:szCs w:val="17"/>
                <w:color w:val="0000FF"/>
                <w:w w:val="99"/>
              </w:rPr>
              <w:t>EVP &amp; CFO</w:t>
            </w: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80" w:type="dxa"/>
            <w:vAlign w:val="bottom"/>
            <w:tcBorders>
              <w:bottom w:val="single" w:sz="8" w:color="2C2C2C"/>
            </w:tcBorders>
          </w:tcPr>
          <w:p>
            <w:pPr>
              <w:spacing w:after="0"/>
              <w:rPr>
                <w:sz w:val="20"/>
                <w:szCs w:val="20"/>
                <w:color w:val="auto"/>
              </w:rPr>
            </w:pPr>
          </w:p>
        </w:tc>
        <w:tc>
          <w:tcPr>
            <w:tcW w:w="120" w:type="dxa"/>
            <w:vAlign w:val="bottom"/>
            <w:tcBorders>
              <w:bottom w:val="single" w:sz="8" w:color="2C2C2C"/>
            </w:tcBorders>
          </w:tcPr>
          <w:p>
            <w:pPr>
              <w:spacing w:after="0"/>
              <w:rPr>
                <w:sz w:val="20"/>
                <w:szCs w:val="20"/>
                <w:color w:val="auto"/>
              </w:rPr>
            </w:pPr>
          </w:p>
        </w:tc>
        <w:tc>
          <w:tcPr>
            <w:tcW w:w="290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200" w:type="dxa"/>
            <w:vAlign w:val="bottom"/>
            <w:tcBorders>
              <w:bottom w:val="single" w:sz="8" w:color="2C2C2C"/>
            </w:tcBorders>
          </w:tcPr>
          <w:p>
            <w:pPr>
              <w:spacing w:after="0"/>
              <w:rPr>
                <w:sz w:val="20"/>
                <w:szCs w:val="20"/>
                <w:color w:val="auto"/>
              </w:rPr>
            </w:pPr>
          </w:p>
        </w:tc>
        <w:tc>
          <w:tcPr>
            <w:tcW w:w="3100" w:type="dxa"/>
            <w:vAlign w:val="bottom"/>
            <w:tcBorders>
              <w:bottom w:val="single" w:sz="8" w:color="2C2C2C"/>
            </w:tcBorders>
            <w:gridSpan w:val="3"/>
          </w:tcPr>
          <w:p>
            <w:pPr>
              <w:spacing w:after="0"/>
              <w:rPr>
                <w:sz w:val="20"/>
                <w:szCs w:val="20"/>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3"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312" w:lineRule="exact"/>
        <w:rPr>
          <w:sz w:val="24"/>
          <w:szCs w:val="24"/>
          <w:color w:val="auto"/>
        </w:rPr>
      </w:pPr>
    </w:p>
    <w:p>
      <w:pPr>
        <w:sectPr>
          <w:pgSz w:w="11900" w:h="16838" w:orient="portrait"/>
          <w:cols w:equalWidth="0" w:num="2">
            <w:col w:w="3760" w:space="80"/>
            <w:col w:w="724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460" w:type="dxa"/>
            <w:vAlign w:val="bottom"/>
          </w:tcPr>
          <w:p>
            <w:pPr>
              <w:spacing w:after="0"/>
              <w:rPr>
                <w:sz w:val="13"/>
                <w:szCs w:val="13"/>
                <w:color w:val="auto"/>
              </w:rPr>
            </w:pPr>
          </w:p>
        </w:tc>
        <w:tc>
          <w:tcPr>
            <w:tcW w:w="1120" w:type="dxa"/>
            <w:vAlign w:val="bottom"/>
            <w:gridSpan w:val="2"/>
          </w:tcPr>
          <w:p>
            <w:pPr>
              <w:ind w:left="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66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66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66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7"/>
                <w:szCs w:val="7"/>
                <w:color w:val="auto"/>
              </w:rPr>
            </w:pPr>
          </w:p>
        </w:tc>
        <w:tc>
          <w:tcPr>
            <w:tcW w:w="40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66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100" w:type="dxa"/>
            <w:vAlign w:val="bottom"/>
            <w:tcBorders>
              <w:bottom w:val="single" w:sz="8" w:color="2C2C2C"/>
            </w:tcBorders>
            <w:gridSpan w:val="4"/>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310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w w:val="91"/>
              </w:rPr>
              <w:t>Common Stock, $0.01 Par Value Per Share</w:t>
            </w:r>
          </w:p>
        </w:tc>
        <w:tc>
          <w:tcPr>
            <w:tcW w:w="1120" w:type="dxa"/>
            <w:vAlign w:val="bottom"/>
            <w:tcBorders>
              <w:bottom w:val="single" w:sz="8" w:color="2C2C2C"/>
            </w:tcBorders>
            <w:gridSpan w:val="2"/>
          </w:tcPr>
          <w:p>
            <w:pPr>
              <w:jc w:val="right"/>
              <w:ind w:right="80"/>
              <w:spacing w:after="0"/>
              <w:rPr>
                <w:sz w:val="20"/>
                <w:szCs w:val="20"/>
                <w:color w:val="auto"/>
              </w:rPr>
            </w:pPr>
            <w:r>
              <w:rPr>
                <w:rFonts w:ascii="Arial" w:cs="Arial" w:eastAsia="Arial" w:hAnsi="Arial"/>
                <w:sz w:val="17"/>
                <w:szCs w:val="17"/>
                <w:color w:val="0000FF"/>
              </w:rPr>
              <w:t>03/04/2022</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3,822</w:t>
            </w:r>
            <w:r>
              <w:rPr>
                <w:rFonts w:ascii="Arial" w:cs="Arial" w:eastAsia="Arial" w:hAnsi="Arial"/>
                <w:sz w:val="22"/>
                <w:szCs w:val="22"/>
                <w:color w:val="008000"/>
                <w:vertAlign w:val="superscript"/>
              </w:rPr>
              <w:t>(1)</w:t>
            </w:r>
          </w:p>
        </w:tc>
        <w:tc>
          <w:tcPr>
            <w:tcW w:w="42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A</w:t>
            </w:r>
          </w:p>
        </w:tc>
        <w:tc>
          <w:tcPr>
            <w:tcW w:w="2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2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center"/>
              <w:ind w:right="17"/>
              <w:spacing w:after="0"/>
              <w:rPr>
                <w:sz w:val="20"/>
                <w:szCs w:val="20"/>
                <w:color w:val="auto"/>
              </w:rPr>
            </w:pPr>
            <w:r>
              <w:rPr>
                <w:rFonts w:ascii="Arial" w:cs="Arial" w:eastAsia="Arial" w:hAnsi="Arial"/>
                <w:sz w:val="17"/>
                <w:szCs w:val="17"/>
                <w:color w:val="0000FF"/>
                <w:w w:val="91"/>
              </w:rPr>
              <w:t>112,423</w:t>
            </w:r>
          </w:p>
        </w:tc>
        <w:tc>
          <w:tcPr>
            <w:tcW w:w="920" w:type="dxa"/>
            <w:vAlign w:val="bottom"/>
            <w:tcBorders>
              <w:bottom w:val="single" w:sz="8" w:color="2C2C2C"/>
            </w:tcBorders>
          </w:tcPr>
          <w:p>
            <w:pPr>
              <w:jc w:val="center"/>
              <w:ind w:right="53"/>
              <w:spacing w:after="0"/>
              <w:rPr>
                <w:sz w:val="20"/>
                <w:szCs w:val="20"/>
                <w:color w:val="auto"/>
              </w:rPr>
            </w:pPr>
            <w:r>
              <w:rPr>
                <w:rFonts w:ascii="Arial" w:cs="Arial" w:eastAsia="Arial" w:hAnsi="Arial"/>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3100" w:type="dxa"/>
            <w:vAlign w:val="bottom"/>
            <w:gridSpan w:val="4"/>
          </w:tcPr>
          <w:p>
            <w:pPr>
              <w:ind w:left="60"/>
              <w:spacing w:after="0"/>
              <w:rPr>
                <w:sz w:val="20"/>
                <w:szCs w:val="20"/>
                <w:color w:val="auto"/>
              </w:rPr>
            </w:pPr>
            <w:r>
              <w:rPr>
                <w:rFonts w:ascii="Arial" w:cs="Arial" w:eastAsia="Arial" w:hAnsi="Arial"/>
                <w:sz w:val="17"/>
                <w:szCs w:val="17"/>
                <w:color w:val="0000FF"/>
                <w:w w:val="91"/>
              </w:rPr>
              <w:t>Common Stock, $0.01 Par Value Per Share</w:t>
            </w:r>
          </w:p>
        </w:tc>
        <w:tc>
          <w:tcPr>
            <w:tcW w:w="1120" w:type="dxa"/>
            <w:vAlign w:val="bottom"/>
            <w:gridSpan w:val="2"/>
          </w:tcPr>
          <w:p>
            <w:pPr>
              <w:jc w:val="right"/>
              <w:ind w:right="80"/>
              <w:spacing w:after="0"/>
              <w:rPr>
                <w:sz w:val="20"/>
                <w:szCs w:val="20"/>
                <w:color w:val="auto"/>
              </w:rPr>
            </w:pPr>
            <w:r>
              <w:rPr>
                <w:rFonts w:ascii="Arial" w:cs="Arial" w:eastAsia="Arial" w:hAnsi="Arial"/>
                <w:sz w:val="17"/>
                <w:szCs w:val="17"/>
                <w:color w:val="0000FF"/>
              </w:rPr>
              <w:t>03/04/2022</w:t>
            </w:r>
          </w:p>
        </w:tc>
        <w:tc>
          <w:tcPr>
            <w:tcW w:w="4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780" w:type="dxa"/>
            <w:vAlign w:val="bottom"/>
          </w:tcPr>
          <w:p>
            <w:pPr>
              <w:ind w:left="180"/>
              <w:spacing w:after="0"/>
              <w:rPr>
                <w:sz w:val="20"/>
                <w:szCs w:val="20"/>
                <w:color w:val="auto"/>
              </w:rPr>
            </w:pPr>
            <w:r>
              <w:rPr>
                <w:rFonts w:ascii="Arial" w:cs="Arial" w:eastAsia="Arial" w:hAnsi="Arial"/>
                <w:sz w:val="13"/>
                <w:szCs w:val="13"/>
                <w:color w:val="0000FF"/>
              </w:rPr>
              <w:t>F</w:t>
            </w:r>
          </w:p>
        </w:tc>
        <w:tc>
          <w:tcPr>
            <w:tcW w:w="740" w:type="dxa"/>
            <w:vAlign w:val="bottom"/>
          </w:tcPr>
          <w:p>
            <w:pPr>
              <w:jc w:val="right"/>
              <w:ind w:right="53"/>
              <w:spacing w:after="0"/>
              <w:rPr>
                <w:sz w:val="20"/>
                <w:szCs w:val="20"/>
                <w:color w:val="auto"/>
              </w:rPr>
            </w:pPr>
            <w:r>
              <w:rPr>
                <w:rFonts w:ascii="Arial" w:cs="Arial" w:eastAsia="Arial" w:hAnsi="Arial"/>
                <w:sz w:val="17"/>
                <w:szCs w:val="17"/>
                <w:color w:val="0000FF"/>
              </w:rPr>
              <w:t>1,504</w:t>
            </w:r>
          </w:p>
        </w:tc>
        <w:tc>
          <w:tcPr>
            <w:tcW w:w="420" w:type="dxa"/>
            <w:vAlign w:val="bottom"/>
          </w:tcPr>
          <w:p>
            <w:pPr>
              <w:ind w:left="280"/>
              <w:spacing w:after="0"/>
              <w:rPr>
                <w:sz w:val="20"/>
                <w:szCs w:val="20"/>
                <w:color w:val="auto"/>
              </w:rPr>
            </w:pPr>
            <w:r>
              <w:rPr>
                <w:rFonts w:ascii="Arial" w:cs="Arial" w:eastAsia="Arial" w:hAnsi="Arial"/>
                <w:sz w:val="17"/>
                <w:szCs w:val="17"/>
                <w:color w:val="0000FF"/>
                <w:w w:val="97"/>
              </w:rPr>
              <w:t>D</w:t>
            </w:r>
          </w:p>
        </w:tc>
        <w:tc>
          <w:tcPr>
            <w:tcW w:w="220" w:type="dxa"/>
            <w:vAlign w:val="bottom"/>
          </w:tcPr>
          <w:p>
            <w:pPr>
              <w:spacing w:after="0"/>
              <w:rPr>
                <w:sz w:val="23"/>
                <w:szCs w:val="23"/>
                <w:color w:val="auto"/>
              </w:rPr>
            </w:pPr>
          </w:p>
        </w:tc>
        <w:tc>
          <w:tcPr>
            <w:tcW w:w="600" w:type="dxa"/>
            <w:vAlign w:val="bottom"/>
            <w:gridSpan w:val="3"/>
          </w:tcPr>
          <w:p>
            <w:pPr>
              <w:jc w:val="center"/>
              <w:spacing w:after="0"/>
              <w:rPr>
                <w:sz w:val="20"/>
                <w:szCs w:val="20"/>
                <w:color w:val="auto"/>
              </w:rPr>
            </w:pPr>
            <w:r>
              <w:rPr>
                <w:rFonts w:ascii="Arial" w:cs="Arial" w:eastAsia="Arial" w:hAnsi="Arial"/>
                <w:sz w:val="17"/>
                <w:szCs w:val="17"/>
                <w:color w:val="auto"/>
                <w:w w:val="96"/>
              </w:rPr>
              <w:t>$</w:t>
            </w:r>
            <w:r>
              <w:rPr>
                <w:rFonts w:ascii="Arial" w:cs="Arial" w:eastAsia="Arial" w:hAnsi="Arial"/>
                <w:sz w:val="17"/>
                <w:szCs w:val="17"/>
                <w:color w:val="0000FF"/>
                <w:w w:val="96"/>
              </w:rPr>
              <w:t>38.38</w:t>
            </w:r>
          </w:p>
        </w:tc>
        <w:tc>
          <w:tcPr>
            <w:tcW w:w="1200" w:type="dxa"/>
            <w:vAlign w:val="bottom"/>
            <w:gridSpan w:val="2"/>
          </w:tcPr>
          <w:p>
            <w:pPr>
              <w:jc w:val="center"/>
              <w:ind w:right="17"/>
              <w:spacing w:after="0"/>
              <w:rPr>
                <w:sz w:val="20"/>
                <w:szCs w:val="20"/>
                <w:color w:val="auto"/>
              </w:rPr>
            </w:pPr>
            <w:r>
              <w:rPr>
                <w:rFonts w:ascii="Arial" w:cs="Arial" w:eastAsia="Arial" w:hAnsi="Arial"/>
                <w:sz w:val="17"/>
                <w:szCs w:val="17"/>
                <w:color w:val="0000FF"/>
                <w:w w:val="91"/>
              </w:rPr>
              <w:t>110,919</w:t>
            </w:r>
          </w:p>
        </w:tc>
        <w:tc>
          <w:tcPr>
            <w:tcW w:w="920" w:type="dxa"/>
            <w:vAlign w:val="bottom"/>
          </w:tcPr>
          <w:p>
            <w:pPr>
              <w:jc w:val="center"/>
              <w:ind w:right="53"/>
              <w:spacing w:after="0"/>
              <w:rPr>
                <w:sz w:val="20"/>
                <w:szCs w:val="20"/>
                <w:color w:val="auto"/>
              </w:rPr>
            </w:pPr>
            <w:r>
              <w:rPr>
                <w:rFonts w:ascii="Arial" w:cs="Arial" w:eastAsia="Arial" w:hAnsi="Arial"/>
                <w:sz w:val="17"/>
                <w:szCs w:val="17"/>
                <w:color w:val="0000FF"/>
                <w:w w:val="97"/>
              </w:rPr>
              <w:t>D</w:t>
            </w: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100" w:type="dxa"/>
            <w:vAlign w:val="bottom"/>
            <w:gridSpan w:val="4"/>
            <w:vMerge w:val="restart"/>
          </w:tcPr>
          <w:p>
            <w:pPr>
              <w:ind w:left="60"/>
              <w:spacing w:after="0"/>
              <w:rPr>
                <w:sz w:val="20"/>
                <w:szCs w:val="20"/>
                <w:color w:val="auto"/>
              </w:rPr>
            </w:pPr>
            <w:r>
              <w:rPr>
                <w:rFonts w:ascii="Arial" w:cs="Arial" w:eastAsia="Arial" w:hAnsi="Arial"/>
                <w:sz w:val="17"/>
                <w:szCs w:val="17"/>
                <w:color w:val="0000FF"/>
                <w:w w:val="91"/>
              </w:rPr>
              <w:t>Common Stock, $0.01 Par Value Per Share</w:t>
            </w:r>
          </w:p>
        </w:tc>
        <w:tc>
          <w:tcPr>
            <w:tcW w:w="6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20" w:type="dxa"/>
            <w:vAlign w:val="bottom"/>
            <w:vMerge w:val="restart"/>
          </w:tcPr>
          <w:p>
            <w:pPr>
              <w:jc w:val="center"/>
              <w:ind w:right="377"/>
              <w:spacing w:after="0"/>
              <w:rPr>
                <w:sz w:val="20"/>
                <w:szCs w:val="20"/>
                <w:color w:val="auto"/>
              </w:rPr>
            </w:pPr>
            <w:r>
              <w:rPr>
                <w:rFonts w:ascii="Arial" w:cs="Arial" w:eastAsia="Arial" w:hAnsi="Arial"/>
                <w:sz w:val="17"/>
                <w:szCs w:val="17"/>
                <w:color w:val="0000FF"/>
                <w:w w:val="89"/>
              </w:rPr>
              <w:t>1,773</w:t>
            </w:r>
          </w:p>
        </w:tc>
        <w:tc>
          <w:tcPr>
            <w:tcW w:w="920" w:type="dxa"/>
            <w:vAlign w:val="bottom"/>
            <w:vMerge w:val="restart"/>
          </w:tcPr>
          <w:p>
            <w:pPr>
              <w:jc w:val="center"/>
              <w:ind w:right="53"/>
              <w:spacing w:after="0"/>
              <w:rPr>
                <w:sz w:val="20"/>
                <w:szCs w:val="20"/>
                <w:color w:val="auto"/>
              </w:rPr>
            </w:pPr>
            <w:r>
              <w:rPr>
                <w:rFonts w:ascii="Arial" w:cs="Arial" w:eastAsia="Arial" w:hAnsi="Arial"/>
                <w:sz w:val="17"/>
                <w:szCs w:val="17"/>
                <w:color w:val="0000FF"/>
                <w:w w:val="83"/>
              </w:rPr>
              <w:t>I</w:t>
            </w:r>
          </w:p>
        </w:tc>
        <w:tc>
          <w:tcPr>
            <w:tcW w:w="82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100" w:type="dxa"/>
            <w:vAlign w:val="bottom"/>
            <w:gridSpan w:val="4"/>
            <w:vMerge w:val="continue"/>
          </w:tcPr>
          <w:p>
            <w:pPr>
              <w:spacing w:after="0"/>
              <w:rPr>
                <w:sz w:val="9"/>
                <w:szCs w:val="9"/>
                <w:color w:val="auto"/>
              </w:rPr>
            </w:pPr>
          </w:p>
        </w:tc>
        <w:tc>
          <w:tcPr>
            <w:tcW w:w="66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4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820" w:type="dxa"/>
            <w:vAlign w:val="bottom"/>
            <w:gridSpan w:val="3"/>
            <w:vMerge w:val="restart"/>
          </w:tcPr>
          <w:p>
            <w:pPr>
              <w:spacing w:after="0"/>
              <w:rPr>
                <w:sz w:val="20"/>
                <w:szCs w:val="20"/>
                <w:color w:val="auto"/>
              </w:rPr>
            </w:pPr>
            <w:r>
              <w:rPr>
                <w:rFonts w:ascii="Arial" w:cs="Arial" w:eastAsia="Arial" w:hAnsi="Arial"/>
                <w:sz w:val="17"/>
                <w:szCs w:val="17"/>
                <w:color w:val="0000FF"/>
              </w:rPr>
              <w:t>Children</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66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4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tcPr>
          <w:p>
            <w:pPr>
              <w:spacing w:after="0"/>
              <w:rPr>
                <w:sz w:val="9"/>
                <w:szCs w:val="9"/>
                <w:color w:val="auto"/>
              </w:rPr>
            </w:pPr>
          </w:p>
        </w:tc>
        <w:tc>
          <w:tcPr>
            <w:tcW w:w="820" w:type="dxa"/>
            <w:vAlign w:val="bottom"/>
          </w:tcPr>
          <w:p>
            <w:pPr>
              <w:spacing w:after="0"/>
              <w:rPr>
                <w:sz w:val="9"/>
                <w:szCs w:val="9"/>
                <w:color w:val="auto"/>
              </w:rPr>
            </w:pPr>
          </w:p>
        </w:tc>
        <w:tc>
          <w:tcPr>
            <w:tcW w:w="920" w:type="dxa"/>
            <w:vAlign w:val="bottom"/>
          </w:tcPr>
          <w:p>
            <w:pPr>
              <w:spacing w:after="0"/>
              <w:rPr>
                <w:sz w:val="9"/>
                <w:szCs w:val="9"/>
                <w:color w:val="auto"/>
              </w:rPr>
            </w:pPr>
          </w:p>
        </w:tc>
        <w:tc>
          <w:tcPr>
            <w:tcW w:w="8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11"/>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5"/>
          </w:tcPr>
          <w:p>
            <w:pPr>
              <w:jc w:val="center"/>
              <w:ind w:left="13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820" w:type="dxa"/>
            <w:vAlign w:val="bottom"/>
            <w:gridSpan w:val="10"/>
          </w:tcPr>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gridSpan w:val="2"/>
          </w:tcPr>
          <w:p>
            <w:pPr>
              <w:spacing w:after="0"/>
              <w:rPr>
                <w:sz w:val="4"/>
                <w:szCs w:val="4"/>
                <w:color w:val="auto"/>
              </w:rPr>
            </w:pPr>
          </w:p>
        </w:tc>
        <w:tc>
          <w:tcPr>
            <w:tcW w:w="174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w w:val="97"/>
              </w:rPr>
              <w:t>8. Price of</w:t>
            </w:r>
          </w:p>
        </w:tc>
        <w:tc>
          <w:tcPr>
            <w:tcW w:w="1740" w:type="dxa"/>
            <w:vAlign w:val="bottom"/>
            <w:gridSpan w:val="2"/>
          </w:tcPr>
          <w:p>
            <w:pPr>
              <w:ind w:left="14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6"/>
              </w:rPr>
              <w:t>Amount 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Derivative</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66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380" w:type="dxa"/>
            <w:vAlign w:val="bottom"/>
          </w:tcPr>
          <w:p>
            <w:pPr>
              <w:spacing w:after="0"/>
              <w:rPr>
                <w:sz w:val="4"/>
                <w:szCs w:val="4"/>
                <w:color w:val="auto"/>
              </w:rPr>
            </w:pPr>
          </w:p>
        </w:tc>
        <w:tc>
          <w:tcPr>
            <w:tcW w:w="82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200" w:firstLine="7"/>
        <w:spacing w:after="0" w:line="243"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Company granted performance share units ("PSUs") to the reporting person on January 16, 2019. Vesting of the PSUs was based on three-year Company performance relative to select key competitors. Most of these competitors had not reported their 2021 audited financial results when the Company's compensation committee met in January 2022 to certify performance under the PSUs. As a result, the Company's compensation committee approved the issuance of 90% of the shares that the committee determined had been earned according to the information available to the committee at the time. As of March 4, 2022, all such competitors had reported their 2021 audited financial results. Shares of common stock reported hereunder represent shares finally determined to have been earned under the PSUs.</w:t>
      </w:r>
    </w:p>
    <w:p>
      <w:pPr>
        <w:ind w:left="6580"/>
        <w:spacing w:after="0" w:line="184" w:lineRule="auto"/>
        <w:rPr>
          <w:sz w:val="20"/>
          <w:szCs w:val="20"/>
          <w:color w:val="auto"/>
        </w:rPr>
      </w:pPr>
      <w:r>
        <w:rPr>
          <w:rFonts w:ascii="Arial" w:cs="Arial" w:eastAsia="Arial" w:hAnsi="Arial"/>
          <w:sz w:val="17"/>
          <w:szCs w:val="17"/>
          <w:color w:val="0000FF"/>
        </w:rPr>
        <w:t xml:space="preserve">/s/ Samantha Blons, Attorney- </w:t>
      </w:r>
      <w:r>
        <w:rPr>
          <w:rFonts w:ascii="Arial" w:cs="Arial" w:eastAsia="Arial" w:hAnsi="Arial"/>
          <w:sz w:val="32"/>
          <w:szCs w:val="32"/>
          <w:color w:val="0000FF"/>
          <w:vertAlign w:val="subscript"/>
        </w:rPr>
        <w:t>03/08/2022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322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3223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3117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1178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45"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592739" TargetMode="External"/><Relationship Id="rId13" Type="http://schemas.openxmlformats.org/officeDocument/2006/relationships/hyperlink" Target="http://www.sec.gov/cgi-bin/browse-edgar?action=getcompany&amp;CIK=000008734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2022-03-08T15:44:53Z</dcterms:created>
  <dcterms:modified xsi:type="dcterms:W3CDTF">2022-03-08T15:44:53Z</dcterms:modified>
</cp:coreProperties>
</file>