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19100d425.htm"/>
      <w:bookmarkStart w:id="1" w:name="ksd819100d425"/>
      <w:bookmarkEnd w:id="0"/>
      <w:bookmarkEnd w:id="1"/>
      <w:r>
        <w:rPr>
          <w:rFonts w:ascii="Times New Roman" w:hAnsi="Times New Roman"/>
          <w:sz w:val="20"/>
        </w:rPr>
        <w:t xml:space="preserve">Filed by Schlumberger N.V.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ChampionX Corporation </w:t>
      </w:r>
    </w:p>
    <w:p>
      <w:pPr>
        <w:pStyle w:val="TextBody"/>
        <w:bidi w:val="0"/>
        <w:spacing w:before="0" w:after="0"/>
        <w:jc w:val="right"/>
        <w:rPr>
          <w:rFonts w:ascii="Times New Roman" w:hAnsi="Times New Roman"/>
          <w:sz w:val="20"/>
        </w:rPr>
      </w:pPr>
      <w:r>
        <w:rPr>
          <w:rFonts w:ascii="Times New Roman" w:hAnsi="Times New Roman"/>
          <w:sz w:val="20"/>
        </w:rPr>
        <w:t xml:space="preserve">Filers SEC File No.: 001-38441 </w:t>
      </w:r>
    </w:p>
    <w:p>
      <w:pPr>
        <w:pStyle w:val="TextBody"/>
        <w:bidi w:val="0"/>
        <w:spacing w:before="0" w:after="0"/>
        <w:jc w:val="right"/>
        <w:rPr>
          <w:rFonts w:ascii="Times New Roman" w:hAnsi="Times New Roman"/>
          <w:sz w:val="20"/>
        </w:rPr>
      </w:pPr>
      <w:r>
        <w:rPr>
          <w:rFonts w:ascii="Times New Roman" w:hAnsi="Times New Roman"/>
          <w:sz w:val="20"/>
        </w:rPr>
        <w:t xml:space="preserve">Date: April 3, 2024 </w:t>
      </w:r>
      <w:r>
        <w:br w:type="page"/>
      </w:r>
    </w:p>
    <w:p>
      <w:pPr>
        <w:pStyle w:val="HorizontalLine"/>
        <w:pBdr>
          <w:bottom w:val="double" w:sz="6" w:space="0" w:color="808080"/>
        </w:pBdr>
        <w:bidi w:val="0"/>
        <w:jc w:val="left"/>
        <w:rPr/>
      </w:pPr>
      <w:r>
        <w:rPr/>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Confidential, for Use of the Commission Only (as permitted by Rule 14a-6(e)(2))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Section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ChampionX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 12a6(i)(1)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April 2, 2024, ChampionX Corporation began distributing email communications in the following form to suppliers and other business partners.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ChampionX Suppliers and Partners </w:t>
      </w:r>
    </w:p>
    <w:p>
      <w:pPr>
        <w:pStyle w:val="TextBody"/>
        <w:bidi w:val="0"/>
        <w:spacing w:before="0" w:after="0"/>
        <w:jc w:val="left"/>
        <w:rPr>
          <w:rFonts w:ascii="Times New Roman" w:hAnsi="Times New Roman"/>
          <w:sz w:val="20"/>
        </w:rPr>
      </w:pPr>
      <w:r>
        <w:rPr>
          <w:rFonts w:ascii="Times New Roman" w:hAnsi="Times New Roman"/>
          <w:sz w:val="20"/>
        </w:rPr>
        <w:t xml:space="preserve">From: [INSERT] </w:t>
      </w:r>
    </w:p>
    <w:p>
      <w:pPr>
        <w:pStyle w:val="TextBody"/>
        <w:bidi w:val="0"/>
        <w:spacing w:before="0" w:after="0"/>
        <w:jc w:val="left"/>
        <w:rPr>
          <w:rFonts w:ascii="Times New Roman" w:hAnsi="Times New Roman"/>
          <w:sz w:val="20"/>
        </w:rPr>
      </w:pPr>
      <w:r>
        <w:rPr>
          <w:rFonts w:ascii="Times New Roman" w:hAnsi="Times New Roman"/>
          <w:sz w:val="20"/>
        </w:rPr>
        <w:t xml:space="preserve">Subject: Exciting New Chapter for ChampionX </w:t>
      </w:r>
    </w:p>
    <w:p>
      <w:pPr>
        <w:pStyle w:val="TextBody"/>
        <w:bidi w:val="0"/>
        <w:spacing w:before="0" w:after="0"/>
        <w:jc w:val="left"/>
        <w:rPr>
          <w:rFonts w:ascii="Times New Roman" w:hAnsi="Times New Roman"/>
          <w:sz w:val="20"/>
        </w:rPr>
      </w:pPr>
      <w:r>
        <w:rPr>
          <w:rFonts w:ascii="Times New Roman" w:hAnsi="Times New Roman"/>
          <w:sz w:val="20"/>
        </w:rPr>
        <w:t xml:space="preserve">Date: April 2, 2024 </w:t>
      </w:r>
    </w:p>
    <w:p>
      <w:pPr>
        <w:pStyle w:val="TextBody"/>
        <w:bidi w:val="0"/>
        <w:spacing w:before="240" w:after="0"/>
        <w:jc w:val="left"/>
        <w:rPr>
          <w:rFonts w:ascii="Times New Roman" w:hAnsi="Times New Roman"/>
          <w:sz w:val="20"/>
        </w:rPr>
      </w:pPr>
      <w:r>
        <w:rPr>
          <w:rFonts w:ascii="Times New Roman" w:hAnsi="Times New Roman"/>
          <w:sz w:val="20"/>
        </w:rPr>
        <w:t xml:space="preserve">Dear [NAME], </w:t>
      </w:r>
    </w:p>
    <w:p>
      <w:pPr>
        <w:pStyle w:val="TextBody"/>
        <w:bidi w:val="0"/>
        <w:spacing w:before="240" w:after="0"/>
        <w:jc w:val="left"/>
        <w:rPr>
          <w:rFonts w:ascii="Times New Roman" w:hAnsi="Times New Roman"/>
          <w:sz w:val="20"/>
        </w:rPr>
      </w:pPr>
      <w:r>
        <w:rPr>
          <w:rFonts w:ascii="Times New Roman" w:hAnsi="Times New Roman"/>
          <w:sz w:val="20"/>
        </w:rPr>
        <w:t xml:space="preserve">I am writing with an exciting update regarding ChampionXs next chapter. Moments ago, we announced that ChampionX has agreed to be acquired by SLB. </w:t>
      </w:r>
    </w:p>
    <w:p>
      <w:pPr>
        <w:pStyle w:val="TextBody"/>
        <w:bidi w:val="0"/>
        <w:spacing w:before="240" w:after="0"/>
        <w:jc w:val="left"/>
        <w:rPr>
          <w:rFonts w:ascii="Times New Roman" w:hAnsi="Times New Roman"/>
          <w:sz w:val="20"/>
        </w:rPr>
      </w:pPr>
      <w:r>
        <w:rPr>
          <w:rFonts w:ascii="Times New Roman" w:hAnsi="Times New Roman"/>
          <w:sz w:val="20"/>
        </w:rPr>
        <w:t xml:space="preserve">As you may know, SLB is a Houston, Texas, based global technology company that drives energy innovation across its footprint in more than 100 countries. By bringing together our complementary services and technology capabilities, we believe we will be able to do an even better job of helping our customers achieve greater efficiency and longevity for producing assets. </w:t>
      </w:r>
    </w:p>
    <w:p>
      <w:pPr>
        <w:pStyle w:val="TextBody"/>
        <w:bidi w:val="0"/>
        <w:spacing w:before="240" w:after="0"/>
        <w:jc w:val="left"/>
        <w:rPr>
          <w:rFonts w:ascii="Times New Roman" w:hAnsi="Times New Roman"/>
          <w:sz w:val="20"/>
        </w:rPr>
      </w:pPr>
      <w:r>
        <w:rPr>
          <w:rFonts w:ascii="Times New Roman" w:hAnsi="Times New Roman"/>
          <w:sz w:val="20"/>
        </w:rPr>
        <w:t xml:space="preserve">We look forward to completing this transaction and will work diligently to integrate the businesses in a way that makes the transition the most seamless for all our stakeholders, including our partners. Until the transaction closes, which we currently anticipate occurring before the end of 2024, subject to the satisfaction or waiver of customary closing conditions, ChampionX and SLB will continue to function as independent companies. We will continue working with you as we always have, and your day-to-day contacts remain the same. </w:t>
      </w:r>
    </w:p>
    <w:p>
      <w:pPr>
        <w:pStyle w:val="TextBody"/>
        <w:bidi w:val="0"/>
        <w:spacing w:before="240" w:after="0"/>
        <w:jc w:val="left"/>
        <w:rPr>
          <w:rFonts w:ascii="Times New Roman" w:hAnsi="Times New Roman"/>
          <w:sz w:val="20"/>
        </w:rPr>
      </w:pPr>
      <w:r>
        <w:rPr>
          <w:rFonts w:ascii="Times New Roman" w:hAnsi="Times New Roman"/>
          <w:sz w:val="20"/>
        </w:rPr>
        <w:t xml:space="preserve">We will keep you informed and share updates to the extent we can as we work toward the closing of this transaction with SLB. As always, if you have any questions, please reach out [to your regular ChampionX contact / INSERT NAME]. </w:t>
      </w:r>
    </w:p>
    <w:p>
      <w:pPr>
        <w:pStyle w:val="TextBody"/>
        <w:bidi w:val="0"/>
        <w:spacing w:before="240" w:after="0"/>
        <w:jc w:val="left"/>
        <w:rPr>
          <w:rFonts w:ascii="Times New Roman" w:hAnsi="Times New Roman"/>
          <w:sz w:val="20"/>
        </w:rPr>
      </w:pPr>
      <w:r>
        <w:rPr>
          <w:rFonts w:ascii="Times New Roman" w:hAnsi="Times New Roman"/>
          <w:sz w:val="20"/>
        </w:rPr>
        <w:t xml:space="preserve">We value our important relationship with you and thank you for your continued support as we embark on the next phase of our journey. </w:t>
      </w:r>
    </w:p>
    <w:p>
      <w:pPr>
        <w:pStyle w:val="TextBody"/>
        <w:bidi w:val="0"/>
        <w:spacing w:before="240" w:after="0"/>
        <w:jc w:val="left"/>
        <w:rPr>
          <w:rFonts w:ascii="Times New Roman" w:hAnsi="Times New Roman"/>
          <w:sz w:val="20"/>
        </w:rPr>
      </w:pPr>
      <w:r>
        <w:rPr>
          <w:rFonts w:ascii="Times New Roman" w:hAnsi="Times New Roman"/>
          <w:sz w:val="20"/>
        </w:rPr>
        <w:t xml:space="preserve">Best Regards, </w:t>
      </w:r>
    </w:p>
    <w:p>
      <w:pPr>
        <w:pStyle w:val="TextBody"/>
        <w:bidi w:val="0"/>
        <w:spacing w:before="240" w:after="0"/>
        <w:jc w:val="left"/>
        <w:rPr>
          <w:rFonts w:ascii="Times New Roman" w:hAnsi="Times New Roman"/>
          <w:sz w:val="20"/>
        </w:rPr>
      </w:pPr>
      <w:r>
        <w:rPr>
          <w:rFonts w:ascii="Times New Roman" w:hAnsi="Times New Roman"/>
          <w:sz w:val="20"/>
        </w:rPr>
        <w:t xml:space="preserve">[Soma / INSERT]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communication contains forward-looking statements within the meaning of the Private Securities Litigation Reform Act of 1995, Section 27A of the Securities Act of 1933, as amended (the </w:t>
      </w:r>
      <w:r>
        <w:rPr>
          <w:rFonts w:ascii="Times New Roman" w:hAnsi="Times New Roman"/>
          <w:b/>
          <w:i/>
          <w:sz w:val="20"/>
        </w:rPr>
        <w:t>Securities Act</w:t>
      </w:r>
      <w:r>
        <w:rPr>
          <w:rFonts w:ascii="Times New Roman" w:hAnsi="Times New Roman"/>
          <w:sz w:val="20"/>
        </w:rPr>
        <w:t xml:space="preserve">), and Section 21E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Times New Roman" w:hAnsi="Times New Roman"/>
          <w:b/>
          <w:i/>
          <w:sz w:val="20"/>
        </w:rPr>
        <w:t>SEC</w:t>
      </w:r>
      <w:r>
        <w:rPr>
          <w:rFonts w:ascii="Times New Roman" w:hAnsi="Times New Roman"/>
          <w:sz w:val="20"/>
        </w:rPr>
        <w:t xml:space="preserve">)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240" w:after="0"/>
        <w:jc w:val="left"/>
        <w:rPr>
          <w:rFonts w:ascii="Times New Roman" w:hAnsi="Times New Roman"/>
          <w:sz w:val="20"/>
        </w:rPr>
      </w:pPr>
      <w:r>
        <w:rPr>
          <w:rFonts w:ascii="Times New Roman" w:hAnsi="Times New Roman"/>
          <w:sz w:val="20"/>
        </w:rPr>
        <w:t xml:space="preserve">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SLB intends to file with the SEC a registration statement on Form S-4 (the </w:t>
      </w:r>
      <w:r>
        <w:rPr>
          <w:rFonts w:ascii="Times New Roman" w:hAnsi="Times New Roman"/>
          <w:b/>
          <w:i/>
          <w:sz w:val="20"/>
        </w:rPr>
        <w:t>Form S-4</w:t>
      </w:r>
      <w:r>
        <w:rPr>
          <w:rFonts w:ascii="Times New Roman" w:hAnsi="Times New Roman"/>
          <w:sz w:val="20"/>
        </w:rPr>
        <w:t>) that will include a proxy statement of ChampionX and that also constitutes a prospectus of SLB with respect to the shares of SLB to be issued in the proposed transaction (the </w:t>
      </w:r>
      <w:r>
        <w:rPr>
          <w:rFonts w:ascii="Times New Roman" w:hAnsi="Times New Roman"/>
          <w:b/>
          <w:i/>
          <w:sz w:val="20"/>
        </w:rPr>
        <w:t>proxy statement/prospectus</w:t>
      </w:r>
      <w:r>
        <w:rPr>
          <w:rFonts w:ascii="Times New Roman" w:hAnsi="Times New Roman"/>
          <w:sz w:val="20"/>
        </w:rPr>
        <w:t xml:space="preserve">).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Meeting of Stockholders (</w:t>
      </w:r>
      <w:hyperlink r:id="rId2">
        <w:r>
          <w:rPr>
            <w:rStyle w:val="InternetLink"/>
            <w:rFonts w:ascii="Times New Roman" w:hAnsi="Times New Roman"/>
            <w:sz w:val="20"/>
          </w:rPr>
          <w:t xml:space="preserve">https://www.sec.gov/ix?doc=/Archives/edgar/data/0000087347/000130817924000033/lslb2024_def14a.htm </w:t>
        </w:r>
      </w:hyperlink>
      <w:r>
        <w:rPr>
          <w:rFonts w:ascii="Times New Roman" w:hAnsi="Times New Roman"/>
          <w:sz w:val="20"/>
        </w:rPr>
        <w:t>),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hyperlink r:id="rId3">
        <w:r>
          <w:rPr>
            <w:rStyle w:val="InternetLink"/>
            <w:rFonts w:ascii="Times New Roman" w:hAnsi="Times New Roman"/>
            <w:sz w:val="20"/>
          </w:rPr>
          <w:t>https://www.sec.gov/ix?doc=/Archives/edgar/data/0000087347/000095017024006884/slb-20231231.htm</w:t>
        </w:r>
      </w:hyperlink>
      <w:r>
        <w:rPr>
          <w:rFonts w:ascii="Times New Roman" w:hAnsi="Times New Roman"/>
          <w:sz w:val="20"/>
        </w:rPr>
        <w:t>),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w:t>
      </w:r>
      <w:hyperlink r:id="rId4">
        <w:r>
          <w:rPr>
            <w:rStyle w:val="InternetLink"/>
            <w:rFonts w:ascii="Times New Roman" w:hAnsi="Times New Roman"/>
            <w:sz w:val="20"/>
          </w:rPr>
          <w:t xml:space="preserve">https://www.sec.gov/ix?doc=/Archives/edgar/data/1723089/000172308923000073/championx-20230327.htm </w:t>
        </w:r>
      </w:hyperlink>
      <w:r>
        <w:rPr>
          <w:rFonts w:ascii="Times New Roman" w:hAnsi="Times New Roman"/>
          <w:sz w:val="20"/>
        </w:rPr>
        <w:t>),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w:t>
      </w:r>
      <w:hyperlink r:id="rId5">
        <w:r>
          <w:rPr>
            <w:rStyle w:val="InternetLink"/>
            <w:rFonts w:ascii="Times New Roman" w:hAnsi="Times New Roman"/>
            <w:sz w:val="20"/>
          </w:rPr>
          <w:t>https://www.sec.gov/ix?doc=/Archives/edgar/data/1723089/000172308924000011/championx-20231231.htm</w:t>
        </w:r>
      </w:hyperlink>
      <w:r>
        <w:rPr>
          <w:rFonts w:ascii="Times New Roman" w:hAnsi="Times New Roman"/>
          <w:sz w:val="20"/>
        </w:rPr>
        <w:t xml:space="preserve">),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0087347/000130817924000033/lslb2024_def14a.htm" TargetMode="External"/><Relationship Id="rId3" Type="http://schemas.openxmlformats.org/officeDocument/2006/relationships/hyperlink" Target="http://www.sec.gov/Archives/edgar/data/../../../ix?doc=/Archives/edgar/data/0000087347/000095017024006884/slb-20231231.htm" TargetMode="External"/><Relationship Id="rId4" Type="http://schemas.openxmlformats.org/officeDocument/2006/relationships/hyperlink" Target="http://www.sec.gov/Archives/edgar/data/../../../ix?doc=/Archives/edgar/data/1723089/000172308923000073/championx-20230327.htm" TargetMode="External"/><Relationship Id="rId5" Type="http://schemas.openxmlformats.org/officeDocument/2006/relationships/hyperlink" Target="http://www.sec.gov/Archives/edgar/data/../../../ix?doc=/Archives/edgar/data/1723089/000172308924000011/championx-202312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2514</Words>
  <Characters>13657</Characters>
  <CharactersWithSpaces>15948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