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 September 4, 2018, Paal Kibsgaard, Chairman and Chief Executive Officer of Schlumberger Limited (“Schlumberger”), presented at the 2018 Barclays CEO Energy-Power Conference in New York, New York, and discussed, among other things, Schlumberger’s business outlook. The presentation and slides are available on the Schlumberger Investor Relations website at http://www.slb.com/news/presentations.aspx and http://investorcenter.slb.com/phoenix.zhtml?c=97513&amp;p=irol-presentations.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our product lines (and for specified products or geographic areas within each product line); oil and natural gas demand and production growth; oil and natural gas prices; rig activity, pricing; access to sand; improvements in operating procedures and technology, including our transformation program; our stock repurchase program and dividend strategy; capital expenditures by Schlumberger and the oil and gas industry; the business strategies of Schlumberger’s customers; the success of Schlumberger’s SPM projects; the success of Schlumberger’s acquisitions,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the inability to procure or produce sand; our inability to meet our financial and performance targets and other forecasts or expectations, such as revenue and free cash flow conversion; operational modifications, delays or cancellations; production declines; the inability to close pending transactions;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pacing w:after="0" w:line="38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presentation referred to above contains non-GAAP financial information. Reconciliations between such non-GAAP measures to their most comparable GAAP financial measures are available in the exhibit furnished with this Current Report.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400" w:hanging="396"/>
        <w:spacing w:after="0"/>
        <w:tabs>
          <w:tab w:leader="none" w:pos="40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Reconciliation of Non-GAAP Financial Measures</w:t>
        </w:r>
      </w:hyperlink>
    </w:p>
    <w:p>
      <w:pPr>
        <w:sectPr>
          <w:pgSz w:w="11900" w:h="16838" w:orient="portrait"/>
          <w:cols w:equalWidth="0" w:num="1">
            <w:col w:w="11020"/>
          </w:cols>
          <w:pgMar w:left="440" w:top="270"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2018</w:t>
      </w:r>
    </w:p>
    <w:p>
      <w:pPr>
        <w:sectPr>
          <w:pgSz w:w="11900" w:h="16838" w:orient="portrait"/>
          <w:cols w:equalWidth="0" w:num="1">
            <w:col w:w="10780"/>
          </w:cols>
          <w:pgMar w:left="440" w:top="270"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4"/>
              </w:rPr>
              <w:t>Exhibit 99</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gridSpan w:val="11"/>
          </w:tcPr>
          <w:p>
            <w:pPr>
              <w:jc w:val="center"/>
              <w:ind w:right="400"/>
              <w:spacing w:after="0"/>
              <w:rPr>
                <w:sz w:val="20"/>
                <w:szCs w:val="20"/>
                <w:color w:val="auto"/>
              </w:rPr>
            </w:pPr>
            <w:r>
              <w:rPr>
                <w:rFonts w:ascii="Arial" w:cs="Arial" w:eastAsia="Arial" w:hAnsi="Arial"/>
                <w:sz w:val="18"/>
                <w:szCs w:val="18"/>
                <w:b w:val="1"/>
                <w:bCs w:val="1"/>
                <w:color w:val="auto"/>
              </w:rPr>
              <w:t>SCHLUMBERGER LIMITED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6"/>
          </w:tcPr>
          <w:p>
            <w:pPr>
              <w:jc w:val="center"/>
              <w:ind w:left="331"/>
              <w:spacing w:after="0"/>
              <w:rPr>
                <w:sz w:val="20"/>
                <w:szCs w:val="20"/>
                <w:color w:val="auto"/>
              </w:rPr>
            </w:pPr>
            <w:r>
              <w:rPr>
                <w:rFonts w:ascii="Arial" w:cs="Arial" w:eastAsia="Arial" w:hAnsi="Arial"/>
                <w:sz w:val="18"/>
                <w:szCs w:val="18"/>
                <w:b w:val="1"/>
                <w:bCs w:val="1"/>
                <w:color w:val="auto"/>
              </w:rPr>
              <w:t>EBITDA Margin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6"/>
          </w:tcPr>
          <w:p>
            <w:pPr>
              <w:jc w:val="center"/>
              <w:ind w:left="311"/>
              <w:spacing w:after="0"/>
              <w:rPr>
                <w:sz w:val="20"/>
                <w:szCs w:val="20"/>
                <w:color w:val="auto"/>
              </w:rPr>
            </w:pPr>
            <w:r>
              <w:rPr>
                <w:rFonts w:ascii="Arial" w:cs="Arial" w:eastAsia="Arial" w:hAnsi="Arial"/>
                <w:sz w:val="18"/>
                <w:szCs w:val="18"/>
                <w:b w:val="1"/>
                <w:bCs w:val="1"/>
                <w:color w:val="auto"/>
                <w:w w:val="89"/>
              </w:rPr>
              <w:t>(stated 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36,579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41,731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45,266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48,580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30,440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(GAAP basis)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4,526</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5,259</w:t>
            </w:r>
          </w:p>
        </w:tc>
        <w:tc>
          <w:tcPr>
            <w:tcW w:w="3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6,843</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5,711</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2,135</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(1,627)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Tax expense (benefit)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b w:val="1"/>
                <w:bCs w:val="1"/>
                <w:color w:val="auto"/>
              </w:rPr>
              <w:t>Charges &amp; credits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Interest expense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b w:val="1"/>
                <w:bCs w:val="1"/>
                <w:color w:val="auto"/>
              </w:rPr>
              <w:t>Interest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Depreciation and amortization expense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11,078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12,509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13,826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EBITDA margin </w:t>
            </w:r>
            <w:r>
              <w:rPr>
                <w:rFonts w:ascii="Arial" w:cs="Arial" w:eastAsia="Arial" w:hAnsi="Arial"/>
                <w:sz w:val="15"/>
                <w:szCs w:val="15"/>
                <w:b w:val="1"/>
                <w:bCs w:val="1"/>
                <w:color w:val="auto"/>
              </w:rPr>
              <w:t>(1)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216"/>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EBITDA divided by revenue</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2019-12-28T19:33:04Z</dcterms:created>
  <dcterms:modified xsi:type="dcterms:W3CDTF">2019-12-28T19:33:04Z</dcterms:modified>
</cp:coreProperties>
</file>