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3"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Schlumberger Limited</w:t>
      </w:r>
    </w:p>
    <w:p>
      <w:pPr>
        <w:spacing w:after="0" w:line="3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806857108</w:t>
      </w:r>
    </w:p>
    <w:p>
      <w:pPr>
        <w:spacing w:after="0" w:line="3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2007</w:t>
      </w:r>
    </w:p>
    <w:p>
      <w:pPr>
        <w:spacing w:after="0" w:line="3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right="841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49" w:lineRule="exact"/>
        <w:rPr>
          <w:sz w:val="24"/>
          <w:szCs w:val="24"/>
          <w:color w:val="auto"/>
        </w:rPr>
      </w:pPr>
    </w:p>
    <w:p>
      <w:pPr>
        <w:jc w:val="both"/>
        <w:ind w:right="283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30" w:lineRule="exact"/>
        <w:rPr>
          <w:rFonts w:ascii="Courier New" w:cs="Courier New" w:eastAsia="Courier New" w:hAnsi="Courier New"/>
          <w:sz w:val="18"/>
          <w:szCs w:val="18"/>
          <w:color w:val="auto"/>
        </w:rPr>
      </w:pPr>
    </w:p>
    <w:p>
      <w:pPr>
        <w:ind w:left="540" w:right="34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253"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spacing w:after="0" w:line="31" w:lineRule="exact"/>
        <w:rPr>
          <w:sz w:val="24"/>
          <w:szCs w:val="24"/>
          <w:color w:val="auto"/>
        </w:rPr>
      </w:pPr>
    </w:p>
    <w:p>
      <w:pPr>
        <w:ind w:left="540"/>
        <w:spacing w:after="0"/>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169"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31" w:lineRule="exact"/>
        <w:rPr>
          <w:sz w:val="24"/>
          <w:szCs w:val="24"/>
          <w:color w:val="auto"/>
        </w:rPr>
      </w:pPr>
    </w:p>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72" w:lineRule="exact"/>
        <w:rPr>
          <w:sz w:val="24"/>
          <w:szCs w:val="24"/>
          <w:color w:val="auto"/>
        </w:rPr>
      </w:pPr>
    </w:p>
    <w:p>
      <w:pPr>
        <w:ind w:left="540" w:right="5899" w:hanging="427"/>
        <w:spacing w:after="0" w:line="58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7011" w:orient="portrait"/>
          <w:cols w:equalWidth="0" w:num="1">
            <w:col w:w="10219"/>
          </w:cols>
          <w:pgMar w:left="240" w:top="218" w:right="1440" w:bottom="0" w:gutter="0" w:footer="0" w:header="0"/>
        </w:sectPr>
      </w:pPr>
    </w:p>
    <w:bookmarkStart w:id="1" w:name="page2"/>
    <w:bookmarkEnd w:id="1"/>
    <w:p>
      <w:pPr>
        <w:ind w:left="1900" w:right="6639" w:hanging="523"/>
        <w:spacing w:after="0" w:line="585"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NUMBER OF</w:t>
      </w:r>
    </w:p>
    <w:p>
      <w:pPr>
        <w:ind w:left="320"/>
        <w:spacing w:after="0" w:line="238" w:lineRule="auto"/>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8"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NONE</w:t>
      </w:r>
    </w:p>
    <w:p>
      <w:pPr>
        <w:ind w:left="320"/>
        <w:spacing w:after="0" w:line="238"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900" w:right="5899" w:hanging="523"/>
        <w:spacing w:after="0" w:line="458"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right="241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NONE PLEASE NOTE: Capital Research and Management Company (CRMC) manages assets subject to reporting on Schedule 13G through two investment divisions, Capital Research Global Investors (CRGI) and Capital World Investors (CWI). CRGI and CWI make independent investment and proxy voting decisions, and therefore have begun filing separate ownership reports on Schedule 13G reflecting December 31, 2007 holdings in lieu of CRMC filing. As CRMC is no longer subject to a reporting requirement, it is filing reports indicating 0% ownership to close out its holdings and will cease making future filings as an entity. Note that CRGI and/or CWI may not have made filings for certain securities held as of December 31, 2007 because</w:t>
      </w:r>
    </w:p>
    <w:p>
      <w:pPr>
        <w:spacing w:after="0" w:line="184" w:lineRule="exact"/>
        <w:rPr>
          <w:sz w:val="20"/>
          <w:szCs w:val="20"/>
          <w:color w:val="auto"/>
        </w:rPr>
      </w:pPr>
    </w:p>
    <w:p>
      <w:pPr>
        <w:ind w:left="540" w:right="3159"/>
        <w:spacing w:after="0" w:line="238" w:lineRule="auto"/>
        <w:rPr>
          <w:sz w:val="20"/>
          <w:szCs w:val="20"/>
          <w:color w:val="auto"/>
        </w:rPr>
      </w:pPr>
      <w:r>
        <w:rPr>
          <w:rFonts w:ascii="Courier New" w:cs="Courier New" w:eastAsia="Courier New" w:hAnsi="Courier New"/>
          <w:sz w:val="18"/>
          <w:szCs w:val="18"/>
          <w:color w:val="auto"/>
        </w:rPr>
        <w:t>one or both divisions did not have a reporting obligation with respect to such securities.</w:t>
      </w:r>
    </w:p>
    <w:p>
      <w:pPr>
        <w:spacing w:after="0" w:line="1" w:lineRule="exact"/>
        <w:rPr>
          <w:sz w:val="20"/>
          <w:szCs w:val="20"/>
          <w:color w:val="auto"/>
        </w:rPr>
      </w:pPr>
    </w:p>
    <w:p>
      <w:pPr>
        <w:ind w:left="540" w:right="2519" w:hanging="427"/>
        <w:spacing w:after="0" w:line="309"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53" w:lineRule="exact"/>
        <w:rPr>
          <w:rFonts w:ascii="Courier New" w:cs="Courier New" w:eastAsia="Courier New" w:hAnsi="Courier New"/>
          <w:sz w:val="18"/>
          <w:szCs w:val="18"/>
          <w:color w:val="auto"/>
        </w:rPr>
      </w:pPr>
    </w:p>
    <w:p>
      <w:pPr>
        <w:ind w:left="540" w:right="4739" w:hanging="427"/>
        <w:spacing w:after="0" w:line="58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 See explanation in Row 9</w:t>
      </w:r>
    </w:p>
    <w:p>
      <w:pPr>
        <w:spacing w:after="0" w:line="200" w:lineRule="exact"/>
        <w:rPr>
          <w:sz w:val="20"/>
          <w:szCs w:val="20"/>
          <w:color w:val="auto"/>
        </w:rPr>
      </w:pPr>
    </w:p>
    <w:p>
      <w:pPr>
        <w:spacing w:after="0" w:line="22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2 of 5</w:t>
      </w:r>
    </w:p>
    <w:p>
      <w:pPr>
        <w:spacing w:after="0" w:line="201" w:lineRule="exact"/>
        <w:rPr>
          <w:sz w:val="20"/>
          <w:szCs w:val="20"/>
          <w:color w:val="auto"/>
        </w:rPr>
      </w:pPr>
    </w:p>
    <w:p>
      <w:pPr>
        <w:ind w:left="540" w:right="5159" w:hanging="427"/>
        <w:spacing w:after="0" w:line="58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38" w:orient="portrait"/>
          <w:cols w:equalWidth="0" w:num="1">
            <w:col w:w="10219"/>
          </w:cols>
          <w:pgMar w:left="240" w:top="110"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CUSIP: 806857108</w:t>
            </w:r>
          </w:p>
        </w:tc>
        <w:tc>
          <w:tcPr>
            <w:tcW w:w="5320" w:type="dxa"/>
            <w:vAlign w:val="bottom"/>
          </w:tcPr>
          <w:p>
            <w:pPr>
              <w:ind w:left="4160"/>
              <w:spacing w:after="0"/>
              <w:rPr>
                <w:sz w:val="20"/>
                <w:szCs w:val="20"/>
                <w:color w:val="auto"/>
              </w:rPr>
            </w:pPr>
            <w:r>
              <w:rPr>
                <w:rFonts w:ascii="Courier New" w:cs="Courier New" w:eastAsia="Courier New" w:hAnsi="Courier New"/>
                <w:sz w:val="18"/>
                <w:szCs w:val="18"/>
                <w:color w:val="auto"/>
                <w:w w:val="95"/>
              </w:rPr>
              <w:t>Page 3 of 5</w:t>
            </w:r>
          </w:p>
        </w:tc>
        <w:tc>
          <w:tcPr>
            <w:tcW w:w="0" w:type="dxa"/>
            <w:vAlign w:val="bottom"/>
          </w:tcPr>
          <w:p>
            <w:pPr>
              <w:spacing w:after="0"/>
              <w:rPr>
                <w:sz w:val="1"/>
                <w:szCs w:val="1"/>
                <w:color w:val="auto"/>
              </w:rPr>
            </w:pPr>
          </w:p>
        </w:tc>
      </w:tr>
      <w:tr>
        <w:trPr>
          <w:trHeight w:val="514"/>
        </w:trPr>
        <w:tc>
          <w:tcPr>
            <w:tcW w:w="1220" w:type="dxa"/>
            <w:vAlign w:val="bottom"/>
          </w:tcPr>
          <w:p>
            <w:pPr>
              <w:spacing w:after="0"/>
              <w:rPr>
                <w:sz w:val="24"/>
                <w:szCs w:val="24"/>
                <w:color w:val="auto"/>
              </w:rPr>
            </w:pPr>
          </w:p>
        </w:tc>
        <w:tc>
          <w:tcPr>
            <w:tcW w:w="668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SECURITIES AND EXCHANGE COMMISSION</w:t>
            </w: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Washington, DC 20549</w:t>
            </w: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4"/>
                <w:szCs w:val="24"/>
                <w:color w:val="auto"/>
              </w:rPr>
            </w:pPr>
          </w:p>
        </w:tc>
        <w:tc>
          <w:tcPr>
            <w:tcW w:w="136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Under the</w:t>
            </w:r>
          </w:p>
        </w:tc>
        <w:tc>
          <w:tcPr>
            <w:tcW w:w="5320" w:type="dxa"/>
            <w:vAlign w:val="bottom"/>
          </w:tcPr>
          <w:p>
            <w:pPr>
              <w:ind w:left="480"/>
              <w:spacing w:after="0"/>
              <w:rPr>
                <w:sz w:val="20"/>
                <w:szCs w:val="20"/>
                <w:color w:val="auto"/>
              </w:rPr>
            </w:pPr>
            <w:r>
              <w:rPr>
                <w:rFonts w:ascii="Courier New" w:cs="Courier New" w:eastAsia="Courier New" w:hAnsi="Courier New"/>
                <w:sz w:val="18"/>
                <w:szCs w:val="18"/>
                <w:color w:val="auto"/>
              </w:rPr>
              <w:t>Schedule 13G</w:t>
            </w: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Securities Exchange Act of 1934</w:t>
            </w:r>
          </w:p>
        </w:tc>
        <w:tc>
          <w:tcPr>
            <w:tcW w:w="0" w:type="dxa"/>
            <w:vAlign w:val="bottom"/>
          </w:tcPr>
          <w:p>
            <w:pPr>
              <w:spacing w:after="0"/>
              <w:rPr>
                <w:sz w:val="1"/>
                <w:szCs w:val="1"/>
                <w:color w:val="auto"/>
              </w:rPr>
            </w:pPr>
          </w:p>
        </w:tc>
      </w:tr>
      <w:tr>
        <w:trPr>
          <w:trHeight w:val="405"/>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Amendment No. 4</w:t>
            </w:r>
          </w:p>
        </w:tc>
        <w:tc>
          <w:tcPr>
            <w:tcW w:w="5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c>
          <w:tcPr>
            <w:tcW w:w="0" w:type="dxa"/>
            <w:vAlign w:val="bottom"/>
          </w:tcPr>
          <w:p>
            <w:pPr>
              <w:spacing w:after="0"/>
              <w:rPr>
                <w:sz w:val="1"/>
                <w:szCs w:val="1"/>
                <w:color w:val="auto"/>
              </w:rPr>
            </w:pPr>
          </w:p>
        </w:tc>
      </w:tr>
      <w:tr>
        <w:trPr>
          <w:trHeight w:val="296"/>
        </w:trPr>
        <w:tc>
          <w:tcPr>
            <w:tcW w:w="7900" w:type="dxa"/>
            <w:vAlign w:val="bottom"/>
            <w:gridSpan w:val="3"/>
          </w:tcPr>
          <w:p>
            <w:pPr>
              <w:ind w:left="740"/>
              <w:spacing w:after="0"/>
              <w:rPr>
                <w:sz w:val="20"/>
                <w:szCs w:val="20"/>
                <w:color w:val="auto"/>
              </w:rPr>
            </w:pPr>
            <w:r>
              <w:rPr>
                <w:rFonts w:ascii="Courier New" w:cs="Courier New" w:eastAsia="Courier New" w:hAnsi="Courier New"/>
                <w:sz w:val="18"/>
                <w:szCs w:val="18"/>
                <w:color w:val="auto"/>
              </w:rPr>
              <w:t>Schlumberger Limited</w:t>
            </w: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w w:val="99"/>
              </w:rPr>
              <w:t>Address of</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Issuer's Principal Executive Offices:</w:t>
            </w:r>
          </w:p>
        </w:tc>
        <w:tc>
          <w:tcPr>
            <w:tcW w:w="0" w:type="dxa"/>
            <w:vAlign w:val="bottom"/>
          </w:tcPr>
          <w:p>
            <w:pPr>
              <w:spacing w:after="0"/>
              <w:rPr>
                <w:sz w:val="1"/>
                <w:szCs w:val="1"/>
                <w:color w:val="auto"/>
              </w:rPr>
            </w:pPr>
          </w:p>
        </w:tc>
      </w:tr>
      <w:tr>
        <w:trPr>
          <w:trHeight w:val="203"/>
        </w:trPr>
        <w:tc>
          <w:tcPr>
            <w:tcW w:w="25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5599 San Felipe</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17th Floor</w:t>
            </w:r>
          </w:p>
        </w:tc>
        <w:tc>
          <w:tcPr>
            <w:tcW w:w="0" w:type="dxa"/>
            <w:vAlign w:val="bottom"/>
          </w:tcPr>
          <w:p>
            <w:pPr>
              <w:spacing w:after="0"/>
              <w:rPr>
                <w:sz w:val="1"/>
                <w:szCs w:val="1"/>
                <w:color w:val="auto"/>
              </w:rPr>
            </w:pPr>
          </w:p>
        </w:tc>
      </w:tr>
      <w:tr>
        <w:trPr>
          <w:trHeight w:val="296"/>
        </w:trPr>
        <w:tc>
          <w:tcPr>
            <w:tcW w:w="258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Houston TX 77056</w:t>
            </w:r>
          </w:p>
        </w:tc>
        <w:tc>
          <w:tcPr>
            <w:tcW w:w="5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Person(s) Filing:</w:t>
            </w:r>
          </w:p>
        </w:tc>
        <w:tc>
          <w:tcPr>
            <w:tcW w:w="0" w:type="dxa"/>
            <w:vAlign w:val="bottom"/>
          </w:tcPr>
          <w:p>
            <w:pPr>
              <w:spacing w:after="0"/>
              <w:rPr>
                <w:sz w:val="1"/>
                <w:szCs w:val="1"/>
                <w:color w:val="auto"/>
              </w:rPr>
            </w:pPr>
          </w:p>
        </w:tc>
      </w:tr>
      <w:tr>
        <w:trPr>
          <w:trHeight w:val="296"/>
        </w:trPr>
        <w:tc>
          <w:tcPr>
            <w:tcW w:w="7900" w:type="dxa"/>
            <w:vAlign w:val="bottom"/>
            <w:gridSpan w:val="3"/>
          </w:tcPr>
          <w:p>
            <w:pPr>
              <w:ind w:left="740"/>
              <w:spacing w:after="0"/>
              <w:rPr>
                <w:sz w:val="20"/>
                <w:szCs w:val="20"/>
                <w:color w:val="auto"/>
              </w:rPr>
            </w:pPr>
            <w:r>
              <w:rPr>
                <w:rFonts w:ascii="Courier New" w:cs="Courier New" w:eastAsia="Courier New" w:hAnsi="Courier New"/>
                <w:sz w:val="18"/>
                <w:szCs w:val="18"/>
                <w:color w:val="auto"/>
              </w:rPr>
              <w:t>Capital Research and Management Company</w:t>
            </w:r>
          </w:p>
        </w:tc>
        <w:tc>
          <w:tcPr>
            <w:tcW w:w="0" w:type="dxa"/>
            <w:vAlign w:val="bottom"/>
          </w:tcPr>
          <w:p>
            <w:pPr>
              <w:spacing w:after="0"/>
              <w:rPr>
                <w:sz w:val="1"/>
                <w:szCs w:val="1"/>
                <w:color w:val="auto"/>
              </w:rPr>
            </w:pPr>
          </w:p>
        </w:tc>
      </w:tr>
      <w:tr>
        <w:trPr>
          <w:trHeight w:val="343"/>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w w:val="99"/>
              </w:rPr>
              <w:t>Address of</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Principal Business Office or, if none,</w:t>
            </w:r>
          </w:p>
        </w:tc>
        <w:tc>
          <w:tcPr>
            <w:tcW w:w="0" w:type="dxa"/>
            <w:vAlign w:val="bottom"/>
          </w:tcPr>
          <w:p>
            <w:pPr>
              <w:spacing w:after="0"/>
              <w:rPr>
                <w:sz w:val="1"/>
                <w:szCs w:val="1"/>
                <w:color w:val="auto"/>
              </w:rPr>
            </w:pPr>
          </w:p>
        </w:tc>
      </w:tr>
    </w:tbl>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169"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806857108</w:t>
      </w:r>
    </w:p>
    <w:p>
      <w:pPr>
        <w:spacing w:after="0" w:line="169"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or 240.13d-2(b) or (c), check whether the person filing is a:</w:t>
      </w:r>
    </w:p>
    <w:p>
      <w:pPr>
        <w:ind w:left="1280" w:right="3479" w:hanging="535"/>
        <w:spacing w:after="0" w:line="309" w:lineRule="auto"/>
        <w:tabs>
          <w:tab w:leader="none" w:pos="170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740" w:right="2939"/>
        <w:spacing w:after="0" w:line="292"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69" w:lineRule="exact"/>
        <w:rPr>
          <w:sz w:val="20"/>
          <w:szCs w:val="20"/>
          <w:color w:val="auto"/>
        </w:rPr>
      </w:pP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30" w:lineRule="exact"/>
        <w:rPr>
          <w:rFonts w:ascii="Courier New" w:cs="Courier New" w:eastAsia="Courier New" w:hAnsi="Courier New"/>
          <w:sz w:val="18"/>
          <w:szCs w:val="18"/>
          <w:color w:val="auto"/>
        </w:rPr>
      </w:pP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ectPr>
          <w:pgSz w:w="11900" w:h="16838" w:orient="portrait"/>
          <w:cols w:equalWidth="0" w:num="1">
            <w:col w:w="10219"/>
          </w:cols>
          <w:pgMar w:left="240" w:top="1440" w:right="1440" w:bottom="0" w:gutter="0" w:footer="0" w:header="0"/>
        </w:sectPr>
      </w:pPr>
    </w:p>
    <w:bookmarkStart w:id="3" w:name="page4"/>
    <w:bookmarkEnd w:id="3"/>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740" w:right="2839" w:hanging="736"/>
        <w:spacing w:after="0" w:line="265"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9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4 of 5</w:t>
      </w:r>
    </w:p>
    <w:p>
      <w:pPr>
        <w:spacing w:after="0" w:line="201" w:lineRule="exact"/>
        <w:rPr>
          <w:sz w:val="20"/>
          <w:szCs w:val="20"/>
          <w:color w:val="auto"/>
        </w:rPr>
      </w:pPr>
    </w:p>
    <w:p>
      <w:pPr>
        <w:ind w:left="740" w:right="3159" w:hanging="736"/>
        <w:spacing w:after="0" w:line="34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21" w:lineRule="exact"/>
        <w:rPr>
          <w:sz w:val="20"/>
          <w:szCs w:val="20"/>
          <w:color w:val="auto"/>
        </w:rPr>
      </w:pPr>
    </w:p>
    <w:p>
      <w:pPr>
        <w:jc w:val="both"/>
        <w:ind w:left="740" w:right="3039" w:hanging="736"/>
        <w:spacing w:after="0" w:line="292"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 N/A</w:t>
      </w:r>
    </w:p>
    <w:p>
      <w:pPr>
        <w:spacing w:after="0" w:line="6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169"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740" w:right="2839"/>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740" w:right="31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312" w:right="1440" w:bottom="1440" w:gutter="0" w:footer="0" w:header="0"/>
        </w:sectPr>
      </w:pPr>
    </w:p>
    <w:p>
      <w:pPr>
        <w:spacing w:after="0" w:line="26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13, 2008</w:t>
      </w:r>
    </w:p>
    <w:p>
      <w:pPr>
        <w:spacing w:after="0" w:line="200" w:lineRule="exact"/>
        <w:rPr>
          <w:sz w:val="20"/>
          <w:szCs w:val="20"/>
          <w:color w:val="auto"/>
        </w:rPr>
      </w:pPr>
    </w:p>
    <w:p>
      <w:pPr>
        <w:sectPr>
          <w:pgSz w:w="11900" w:h="16838" w:orient="portrait"/>
          <w:cols w:equalWidth="0" w:num="2">
            <w:col w:w="1720" w:space="720"/>
            <w:col w:w="7779"/>
          </w:cols>
          <w:pgMar w:left="240" w:top="312" w:right="1440" w:bottom="1440" w:gutter="0" w:footer="0" w:header="0"/>
          <w:type w:val="continuous"/>
        </w:sectPr>
      </w:pPr>
    </w:p>
    <w:p>
      <w:pPr>
        <w:spacing w:after="0" w:line="2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G. Haaga, Jr.^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G. Haaga, Jr. - Vice Chairman</w:t>
      </w:r>
    </w:p>
    <w:p>
      <w:pPr>
        <w:spacing w:after="0"/>
        <w:rPr>
          <w:sz w:val="20"/>
          <w:szCs w:val="20"/>
          <w:color w:val="auto"/>
        </w:rPr>
      </w:pPr>
      <w:r>
        <w:rPr>
          <w:rFonts w:ascii="Courier New" w:cs="Courier New" w:eastAsia="Courier New" w:hAnsi="Courier New"/>
          <w:sz w:val="16"/>
          <w:szCs w:val="16"/>
          <w:color w:val="auto"/>
        </w:rPr>
        <w:t>Capital Research and Management Company</w:t>
      </w:r>
    </w:p>
    <w:p>
      <w:pPr>
        <w:spacing w:after="0" w:line="200" w:lineRule="exact"/>
        <w:rPr>
          <w:sz w:val="20"/>
          <w:szCs w:val="20"/>
          <w:color w:val="auto"/>
        </w:rPr>
      </w:pPr>
    </w:p>
    <w:p>
      <w:pPr>
        <w:sectPr>
          <w:pgSz w:w="11900" w:h="16838" w:orient="portrait"/>
          <w:cols w:equalWidth="0" w:num="2">
            <w:col w:w="2000" w:space="440"/>
            <w:col w:w="7779"/>
          </w:cols>
          <w:pgMar w:left="240" w:top="312" w:right="1440" w:bottom="1440" w:gutter="0" w:footer="0" w:header="0"/>
          <w:type w:val="continuous"/>
        </w:sectPr>
      </w:pPr>
    </w:p>
    <w:p>
      <w:pPr>
        <w:spacing w:after="0" w:line="39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Michele Y. Yang</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Michele Y. Yang</w:t>
      </w:r>
    </w:p>
    <w:p>
      <w:pPr>
        <w:spacing w:after="0"/>
        <w:rPr>
          <w:sz w:val="20"/>
          <w:szCs w:val="20"/>
          <w:color w:val="auto"/>
        </w:rPr>
      </w:pPr>
      <w:r>
        <w:rPr>
          <w:rFonts w:ascii="Courier New" w:cs="Courier New" w:eastAsia="Courier New" w:hAnsi="Courier New"/>
          <w:sz w:val="18"/>
          <w:szCs w:val="18"/>
          <w:color w:val="auto"/>
        </w:rPr>
        <w:t>Attorney-in-fact</w:t>
      </w:r>
    </w:p>
    <w:p>
      <w:pPr>
        <w:spacing w:after="0" w:line="169" w:lineRule="exact"/>
        <w:rPr>
          <w:sz w:val="20"/>
          <w:szCs w:val="20"/>
          <w:color w:val="auto"/>
        </w:rPr>
      </w:pPr>
    </w:p>
    <w:p>
      <w:pPr>
        <w:sectPr>
          <w:pgSz w:w="11900" w:h="16838" w:orient="portrait"/>
          <w:cols w:equalWidth="0" w:num="2">
            <w:col w:w="1160" w:space="420"/>
            <w:col w:w="8639"/>
          </w:cols>
          <w:pgMar w:left="240" w:top="312" w:right="1440" w:bottom="1440" w:gutter="0" w:footer="0" w:header="0"/>
          <w:type w:val="continuous"/>
        </w:sectPr>
      </w:pPr>
    </w:p>
    <w:p>
      <w:pPr>
        <w:ind w:left="1060" w:right="2839"/>
        <w:spacing w:after="0" w:line="265" w:lineRule="auto"/>
        <w:rPr>
          <w:sz w:val="20"/>
          <w:szCs w:val="20"/>
          <w:color w:val="auto"/>
        </w:rPr>
      </w:pPr>
      <w:r>
        <w:rPr>
          <w:rFonts w:ascii="Courier New" w:cs="Courier New" w:eastAsia="Courier New" w:hAnsi="Courier New"/>
          <w:sz w:val="18"/>
          <w:szCs w:val="18"/>
          <w:color w:val="auto"/>
        </w:rPr>
        <w:t>Signed pursuant to a Power of Attorney dated December 21, 2007 included as an Exhibit to Schedule 13G filed with the Securities and Exchange Commission by Capital Research and Management Company on January 10, 2008 with respect to Lowes Companies,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5"/>
      <w:numFmt w:val="bullet"/>
      <w:start w:val="1"/>
    </w:lvl>
  </w:abstractNum>
  <w:abstractNum w:abstractNumId="6">
    <w:nsid w:val="4DB127F8"/>
    <w:multiLevelType w:val="hybridMultilevel"/>
    <w:lvl w:ilvl="0">
      <w:lvlJc w:val="left"/>
      <w:lvlText w:val="8"/>
      <w:numFmt w:val="bullet"/>
      <w:start w:val="1"/>
    </w:lvl>
  </w:abstractNum>
  <w:abstractNum w:abstractNumId="7">
    <w:nsid w:val="216231B"/>
    <w:multiLevelType w:val="hybridMultilevel"/>
    <w:lvl w:ilvl="0">
      <w:lvlJc w:val="left"/>
      <w:lvlText w:val="9"/>
      <w:numFmt w:val="bullet"/>
      <w:start w:val="1"/>
    </w:lvl>
  </w:abstractNum>
  <w:abstractNum w:abstractNumId="8">
    <w:nsid w:val="1F16E9E8"/>
    <w:multiLevelType w:val="hybridMultilevel"/>
    <w:lvl w:ilvl="0">
      <w:lvlJc w:val="left"/>
      <w:lvlText w:val="%1"/>
      <w:numFmt w:val="decimal"/>
      <w:start w:val="10"/>
    </w:lvl>
  </w:abstractNum>
  <w:abstractNum w:abstractNumId="9">
    <w:nsid w:val="1190CDE7"/>
    <w:multiLevelType w:val="hybridMultilevel"/>
    <w:lvl w:ilvl="0">
      <w:lvlJc w:val="left"/>
      <w:lvlText w:val="%1"/>
      <w:numFmt w:val="decimal"/>
      <w:start w:val="12"/>
    </w:lvl>
  </w:abstractNum>
  <w:abstractNum w:abstractNumId="10">
    <w:nsid w:val="66EF438D"/>
    <w:multiLevelType w:val="hybridMultilevel"/>
    <w:lvl w:ilvl="0">
      <w:lvlJc w:val="left"/>
      <w:lvlText w:val="(%1)"/>
      <w:numFmt w:val="lowerLetter"/>
      <w:start w:val="5"/>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2019-12-11T13:21:00Z</dcterms:created>
  <dcterms:modified xsi:type="dcterms:W3CDTF">2019-12-11T13:21:00Z</dcterms:modified>
</cp:coreProperties>
</file>