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LTD SHS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806857108</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2009</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806857108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4"/>
          <w:szCs w:val="24"/>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4"/>
          <w:szCs w:val="24"/>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4"/>
          <w:szCs w:val="24"/>
          <w:color w:val="auto"/>
        </w:rPr>
      </w:pPr>
    </w:p>
    <w:p>
      <w:pPr>
        <w:spacing w:after="0" w:line="206"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(5)Sole voting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65098478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(6)Shared voting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(7)Sole dispositive power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65098478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(8)Shared dispositive power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(9)Aggregate amount beneficially owned by each reporting person</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65098478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(10)Check if the aggregate amount in Row (9) excludes certain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SCHLUMBERGER LTD SHS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5599 San Felipe</w:t>
      </w:r>
    </w:p>
    <w:p>
      <w:pPr>
        <w:spacing w:after="0" w:line="238" w:lineRule="auto"/>
        <w:rPr>
          <w:sz w:val="20"/>
          <w:szCs w:val="20"/>
          <w:color w:val="auto"/>
        </w:rPr>
      </w:pPr>
      <w:r>
        <w:rPr>
          <w:rFonts w:ascii="Courier New" w:cs="Courier New" w:eastAsia="Courier New" w:hAnsi="Courier New"/>
          <w:sz w:val="18"/>
          <w:szCs w:val="18"/>
          <w:color w:val="auto"/>
        </w:rPr>
        <w:t>17th Floor Houston, TX 77056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Amendment to Schedule 13G (this "Amendment")</w:t>
      </w:r>
    </w:p>
    <w:p>
      <w:pPr>
        <w:spacing w:after="0" w:line="4"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is filed by BlackRock, Inc. ("BlackRock"). It amends the most recent Schedule 13G filing, if any, made by BlackRock and the most recent Schedule 13G filing, if any, made by Barclays Global Investors, NA and certain of its affiliates (Barclays Global Investors, NA and such affiliates are collectively referred to as the "BGI Entities") with respect to the subject class</w:t>
      </w:r>
    </w:p>
    <w:p>
      <w:pPr>
        <w:spacing w:after="0" w:line="9"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of securities of the above-named issuer. As previously announced, on December 1, 2009 BlackRock</w:t>
      </w:r>
    </w:p>
    <w:p>
      <w:pPr>
        <w:spacing w:after="0"/>
        <w:rPr>
          <w:sz w:val="20"/>
          <w:szCs w:val="20"/>
          <w:color w:val="auto"/>
        </w:rPr>
      </w:pPr>
      <w:r>
        <w:rPr>
          <w:rFonts w:ascii="Courier New" w:cs="Courier New" w:eastAsia="Courier New" w:hAnsi="Courier New"/>
          <w:sz w:val="18"/>
          <w:szCs w:val="18"/>
          <w:color w:val="auto"/>
        </w:rPr>
        <w:t>completed its acquisition of Barclays Global Investors</w:t>
      </w:r>
    </w:p>
    <w:p>
      <w:pPr>
        <w:spacing w:after="0" w:line="4"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from Barclays Bank PLC. As a result, [substantially all of] the BGI Entities are now included as subsidiaries of BlackRock for purposes of Schedule 13G filings.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BlackRock Inc.</w:t>
      </w:r>
    </w:p>
    <w:p>
      <w:pPr>
        <w:spacing w:after="0" w:line="4" w:lineRule="exact"/>
        <w:rPr>
          <w:rFonts w:ascii="Courier New" w:cs="Courier New" w:eastAsia="Courier New" w:hAnsi="Courier New"/>
          <w:sz w:val="16"/>
          <w:szCs w:val="16"/>
          <w:color w:val="auto"/>
        </w:rPr>
      </w:pPr>
    </w:p>
    <w:p>
      <w:pPr>
        <w:ind w:right="821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40 East 52nd Street New York, NY 10022</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pacing w:after="0" w:line="4" w:lineRule="exact"/>
        <w:rPr>
          <w:rFonts w:ascii="Courier New" w:cs="Courier New" w:eastAsia="Courier New" w:hAnsi="Courier New"/>
          <w:sz w:val="18"/>
          <w:szCs w:val="18"/>
          <w:color w:val="auto"/>
        </w:rPr>
      </w:pPr>
    </w:p>
    <w:p>
      <w:pPr>
        <w:ind w:left="1280" w:right="335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280" w:right="3359" w:hanging="1264"/>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w:t>
      </w:r>
    </w:p>
    <w:p>
      <w:pPr>
        <w:spacing w:after="0" w:line="4" w:lineRule="exact"/>
        <w:rPr>
          <w:rFonts w:ascii="Courier New" w:cs="Courier New" w:eastAsia="Courier New" w:hAnsi="Courier New"/>
          <w:sz w:val="18"/>
          <w:szCs w:val="18"/>
          <w:color w:val="auto"/>
        </w:rPr>
      </w:pPr>
    </w:p>
    <w:p>
      <w:pPr>
        <w:ind w:left="1280" w:right="18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under section 3(c)(14) of the Investment Company Act of 1940;</w:t>
      </w:r>
    </w:p>
    <w:p>
      <w:pPr>
        <w:spacing w:after="0" w:line="5" w:lineRule="exact"/>
        <w:rPr>
          <w:rFonts w:ascii="Courier New" w:cs="Courier New" w:eastAsia="Courier New" w:hAnsi="Courier New"/>
          <w:sz w:val="18"/>
          <w:szCs w:val="18"/>
          <w:color w:val="auto"/>
        </w:rPr>
      </w:pPr>
    </w:p>
    <w:p>
      <w:pPr>
        <w:ind w:left="1280" w:right="5479" w:hanging="1272"/>
        <w:spacing w:after="0" w:line="268" w:lineRule="auto"/>
        <w:tabs>
          <w:tab w:leader="none" w:pos="2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65098478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65098478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65098478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Ownership of 5 Percent or Less of a Class. If this statement is being filed to report the fact that as of the date hereof the reporting person</w:t>
      </w:r>
    </w:p>
    <w:p>
      <w:pPr>
        <w:sectPr>
          <w:pgSz w:w="11900" w:h="16838" w:orient="portrait"/>
          <w:cols w:equalWidth="0" w:num="1">
            <w:col w:w="10219"/>
          </w:cols>
          <w:pgMar w:left="240" w:top="541" w:right="1440" w:bottom="0" w:gutter="0" w:footer="0" w:header="0"/>
        </w:sectPr>
      </w:pPr>
    </w:p>
    <w:bookmarkStart w:id="3" w:name="page4"/>
    <w:bookmarkEnd w:id="3"/>
    <w:p>
      <w:pPr>
        <w:ind w:right="3159"/>
        <w:spacing w:after="0" w:line="235" w:lineRule="auto"/>
        <w:rPr>
          <w:sz w:val="20"/>
          <w:szCs w:val="20"/>
          <w:color w:val="auto"/>
        </w:rPr>
      </w:pPr>
      <w:r>
        <w:rPr>
          <w:rFonts w:ascii="Courier New" w:cs="Courier New" w:eastAsia="Courier New" w:hAnsi="Courier New"/>
          <w:sz w:val="18"/>
          <w:szCs w:val="18"/>
          <w:color w:val="auto"/>
        </w:rPr>
        <w:t>has ceased to be the beneficial owner of more than 5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SCHLUMBERGER LTD SHS.</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SCHLUMBERGER LTD SHS</w:t>
      </w:r>
    </w:p>
    <w:p>
      <w:pPr>
        <w:spacing w:after="0" w:line="237"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2010</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Rick F. Froio</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Name/Title  Attorney-In-Fact</w:t>
      </w:r>
    </w:p>
    <w:p>
      <w:pPr>
        <w:sectPr>
          <w:pgSz w:w="11900" w:h="16838" w:orient="portrait"/>
          <w:cols w:equalWidth="0" w:num="1">
            <w:col w:w="10219"/>
          </w:cols>
          <w:pgMar w:left="240" w:top="142" w:right="1440" w:bottom="0" w:gutter="0" w:footer="0" w:header="0"/>
        </w:sectPr>
      </w:pPr>
    </w:p>
    <w:bookmarkStart w:id="4" w:name="page5"/>
    <w:bookmarkEnd w:id="4"/>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Asset Management Japan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Capital Management, Inc.</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(Dublin) Ltd</w:t>
      </w: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International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State Street Research &amp; Management Co.</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Denis Molleur, Daniel Ronnen, Brian Kindelan, Nicholas Hall, Con Tzatzakis ,</w:t>
      </w:r>
    </w:p>
    <w:p>
      <w:pPr>
        <w:spacing w:after="0" w:line="234" w:lineRule="auto"/>
        <w:rPr>
          <w:sz w:val="20"/>
          <w:szCs w:val="20"/>
          <w:color w:val="auto"/>
        </w:rPr>
      </w:pPr>
      <w:r>
        <w:rPr>
          <w:rFonts w:ascii="Courier New" w:cs="Courier New" w:eastAsia="Courier New" w:hAnsi="Courier New"/>
          <w:sz w:val="18"/>
          <w:szCs w:val="18"/>
          <w:color w:val="auto"/>
        </w:rPr>
        <w:t>John Belvin, Rick F. Froio and Matthew Fitzgerald acting severally, as</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and 13G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ectPr>
          <w:pgSz w:w="11900" w:h="16838" w:orient="portrait"/>
          <w:cols w:equalWidth="0" w:num="1">
            <w:col w:w="10219"/>
          </w:cols>
          <w:pgMar w:left="240" w:top="344"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This power of attorney shall expressly revoke the power of attorney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dated January 11, 2008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9"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14th day of December, 2009.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upperLetter"/>
      <w:start w:val="24"/>
    </w:lvl>
  </w:abstractNum>
  <w:abstractNum w:abstractNumId="5">
    <w:nsid w:val="12200854"/>
    <w:multiLevelType w:val="hybridMultilevel"/>
    <w:lvl w:ilvl="0">
      <w:lvlJc w:val="left"/>
      <w:lvlText w:val="(%1)"/>
      <w:numFmt w:val="decimal"/>
      <w:start w:val="2"/>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2019-12-10T01:52:48Z</dcterms:created>
  <dcterms:modified xsi:type="dcterms:W3CDTF">2019-12-10T01:52:48Z</dcterms:modified>
</cp:coreProperties>
</file>