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UNDER SECTION 13 OR 15(d)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177800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Netherlands Antilles</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(State or other jurisdiction of</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90"/>
              </w:rPr>
              <w:t>(I.R.S. Employer Identification No.)</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incorporation or organization)</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5599 San Felipe, 17th Floor</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6"/>
              </w:rPr>
              <w:t>Houston, Texas, U.S.A.</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42 rue Saint-Dominique</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0"/>
              </w:rPr>
              <w:t>Paris, France</w:t>
            </w:r>
          </w:p>
        </w:tc>
        <w:tc>
          <w:tcPr>
            <w:tcW w:w="4220" w:type="dxa"/>
            <w:vAlign w:val="bottom"/>
          </w:tcPr>
          <w:p>
            <w:pPr>
              <w:spacing w:after="0"/>
              <w:rPr>
                <w:sz w:val="19"/>
                <w:szCs w:val="19"/>
                <w:color w:val="auto"/>
              </w:rPr>
            </w:pPr>
          </w:p>
        </w:tc>
      </w:tr>
      <w:tr>
        <w:trPr>
          <w:trHeight w:val="325"/>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Parkstraat 83, The Hague,</w:t>
            </w:r>
          </w:p>
        </w:tc>
        <w:tc>
          <w:tcPr>
            <w:tcW w:w="4220" w:type="dxa"/>
            <w:vAlign w:val="bottom"/>
          </w:tcPr>
          <w:p>
            <w:pPr>
              <w:spacing w:after="0"/>
              <w:rPr>
                <w:sz w:val="24"/>
                <w:szCs w:val="24"/>
                <w:color w:val="auto"/>
              </w:rPr>
            </w:pPr>
          </w:p>
        </w:tc>
      </w:tr>
      <w:tr>
        <w:trPr>
          <w:trHeight w:val="230"/>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The Netherlands</w:t>
            </w:r>
          </w:p>
        </w:tc>
        <w:tc>
          <w:tcPr>
            <w:tcW w:w="4220" w:type="dxa"/>
            <w:vAlign w:val="bottom"/>
          </w:tcPr>
          <w:p>
            <w:pPr>
              <w:jc w:val="center"/>
              <w:ind w:left="143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5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220" w:type="dxa"/>
            <w:vAlign w:val="bottom"/>
          </w:tcPr>
          <w:p>
            <w:pPr>
              <w:jc w:val="center"/>
              <w:ind w:left="1452"/>
              <w:spacing w:after="0"/>
              <w:rPr>
                <w:sz w:val="20"/>
                <w:szCs w:val="20"/>
                <w:color w:val="auto"/>
              </w:rPr>
            </w:pPr>
            <w:r>
              <w:rPr>
                <w:rFonts w:ascii="Arial" w:cs="Arial" w:eastAsia="Arial" w:hAnsi="Arial"/>
                <w:sz w:val="18"/>
                <w:szCs w:val="18"/>
                <w:b w:val="1"/>
                <w:bCs w:val="1"/>
                <w:color w:val="auto"/>
                <w:w w:val="88"/>
              </w:rPr>
              <w:t>(Zip Codes)</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51" w:lineRule="exact"/>
        <w:rPr>
          <w:sz w:val="24"/>
          <w:szCs w:val="24"/>
          <w:color w:val="auto"/>
        </w:rPr>
      </w:pPr>
    </w:p>
    <w:p>
      <w:pPr>
        <w:ind w:right="180"/>
        <w:spacing w:after="0" w:line="3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34" w:lineRule="exact"/>
        <w:tabs>
          <w:tab w:leader="none" w:pos="1940" w:val="left"/>
          <w:tab w:leader="none" w:pos="34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24"/>
          <w:szCs w:val="24"/>
          <w:color w:val="auto"/>
          <w:vertAlign w:val="superscript"/>
        </w:rPr>
        <w:t>☐</w:t>
      </w:r>
    </w:p>
    <w:p>
      <w:pPr>
        <w:spacing w:after="0" w:line="67" w:lineRule="exact"/>
        <w:rPr>
          <w:sz w:val="24"/>
          <w:szCs w:val="24"/>
          <w:color w:val="auto"/>
        </w:rPr>
      </w:pPr>
    </w:p>
    <w:p>
      <w:pPr>
        <w:ind w:right="2240"/>
        <w:spacing w:after="0" w:line="31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5000" w:type="dxa"/>
            <w:vAlign w:val="bottom"/>
            <w:gridSpan w:val="2"/>
          </w:tcPr>
          <w:p>
            <w:pPr>
              <w:jc w:val="center"/>
              <w:ind w:right="4540"/>
              <w:spacing w:after="0"/>
              <w:rPr>
                <w:sz w:val="20"/>
                <w:szCs w:val="20"/>
                <w:color w:val="auto"/>
              </w:rPr>
            </w:pPr>
            <w:r>
              <w:rPr>
                <w:rFonts w:ascii="Arial" w:cs="Arial" w:eastAsia="Arial" w:hAnsi="Arial"/>
                <w:sz w:val="14"/>
                <w:szCs w:val="14"/>
                <w:b w:val="1"/>
                <w:bCs w:val="1"/>
                <w:color w:val="auto"/>
                <w:w w:val="80"/>
              </w:rPr>
              <w:t>Class</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at September 30, 2006</w:t>
            </w:r>
          </w:p>
        </w:tc>
        <w:tc>
          <w:tcPr>
            <w:tcW w:w="94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r>
      <w:tr>
        <w:trPr>
          <w:trHeight w:val="316"/>
        </w:trPr>
        <w:tc>
          <w:tcPr>
            <w:tcW w:w="7580" w:type="dxa"/>
            <w:vAlign w:val="bottom"/>
            <w:gridSpan w:val="3"/>
          </w:tcPr>
          <w:p>
            <w:pPr>
              <w:jc w:val="center"/>
              <w:ind w:right="1960"/>
              <w:spacing w:after="0"/>
              <w:rPr>
                <w:sz w:val="20"/>
                <w:szCs w:val="20"/>
                <w:color w:val="auto"/>
              </w:rPr>
            </w:pPr>
            <w:r>
              <w:rPr>
                <w:rFonts w:ascii="Arial" w:cs="Arial" w:eastAsia="Arial" w:hAnsi="Arial"/>
                <w:sz w:val="18"/>
                <w:szCs w:val="18"/>
                <w:color w:val="auto"/>
                <w:w w:val="87"/>
              </w:rPr>
              <w:t>Common Stock, $0.01 par value</w:t>
            </w:r>
          </w:p>
        </w:tc>
        <w:tc>
          <w:tcPr>
            <w:tcW w:w="2900" w:type="dxa"/>
            <w:vAlign w:val="bottom"/>
          </w:tcPr>
          <w:p>
            <w:pPr>
              <w:jc w:val="right"/>
              <w:ind w:right="862"/>
              <w:spacing w:after="0"/>
              <w:rPr>
                <w:sz w:val="20"/>
                <w:szCs w:val="20"/>
                <w:color w:val="auto"/>
              </w:rPr>
            </w:pPr>
            <w:r>
              <w:rPr>
                <w:rFonts w:ascii="Arial" w:cs="Arial" w:eastAsia="Arial" w:hAnsi="Arial"/>
                <w:sz w:val="18"/>
                <w:szCs w:val="18"/>
                <w:color w:val="auto"/>
              </w:rPr>
              <w:t>1,178,215,304</w:t>
            </w:r>
          </w:p>
        </w:tc>
        <w:tc>
          <w:tcPr>
            <w:tcW w:w="940" w:type="dxa"/>
            <w:vAlign w:val="bottom"/>
          </w:tcPr>
          <w:p>
            <w:pPr>
              <w:spacing w:after="0"/>
              <w:rPr>
                <w:sz w:val="24"/>
                <w:szCs w:val="24"/>
                <w:color w:val="auto"/>
              </w:rPr>
            </w:pPr>
          </w:p>
        </w:tc>
      </w:tr>
      <w:tr>
        <w:trPr>
          <w:trHeight w:val="259"/>
        </w:trPr>
        <w:tc>
          <w:tcPr>
            <w:tcW w:w="25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LIMITED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Third Quarter 2006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82"/>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240" w:type="dxa"/>
            <w:vAlign w:val="bottom"/>
            <w:vMerge w:val="continue"/>
          </w:tcPr>
          <w:p>
            <w:pPr>
              <w:spacing w:after="0"/>
              <w:rPr>
                <w:sz w:val="24"/>
                <w:szCs w:val="24"/>
                <w:color w:val="auto"/>
              </w:rPr>
            </w:pPr>
          </w:p>
        </w:tc>
        <w:tc>
          <w:tcPr>
            <w:tcW w:w="990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66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w:t>
              </w:r>
            </w:hyperlink>
          </w:p>
        </w:tc>
        <w:tc>
          <w:tcPr>
            <w:tcW w:w="8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900" w:type="dxa"/>
            <w:vAlign w:val="bottom"/>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7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18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4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90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6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90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Submission of Matters to a Vote of Security Holders</w:t>
              </w:r>
            </w:hyperlink>
          </w:p>
        </w:tc>
        <w:tc>
          <w:tcPr>
            <w:tcW w:w="62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Other Information</w:t>
              </w:r>
            </w:hyperlink>
          </w:p>
        </w:tc>
        <w:tc>
          <w:tcPr>
            <w:tcW w:w="86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90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4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1"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INCOME (Unaudited)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6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7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 Ended September 30,</w:t>
            </w:r>
          </w:p>
        </w:tc>
        <w:tc>
          <w:tcPr>
            <w:tcW w:w="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72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1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Operating revenue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4,954,818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3,698,093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13,880,610</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10,285,836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Interest &amp; other income</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70,699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80,101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199,781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314,874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Cost of goods sold &amp; services</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3,369,573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2,761,591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9,628,650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7,723,760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Research &amp; engineering</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149,538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128,266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449,834</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371,121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17,632</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13,477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49,474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39,319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General &amp; administrative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109,158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300,337</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62,351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50,637</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171,616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1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1,317,265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740,303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3,480,480</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2,070,204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0" w:type="dxa"/>
            <w:vAlign w:val="bottom"/>
            <w:gridSpan w:val="2"/>
          </w:tcPr>
          <w:p>
            <w:pPr>
              <w:ind w:left="140"/>
              <w:spacing w:after="0"/>
              <w:rPr>
                <w:sz w:val="20"/>
                <w:szCs w:val="20"/>
                <w:color w:val="auto"/>
              </w:rPr>
            </w:pPr>
            <w:r>
              <w:rPr>
                <w:rFonts w:ascii="Arial" w:cs="Arial" w:eastAsia="Arial" w:hAnsi="Arial"/>
                <w:sz w:val="14"/>
                <w:szCs w:val="14"/>
                <w:color w:val="auto"/>
              </w:rPr>
              <w:t>Taxes on income</w:t>
            </w: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317,434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174,953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852,504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474,772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1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999,831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565,350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2,627,976</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1,595,432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0" w:type="dxa"/>
            <w:vAlign w:val="bottom"/>
            <w:gridSpan w:val="2"/>
          </w:tcPr>
          <w:p>
            <w:pPr>
              <w:ind w:left="140"/>
              <w:spacing w:after="0"/>
              <w:rPr>
                <w:sz w:val="20"/>
                <w:szCs w:val="20"/>
                <w:color w:val="auto"/>
              </w:rPr>
            </w:pPr>
            <w:r>
              <w:rPr>
                <w:rFonts w:ascii="Arial" w:cs="Arial" w:eastAsia="Arial" w:hAnsi="Arial"/>
                <w:sz w:val="14"/>
                <w:szCs w:val="14"/>
                <w:color w:val="auto"/>
              </w:rPr>
              <w:t>Minority interest</w:t>
            </w:r>
          </w:p>
        </w:tc>
        <w:tc>
          <w:tcPr>
            <w:tcW w:w="4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(24,547)</w:t>
            </w:r>
          </w:p>
        </w:tc>
        <w:tc>
          <w:tcPr>
            <w:tcW w:w="12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(48,741)</w:t>
            </w:r>
          </w:p>
        </w:tc>
        <w:tc>
          <w:tcPr>
            <w:tcW w:w="22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(56,991)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1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999,824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540,803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2,579,235</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1,538,441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gridSpan w:val="3"/>
          </w:tcPr>
          <w:p>
            <w:pPr>
              <w:spacing w:after="0"/>
              <w:rPr>
                <w:sz w:val="20"/>
                <w:szCs w:val="20"/>
                <w:color w:val="auto"/>
              </w:rPr>
            </w:pPr>
            <w:r>
              <w:rPr>
                <w:rFonts w:ascii="Arial" w:cs="Arial" w:eastAsia="Arial" w:hAnsi="Arial"/>
                <w:sz w:val="14"/>
                <w:szCs w:val="14"/>
                <w:i w:val="1"/>
                <w:iCs w:val="1"/>
                <w:color w:val="auto"/>
              </w:rPr>
              <w:t>Income from Discontinued Operations</w:t>
            </w:r>
          </w:p>
        </w:tc>
        <w:tc>
          <w:tcPr>
            <w:tcW w:w="4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1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999,824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540,803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2,579,235</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1,546,413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0.46</w:t>
            </w:r>
          </w:p>
        </w:tc>
        <w:tc>
          <w:tcPr>
            <w:tcW w:w="4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38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Discontinued Operations</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 *</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Income from Continuing Operations</w:t>
            </w:r>
          </w:p>
        </w:tc>
        <w:tc>
          <w:tcPr>
            <w:tcW w:w="4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4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38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Discontinued Operations</w:t>
            </w:r>
          </w:p>
        </w:tc>
        <w:tc>
          <w:tcPr>
            <w:tcW w:w="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Basic</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1,183,683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1,179,640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1,182,795</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1,178,596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Assuming dilution</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1,243,966</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1,231,846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1,243,579</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1,228,446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7000" w:type="dxa"/>
            <w:vAlign w:val="bottom"/>
            <w:gridSpan w:val="2"/>
          </w:tcPr>
          <w:p>
            <w:pPr>
              <w:ind w:left="140"/>
              <w:spacing w:after="0"/>
              <w:rPr>
                <w:sz w:val="20"/>
                <w:szCs w:val="20"/>
                <w:color w:val="auto"/>
              </w:rPr>
            </w:pPr>
            <w:r>
              <w:rPr>
                <w:rFonts w:ascii="Arial" w:cs="Arial" w:eastAsia="Arial" w:hAnsi="Arial"/>
                <w:sz w:val="14"/>
                <w:szCs w:val="14"/>
                <w:color w:val="auto"/>
              </w:rPr>
              <w:t>Amounts may not add due to rounding</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-1896110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-1896110</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-1896110</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-1896110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-1896110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-1896110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-1896110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-1896110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-1896110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-1896110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-1896110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-1896110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-1210310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-1210310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-1210310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-1210310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-1210310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-1210310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-1210310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-1210310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-1210310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-1210310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-1210310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-1210310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-524510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-524510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-524510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-524510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-524510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-524510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-524510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-524510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-524510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-524510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-524510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-524510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Sept. 30, 2006</w:t>
            </w:r>
          </w:p>
        </w:tc>
        <w:tc>
          <w:tcPr>
            <w:tcW w:w="86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8"/>
              </w:rPr>
              <w:t>Dec. 31,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156,121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1,745,098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3,304,727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Receivables less allowance for doubtful accounts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440"/>
              <w:spacing w:after="0" w:line="149" w:lineRule="exact"/>
              <w:rPr>
                <w:sz w:val="20"/>
                <w:szCs w:val="20"/>
                <w:color w:val="auto"/>
              </w:rPr>
            </w:pPr>
            <w:r>
              <w:rPr>
                <w:rFonts w:ascii="Arial" w:cs="Arial" w:eastAsia="Arial" w:hAnsi="Arial"/>
                <w:sz w:val="14"/>
                <w:szCs w:val="14"/>
                <w:color w:val="auto"/>
              </w:rPr>
              <w:t>(2006 – $104,974; 2005 – $102,879)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4,143,208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3,383,803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1,235,037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1,010,448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192,544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233,167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519,973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7,991,981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8,553,913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94,500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359,750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1,149,913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5,096,474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4,200,638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239,914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4,808,809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2,922,465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854,432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304,643</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331,037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196,201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20,736,867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&amp; STOCKHOLDERS’ EQUITY</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3,704,368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3,564,854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1,155,402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946,723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148,834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529,698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269,158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704,802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6,243,104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3,930,849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3,591,338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710,673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707,040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252,780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249,459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11,137,406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0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3,332,118</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2,750,570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10,135,189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7,999,770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(2,820,462)</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(2,113,276)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(1,047,384)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(1,045,479)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9,599,461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7,591,585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20,736,867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-2953385</wp:posOffset>
            </wp:positionV>
            <wp:extent cx="54419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-2953385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-2953385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-2953385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CASH FLOWS (Unaudited)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9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 30,</w:t>
            </w: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91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0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2,579,235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1,546,413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line="21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1,122,410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line="217" w:lineRule="exact"/>
              <w:rPr>
                <w:sz w:val="20"/>
                <w:szCs w:val="20"/>
                <w:color w:val="auto"/>
              </w:rPr>
            </w:pPr>
            <w:r>
              <w:rPr>
                <w:rFonts w:ascii="Arial" w:cs="Arial" w:eastAsia="Arial" w:hAnsi="Arial"/>
                <w:sz w:val="18"/>
                <w:szCs w:val="18"/>
                <w:color w:val="auto"/>
              </w:rPr>
              <w:t>Charges and credits, net of tax &amp; minority interest</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(119,074)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10,605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line="217" w:lineRule="exact"/>
              <w:rPr>
                <w:sz w:val="20"/>
                <w:szCs w:val="20"/>
                <w:color w:val="auto"/>
              </w:rPr>
            </w:pPr>
            <w:r>
              <w:rPr>
                <w:rFonts w:ascii="Arial" w:cs="Arial" w:eastAsia="Arial" w:hAnsi="Arial"/>
                <w:sz w:val="18"/>
                <w:szCs w:val="18"/>
                <w:color w:val="auto"/>
              </w:rPr>
              <w:t>Change in operating assets and liabilities</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Increase in receivables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(760,778)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inventories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(213,287)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Increase in other current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(79,377)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accounts payable and accrued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Increase in estimated liability for taxes on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214,250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postretirement benefits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 net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107,183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3,123,859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1,901,641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Purchase of fixed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(1,619,912)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(1,098,986)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(120,963)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Capitalization of intangible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(11,728)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business divestitures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Business acquisitions and related payments, net of cash acquired</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(337,733)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Acquisition of minority interest in WesternGeco</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9"/>
              </w:rPr>
              <w:t>(2,405,927)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Sale of Montrouge facility</w:t>
            </w:r>
          </w:p>
        </w:tc>
        <w:tc>
          <w:tcPr>
            <w:tcW w:w="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Sale (purchase) of investments,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1,843,364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(136,675)</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9"/>
              </w:rPr>
              <w:t>(2,789,574)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(1,168,176)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(419,715)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Distribution to joint venture partner</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(59,647)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62,979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282,652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(948,504)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(407,604)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631,949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gridSpan w:val="2"/>
          </w:tcPr>
          <w:p>
            <w:pPr>
              <w:ind w:left="8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(90,598)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Net change in short-term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171,872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(369,012)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operating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decrease in cash before translation effect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(34,727)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156,121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220" w:type="dxa"/>
            <w:vAlign w:val="bottom"/>
            <w:gridSpan w:val="2"/>
            <w:vMerge w:val="continue"/>
          </w:tcPr>
          <w:p>
            <w:pPr>
              <w:spacing w:after="0"/>
              <w:rPr>
                <w:sz w:val="24"/>
                <w:szCs w:val="24"/>
                <w:color w:val="auto"/>
              </w:rPr>
            </w:pPr>
          </w:p>
        </w:tc>
        <w:tc>
          <w:tcPr>
            <w:tcW w:w="8900" w:type="dxa"/>
            <w:vAlign w:val="bottom"/>
            <w:gridSpan w:val="2"/>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rPr>
                <w:sz w:val="20"/>
                <w:szCs w:val="20"/>
                <w:color w:val="auto"/>
              </w:rPr>
            </w:pPr>
            <w:r>
              <w:rPr>
                <w:rFonts w:ascii="Arial" w:cs="Arial" w:eastAsia="Arial" w:hAnsi="Arial"/>
                <w:sz w:val="11"/>
                <w:szCs w:val="11"/>
                <w:color w:val="auto"/>
              </w:rPr>
              <w:t>(2)</w:t>
            </w:r>
          </w:p>
        </w:tc>
        <w:tc>
          <w:tcPr>
            <w:tcW w:w="8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20" w:type="dxa"/>
            <w:vAlign w:val="bottom"/>
            <w:gridSpan w:val="2"/>
          </w:tcPr>
          <w:p>
            <w:pPr>
              <w:spacing w:after="0"/>
              <w:rPr>
                <w:sz w:val="20"/>
                <w:szCs w:val="20"/>
                <w:color w:val="auto"/>
              </w:rPr>
            </w:pPr>
            <w:r>
              <w:rPr>
                <w:rFonts w:ascii="Arial" w:cs="Arial" w:eastAsia="Arial" w:hAnsi="Arial"/>
                <w:sz w:val="11"/>
                <w:szCs w:val="11"/>
                <w:color w:val="auto"/>
              </w:rPr>
              <w:t>(3)</w:t>
            </w:r>
          </w:p>
        </w:tc>
        <w:tc>
          <w:tcPr>
            <w:tcW w:w="8900" w:type="dxa"/>
            <w:vAlign w:val="bottom"/>
            <w:gridSpan w:val="2"/>
          </w:tcPr>
          <w:p>
            <w:pPr>
              <w:ind w:left="120"/>
              <w:spacing w:after="0"/>
              <w:rPr>
                <w:sz w:val="20"/>
                <w:szCs w:val="20"/>
                <w:color w:val="auto"/>
              </w:rPr>
            </w:pPr>
            <w:r>
              <w:rPr>
                <w:rFonts w:ascii="Arial" w:cs="Arial" w:eastAsia="Arial" w:hAnsi="Arial"/>
                <w:sz w:val="14"/>
                <w:szCs w:val="14"/>
                <w:color w:val="auto"/>
              </w:rPr>
              <w:t>Net of the effect of business acquisitions and divestitures.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-429895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-429895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-429895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-429895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-429895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-429895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Notes to Consolidated Financial Statements</w:t>
      </w:r>
    </w:p>
    <w:p>
      <w:pPr>
        <w:sectPr>
          <w:pgSz w:w="11900" w:h="16838" w:orient="portrait"/>
          <w:cols w:equalWidth="0" w:num="1">
            <w:col w:w="11420"/>
          </w:cols>
          <w:pgMar w:left="240" w:top="459" w:right="239" w:bottom="998"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20"/>
          </w:cols>
          <w:pgMar w:left="240" w:top="459" w:right="239" w:bottom="998"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ind w:right="3000"/>
        <w:spacing w:after="0" w:line="347" w:lineRule="auto"/>
        <w:rPr>
          <w:sz w:val="20"/>
          <w:szCs w:val="20"/>
          <w:color w:val="auto"/>
        </w:rPr>
      </w:pPr>
      <w:r>
        <w:rPr>
          <w:rFonts w:ascii="Arial" w:cs="Arial" w:eastAsia="Arial" w:hAnsi="Arial"/>
          <w:sz w:val="14"/>
          <w:szCs w:val="14"/>
          <w:color w:val="auto"/>
        </w:rPr>
        <w:t xml:space="preserve">SCHLUMBERGER LIMITED (SCHLUMBERGER N.V., INCORPORATED IN THE NETHERLANDS ANTILLES) AND SUBSIDIARY COMPANIES CONSOLIDATED STATEMENT OF STOCKHOLDERS’ EQUITY (Unaudited) </w:t>
      </w:r>
      <w:r>
        <w:rPr>
          <w:rFonts w:ascii="Arial" w:cs="Arial" w:eastAsia="Arial" w:hAnsi="Arial"/>
          <w:sz w:val="14"/>
          <w:szCs w:val="14"/>
          <w:b w:val="1"/>
          <w:bCs w:val="1"/>
          <w:color w:val="auto"/>
        </w:rPr>
        <w:t>(Stated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0" w:type="dxa"/>
            <w:vAlign w:val="bottom"/>
            <w:tcBorders>
              <w:top w:val="single" w:sz="8" w:color="auto"/>
            </w:tcBorders>
            <w:gridSpan w:val="14"/>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 Other Comprehensive</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7"/>
          </w:tcPr>
          <w:p>
            <w:pPr>
              <w:jc w:val="center"/>
              <w:ind w:right="52"/>
              <w:spacing w:after="0"/>
              <w:rPr>
                <w:sz w:val="20"/>
                <w:szCs w:val="20"/>
                <w:color w:val="auto"/>
              </w:rPr>
            </w:pPr>
            <w:r>
              <w:rPr>
                <w:rFonts w:ascii="Arial" w:cs="Arial" w:eastAsia="Arial" w:hAnsi="Arial"/>
                <w:sz w:val="14"/>
                <w:szCs w:val="14"/>
                <w:b w:val="1"/>
                <w:bCs w:val="1"/>
                <w:color w:val="auto"/>
                <w:w w:val="86"/>
              </w:rPr>
              <w:t>Income (Loss)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Marked to</w:t>
            </w:r>
          </w:p>
        </w:tc>
        <w:tc>
          <w:tcPr>
            <w:tcW w:w="220" w:type="dxa"/>
            <w:vAlign w:val="bottom"/>
          </w:tcPr>
          <w:p>
            <w:pPr>
              <w:spacing w:after="0"/>
              <w:rPr>
                <w:sz w:val="20"/>
                <w:szCs w:val="20"/>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Pension</w:t>
            </w:r>
          </w:p>
        </w:tc>
        <w:tc>
          <w:tcPr>
            <w:tcW w:w="180" w:type="dxa"/>
            <w:vAlign w:val="bottom"/>
          </w:tcPr>
          <w:p>
            <w:pPr>
              <w:spacing w:after="0"/>
              <w:rPr>
                <w:sz w:val="20"/>
                <w:szCs w:val="20"/>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rPr>
              <w:t>Translation</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Issued</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Liability</w:t>
            </w:r>
          </w:p>
        </w:tc>
        <w:tc>
          <w:tcPr>
            <w:tcW w:w="18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1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$2,750,570</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4"/>
              </w:rPr>
              <w:t>$ (2,113,276)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7,999,770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(17,042)</w:t>
            </w: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$(291,486)</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(736,951)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2,579,235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2,579,235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 net of tax</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Translation adjustment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(16,707)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(443,816)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(948,504)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61,912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Proceeds from shares sold to optionees less shares exchanged</w:t>
            </w:r>
          </w:p>
        </w:tc>
        <w:tc>
          <w:tcPr>
            <w:tcW w:w="17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146,074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136,578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7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260,600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69,782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83,599</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1700" w:type="dxa"/>
            <w:vAlign w:val="bottom"/>
            <w:gridSpan w:val="4"/>
          </w:tcPr>
          <w:p>
            <w:pPr>
              <w:jc w:val="right"/>
              <w:ind w:right="200"/>
              <w:spacing w:after="0"/>
              <w:rPr>
                <w:sz w:val="20"/>
                <w:szCs w:val="20"/>
                <w:color w:val="auto"/>
              </w:rPr>
            </w:pPr>
            <w:r>
              <w:rPr>
                <w:rFonts w:ascii="Arial" w:cs="Arial" w:eastAsia="Arial" w:hAnsi="Arial"/>
                <w:sz w:val="14"/>
                <w:szCs w:val="14"/>
                <w:color w:val="auto"/>
              </w:rPr>
              <w:t>27,511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2006</w:t>
            </w:r>
          </w:p>
        </w:tc>
        <w:tc>
          <w:tcPr>
            <w:tcW w:w="170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$3,332,118</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$(2,820,462)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10,135,189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$(298,565)</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(753,658)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2,577,330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00" w:type="dxa"/>
            <w:vAlign w:val="bottom"/>
            <w:gridSpan w:val="2"/>
            <w:vMerge w:val="restart"/>
          </w:tcPr>
          <w:p>
            <w:pPr>
              <w:spacing w:after="0"/>
              <w:rPr>
                <w:sz w:val="20"/>
                <w:szCs w:val="20"/>
                <w:color w:val="auto"/>
              </w:rPr>
            </w:pPr>
            <w:r>
              <w:rPr>
                <w:rFonts w:ascii="Arial" w:cs="Arial" w:eastAsia="Arial" w:hAnsi="Arial"/>
                <w:sz w:val="14"/>
                <w:szCs w:val="14"/>
                <w:color w:val="auto"/>
              </w:rPr>
              <w:t>SHARES OF COMMON STOCK (Unaudited)</w:t>
            </w:r>
          </w:p>
        </w:tc>
        <w:tc>
          <w:tcPr>
            <w:tcW w:w="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2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1"/>
              </w:rPr>
              <w:t>Issued</w:t>
            </w:r>
          </w:p>
        </w:tc>
        <w:tc>
          <w:tcPr>
            <w:tcW w:w="114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Treasury</w:t>
            </w:r>
          </w:p>
        </w:tc>
        <w:tc>
          <w:tcPr>
            <w:tcW w:w="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(156,607,946)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1,177,604,218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2,347,586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2,347,586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(16,131,600)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(16,131,600)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4"/>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9,630,140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9,630,140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4,730,960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4,730,960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Shares granted to Directors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34,000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5"/>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3"/>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September 30, 2006</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(155,996,860)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1,178,215,304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-1470025</wp:posOffset>
            </wp:positionV>
            <wp:extent cx="57848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-1470025</wp:posOffset>
            </wp:positionV>
            <wp:extent cx="84455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455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-1470025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-1470025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-1470025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-1470025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-1470025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-1470025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-1470025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-1470025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-1470025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-1470025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Notes to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nine-month period ended September 30, 2006 are not necessarily indicative of the results that may be expected for the full year ending December 31, 2006. The December 31, 2005 balance sheet information has been derived from the audited 2005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Annual Report on Form 10-K for the fiscal year ended December 31, 2005, filed with the Securities and Exchange Commission on February 24, 2006.</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prior year amounts have been reclassified to conform to the current period presentation.</w:t>
      </w:r>
    </w:p>
    <w:p>
      <w:pPr>
        <w:spacing w:after="0" w:line="9"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 xml:space="preserve">On January 19, 2006, the Board of Directors of Schlumberger approved a two-for-one split of the Company’s common stock. Stockholders of record as of March 1, 2006 were entitled to one additional share for every share outstanding, which was distributed on April 7, 2006. The total number of authorized common stock shares and associated par value were unchanged by this action. All share, per share and stock option amounts included in the accompanying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and related notes have been restated to reflect the effect of the stock split.</w:t>
      </w:r>
    </w:p>
    <w:p>
      <w:pPr>
        <w:spacing w:after="0" w:line="91" w:lineRule="exact"/>
        <w:rPr>
          <w:sz w:val="20"/>
          <w:szCs w:val="20"/>
          <w:color w:val="auto"/>
        </w:rPr>
      </w:pPr>
    </w:p>
    <w:p>
      <w:pPr>
        <w:ind w:right="9320" w:firstLine="8"/>
        <w:spacing w:after="0" w:line="319" w:lineRule="auto"/>
        <w:tabs>
          <w:tab w:leader="none" w:pos="34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b w:val="1"/>
          <w:bCs w:val="1"/>
          <w:i w:val="1"/>
          <w:iCs w:val="1"/>
          <w:color w:val="auto"/>
        </w:rPr>
        <w:t>2006</w:t>
      </w:r>
    </w:p>
    <w:p>
      <w:pPr>
        <w:spacing w:after="0"/>
        <w:rPr>
          <w:rFonts w:ascii="Arial" w:cs="Arial" w:eastAsia="Arial" w:hAnsi="Arial"/>
          <w:sz w:val="18"/>
          <w:szCs w:val="18"/>
          <w:b w:val="1"/>
          <w:bCs w:val="1"/>
          <w:color w:val="auto"/>
        </w:rPr>
      </w:pPr>
      <w:r>
        <w:rPr>
          <w:rFonts w:ascii="Arial" w:cs="Arial" w:eastAsia="Arial" w:hAnsi="Arial"/>
          <w:sz w:val="18"/>
          <w:szCs w:val="18"/>
          <w:color w:val="auto"/>
        </w:rPr>
        <w:t>Second quarter of 2006:</w:t>
      </w:r>
    </w:p>
    <w:p>
      <w:pPr>
        <w:spacing w:after="0" w:line="76" w:lineRule="exact"/>
        <w:rPr>
          <w:rFonts w:ascii="Arial" w:cs="Arial" w:eastAsia="Arial" w:hAnsi="Arial"/>
          <w:sz w:val="18"/>
          <w:szCs w:val="18"/>
          <w:b w:val="1"/>
          <w:bCs w:val="1"/>
          <w:color w:val="auto"/>
        </w:rPr>
      </w:pPr>
    </w:p>
    <w:p>
      <w:pPr>
        <w:ind w:left="780" w:hanging="326"/>
        <w:spacing w:after="0" w:line="291" w:lineRule="auto"/>
        <w:tabs>
          <w:tab w:leader="none" w:pos="78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As discussed in further detail in Note 5, Schlumberger acquired the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25" w:lineRule="exact"/>
        <w:rPr>
          <w:rFonts w:ascii="Arial" w:cs="Arial" w:eastAsia="Arial" w:hAnsi="Arial"/>
          <w:sz w:val="16"/>
          <w:szCs w:val="16"/>
          <w:color w:val="auto"/>
        </w:rPr>
      </w:pPr>
    </w:p>
    <w:p>
      <w:pPr>
        <w:ind w:left="780" w:right="80" w:hanging="326"/>
        <w:spacing w:after="0" w:line="325" w:lineRule="auto"/>
        <w:tabs>
          <w:tab w:leader="none" w:pos="78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 w:lineRule="exact"/>
        <w:rPr>
          <w:rFonts w:ascii="Arial" w:cs="Arial" w:eastAsia="Arial" w:hAnsi="Arial"/>
          <w:sz w:val="16"/>
          <w:szCs w:val="16"/>
          <w:color w:val="auto"/>
        </w:rPr>
      </w:pPr>
    </w:p>
    <w:p>
      <w:pPr>
        <w:jc w:val="both"/>
        <w:ind w:left="780" w:right="480" w:hanging="326"/>
        <w:spacing w:after="0" w:line="259" w:lineRule="auto"/>
        <w:tabs>
          <w:tab w:leader="none" w:pos="7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In connection with the settlement of the WesternGeco visa matter described in Note 15, a pretax charge of $10 million ($7 million after-tax and minority interest) was recorded in the second quarter of 2006 and is classified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520" w:type="dxa"/>
            <w:vAlign w:val="bottom"/>
            <w:tcBorders>
              <w:top w:val="single" w:sz="8" w:color="auto"/>
            </w:tcBorders>
          </w:tcPr>
          <w:p>
            <w:pPr>
              <w:spacing w:after="0"/>
              <w:rPr>
                <w:sz w:val="11"/>
                <w:szCs w:val="11"/>
                <w:color w:val="auto"/>
              </w:rPr>
            </w:pPr>
          </w:p>
        </w:tc>
        <w:tc>
          <w:tcPr>
            <w:tcW w:w="2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Tax</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Interest</w:t>
            </w:r>
          </w:p>
        </w:tc>
        <w:tc>
          <w:tcPr>
            <w:tcW w:w="340" w:type="dxa"/>
            <w:vAlign w:val="bottom"/>
            <w:gridSpan w:val="2"/>
          </w:tcPr>
          <w:p>
            <w:pPr>
              <w:ind w:lef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ind w:left="320"/>
              <w:spacing w:after="0" w:line="149" w:lineRule="exact"/>
              <w:rPr>
                <w:sz w:val="20"/>
                <w:szCs w:val="20"/>
                <w:color w:val="auto"/>
              </w:rPr>
            </w:pPr>
            <w:r>
              <w:rPr>
                <w:rFonts w:ascii="Arial" w:cs="Arial" w:eastAsia="Arial" w:hAnsi="Arial"/>
                <w:sz w:val="14"/>
                <w:szCs w:val="14"/>
                <w:color w:val="auto"/>
              </w:rPr>
              <w:t>- WesternGeco in-process R&amp;D charge</w:t>
            </w:r>
          </w:p>
        </w:tc>
        <w:tc>
          <w:tcPr>
            <w:tcW w:w="2920" w:type="dxa"/>
            <w:vAlign w:val="bottom"/>
            <w:gridSpan w:val="2"/>
          </w:tcPr>
          <w:p>
            <w:pPr>
              <w:ind w:left="28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21.0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56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liquidation of investments to fund</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WesternGeco transaction</w:t>
            </w: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9.4</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WesternGeco visa settlement</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ind w:left="320"/>
              <w:spacing w:after="0"/>
              <w:rPr>
                <w:sz w:val="20"/>
                <w:szCs w:val="20"/>
                <w:color w:val="auto"/>
              </w:rPr>
            </w:pPr>
            <w:r>
              <w:rPr>
                <w:rFonts w:ascii="Arial" w:cs="Arial" w:eastAsia="Arial" w:hAnsi="Arial"/>
                <w:sz w:val="14"/>
                <w:szCs w:val="14"/>
                <w:color w:val="auto"/>
              </w:rPr>
              <w:t>- Other in-process R&amp;D charges</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2920" w:type="dxa"/>
            <w:vAlign w:val="bottom"/>
            <w:gridSpan w:val="2"/>
            <w:shd w:val="clear" w:color="auto" w:fill="CCEEFF"/>
          </w:tcPr>
          <w:p>
            <w:pPr>
              <w:ind w:left="284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25273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Third quarter of 2005:</w:t>
      </w:r>
    </w:p>
    <w:p>
      <w:pPr>
        <w:spacing w:after="0" w:line="158" w:lineRule="exact"/>
        <w:rPr>
          <w:sz w:val="20"/>
          <w:szCs w:val="20"/>
          <w:color w:val="auto"/>
        </w:rPr>
      </w:pPr>
    </w:p>
    <w:p>
      <w:pPr>
        <w:ind w:left="780" w:right="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third quarter of 2005, 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8"/>
          <w:szCs w:val="18"/>
          <w:i w:val="1"/>
          <w:iCs w:val="1"/>
          <w:color w:val="auto"/>
        </w:rPr>
        <w:t>Interest &amp;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quarter of 2005:</w:t>
      </w:r>
    </w:p>
    <w:p>
      <w:pPr>
        <w:spacing w:after="0" w:line="158" w:lineRule="exact"/>
        <w:rPr>
          <w:sz w:val="20"/>
          <w:szCs w:val="20"/>
          <w:color w:val="auto"/>
        </w:rPr>
      </w:pPr>
    </w:p>
    <w:p>
      <w:pPr>
        <w:ind w:left="780" w:right="32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 March 2005, Schlumberger sold its facility in Montrouge, France for $230 million resulting in a pretax and after-tax gain of approximately $146 million, which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This transaction allowed for the utilization of a deferred tax asset that was previously offset by a valuation allowance of approximately $51 million.</w:t>
      </w:r>
    </w:p>
    <w:p>
      <w:pPr>
        <w:spacing w:after="0" w:line="12"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Schlumberger also recorded other real estate related pretax charges of approximately $12 million ($11 million after-tax), which are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&amp;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2005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3"/>
              </w:rPr>
              <w:t>Pretax</w:t>
            </w: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8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8"/>
              </w:rPr>
              <w:t>$(145.7)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Contingency resolution – Montrouge facility</w:t>
            </w: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20" w:type="dxa"/>
            <w:vAlign w:val="bottom"/>
          </w:tcPr>
          <w:p>
            <w:pPr>
              <w:ind w:left="320"/>
              <w:spacing w:after="0"/>
              <w:rPr>
                <w:sz w:val="20"/>
                <w:szCs w:val="20"/>
                <w:color w:val="auto"/>
              </w:rPr>
            </w:pPr>
            <w:r>
              <w:rPr>
                <w:rFonts w:ascii="Arial" w:cs="Arial" w:eastAsia="Arial" w:hAnsi="Arial"/>
                <w:sz w:val="14"/>
                <w:szCs w:val="14"/>
                <w:color w:val="auto"/>
              </w:rPr>
              <w:t>- Other real estate related charges</w:t>
            </w:r>
          </w:p>
        </w:tc>
        <w:tc>
          <w:tcPr>
            <w:tcW w:w="420" w:type="dxa"/>
            <w:vAlign w:val="bottom"/>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1"/>
              </w:rPr>
              <w:t>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$(151.4)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0.8</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Divestitures – Discontinued Operations</w:t>
      </w:r>
    </w:p>
    <w:p>
      <w:pPr>
        <w:spacing w:after="0" w:line="74"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Schlumberger sold its NPTest semiconductor testing business in July 2003 and reported it as a discontinued operation. This $9 million pretax and after-tax gain is reported as </w:t>
      </w:r>
      <w:r>
        <w:rPr>
          <w:rFonts w:ascii="Arial" w:cs="Arial" w:eastAsia="Arial" w:hAnsi="Arial"/>
          <w:sz w:val="16"/>
          <w:szCs w:val="16"/>
          <w:i w:val="1"/>
          <w:iCs w:val="1"/>
          <w:color w:val="auto"/>
        </w:rPr>
        <w:t>Income from 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in the second quarter of 2005.</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first quarter of 2005, Schlumberger completed the sales of its Global Tel*Link, Public Phones and Essentis businesses for $18 million in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recognized $8 million of revenue in 2005 relating to these divested businesses.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 from continuing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Earnings Per</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Share from</w:t>
            </w:r>
          </w:p>
        </w:tc>
        <w:tc>
          <w:tcPr>
            <w:tcW w:w="5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Continuing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Operations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999,824</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1,183,683</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540,803</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1,179,640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7,197</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7,197</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21,469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13,996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604</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1,007,021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1,243,966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548,000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1,231,846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auto"/>
            </w:tcBorders>
            <w:gridSpan w:val="3"/>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Earnings Per</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Share from</w:t>
            </w:r>
          </w:p>
        </w:tc>
        <w:tc>
          <w:tcPr>
            <w:tcW w:w="5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from</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Continuing</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Operations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Operations</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2,579,235</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1,182,795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1,538,441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1,178,596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21,591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21,591</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22,214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11,640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2,600,826</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1,243,579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6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1,560,032</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1,228,446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-2241550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-2241550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-2241550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-2241550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-2241550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-2241550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-1555750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-1555750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-1555750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-1555750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-1555750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-1555750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-1555750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-1555750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-1555750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-1555750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-1555750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-1555750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-1555750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-1555750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-1555750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-1555750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-715010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-715010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-715010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-715010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-715010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580" w:type="dxa"/>
            <w:vAlign w:val="bottom"/>
            <w:tcBorders>
              <w:top w:val="single" w:sz="8" w:color="auto"/>
            </w:tcBorders>
          </w:tcPr>
          <w:p>
            <w:pPr>
              <w:spacing w:after="0"/>
              <w:rPr>
                <w:sz w:val="12"/>
                <w:szCs w:val="12"/>
                <w:color w:val="auto"/>
              </w:rPr>
            </w:pPr>
          </w:p>
        </w:tc>
        <w:tc>
          <w:tcPr>
            <w:tcW w:w="53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5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74"/>
        </w:trPr>
        <w:tc>
          <w:tcPr>
            <w:tcW w:w="5580" w:type="dxa"/>
            <w:vAlign w:val="bottom"/>
          </w:tcPr>
          <w:p>
            <w:pPr>
              <w:spacing w:after="0"/>
              <w:rPr>
                <w:sz w:val="20"/>
                <w:szCs w:val="20"/>
                <w:color w:val="auto"/>
              </w:rPr>
            </w:pPr>
            <w:r>
              <w:rPr>
                <w:rFonts w:ascii="Arial" w:cs="Arial" w:eastAsia="Arial" w:hAnsi="Arial"/>
                <w:sz w:val="14"/>
                <w:szCs w:val="14"/>
                <w:color w:val="auto"/>
              </w:rPr>
              <w:t>Nine months</w:t>
            </w:r>
          </w:p>
        </w:tc>
        <w:tc>
          <w:tcPr>
            <w:tcW w:w="5340" w:type="dxa"/>
            <w:vAlign w:val="bottom"/>
          </w:tcPr>
          <w:p>
            <w:pPr>
              <w:jc w:val="right"/>
              <w:ind w:right="152"/>
              <w:spacing w:after="0"/>
              <w:rPr>
                <w:sz w:val="20"/>
                <w:szCs w:val="20"/>
                <w:color w:val="auto"/>
              </w:rPr>
            </w:pPr>
            <w:r>
              <w:rPr>
                <w:rFonts w:ascii="Arial" w:cs="Arial" w:eastAsia="Arial" w:hAnsi="Arial"/>
                <w:sz w:val="14"/>
                <w:szCs w:val="14"/>
                <w:b w:val="1"/>
                <w:bCs w:val="1"/>
                <w:color w:val="auto"/>
              </w:rPr>
              <w:t>1.3</w:t>
            </w:r>
          </w:p>
        </w:tc>
        <w:tc>
          <w:tcPr>
            <w:tcW w:w="500" w:type="dxa"/>
            <w:vAlign w:val="bottom"/>
          </w:tcPr>
          <w:p>
            <w:pPr>
              <w:jc w:val="right"/>
              <w:spacing w:after="0"/>
              <w:rPr>
                <w:sz w:val="20"/>
                <w:szCs w:val="20"/>
                <w:color w:val="auto"/>
              </w:rPr>
            </w:pPr>
            <w:r>
              <w:rPr>
                <w:rFonts w:ascii="Arial" w:cs="Arial" w:eastAsia="Arial" w:hAnsi="Arial"/>
                <w:sz w:val="14"/>
                <w:szCs w:val="14"/>
                <w:color w:val="auto"/>
              </w:rPr>
              <w:t>14.0</w:t>
            </w:r>
          </w:p>
        </w:tc>
      </w:tr>
    </w:tbl>
    <w:p>
      <w:pPr>
        <w:spacing w:after="0" w:line="10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WesternGeco Minority Interest</w:t>
      </w:r>
    </w:p>
    <w:p>
      <w:pPr>
        <w:spacing w:after="0" w:line="7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April 28, 2006, Schlumberger acquired the 30% minority interest in WesternGeco from Baker Hughes Incorporated for $2.4 billion in cash. Schlumberger also incurred direct acquisition costs of $6 million in connection with this transaction. As a result of this transaction, Schlumberger owns 100% of WesternGeco.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has been allocated to the proportionate share of net assets acquired based upon their estimated fair values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098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Technology (weighted average life of 15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Customer relationships (life of 20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Vessels (weighted average remaining life of 11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fixed assets (weighted average remaining life of 3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Multiclient seismic data (maximum life of 3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15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In-process research and development (expensed immediately- see Note 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2,406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amount allocated to goodwill represents the excess of the purchase price over the fair value of the net assets acquired. Approximately $0.7 billion to $0.8 billion of the $1.3 billion of goodwill is currently estimated to be tax deductible. In addition, $625 million of the goodwill created as a result of this transaction has been allocated to the Oilfield Services business segment (“OFS”) in recognition of the estimated present value of future synergies paid for in this transaction that will directly benefit OFS.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Customer relationships and Other identifiable intangible assets</w:t>
      </w:r>
    </w:p>
    <w:p>
      <w:pPr>
        <w:spacing w:after="0" w:line="7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Amortization expense relating to technology (primarily representing WesternGeco proprietary Q-Technology), customer relationships and all other identifiable intangible assets acquired in this transaction was approximately $5 million in the second quarter of 2006 and $8 million in the third quarter of 2006.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 and other fixed assets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$0.5 million in the second quarter of 2006 and $0.8 million in the third quarter of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the $41 million fair value adjustment. These capitalized costs will be charged to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 amortization period should be 3 years for all surveys in the multiclient seismic library at the time of the transaction, effectively resetting the minimum amortization period. Therefore, the $243 million of capitalized mutliclient seismic data costs will be charged to expense over a period no longer than the next 3 years from the date of the transaction. Surveys comprising the $202 million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ind w:right="20" w:firstLine="228"/>
        <w:spacing w:after="0" w:line="254" w:lineRule="auto"/>
        <w:rPr>
          <w:sz w:val="20"/>
          <w:szCs w:val="20"/>
          <w:color w:val="auto"/>
        </w:rPr>
      </w:pPr>
      <w:r>
        <w:rPr>
          <w:rFonts w:ascii="Arial" w:cs="Arial" w:eastAsia="Arial" w:hAnsi="Arial"/>
          <w:sz w:val="18"/>
          <w:szCs w:val="18"/>
          <w:color w:val="auto"/>
        </w:rPr>
        <w:t>The net impact of the $41 million fair value adjustment combined with the resetting of the minimum amortization period resulted in an approximate $9 million net reduction in multiclient amortization expense in the second quarter of 2006 and $10 million in the third quarter of 2006 as compared to what multiclient amortization expense would have been had this transaction not been consummated. These adjustments are currently estimated to result in a net reduction in multiclient amortization expense of approximately $9 million in the fourth quarter of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PetroAlliance Minority Interest</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December 9, 2003, Schlumberger announced that it had signed an agreement to acquire PetroAlliance Services Company Limited (“PetroAlliance Services”) over a 3-year period based on a formula determined at that time. In May 2006, Schlumberger acquired the remaining 49% of PetroAlliance Services that it did not own for $165 million in cash and 4,730,960 shares of Schlumberger common stock valued at approximately $330 million. The aggregate purchase price paid for PetroAlliance Services over the 3-year period was $650 million.</w:t>
      </w:r>
    </w:p>
    <w:p>
      <w:pPr>
        <w:spacing w:after="0" w:line="1"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$495 million purchase price paid in the second quarter of 2006 has been allocated to the proportionate share of net assets acquired based upon their estimated fair values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4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7"/>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4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Customer relationships (life of 12 years)</w:t>
            </w:r>
          </w:p>
        </w:tc>
        <w:tc>
          <w:tcPr>
            <w:tcW w:w="4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5 years)</w:t>
            </w:r>
          </w:p>
        </w:tc>
        <w:tc>
          <w:tcPr>
            <w:tcW w:w="4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4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60" w:type="dxa"/>
            <w:vAlign w:val="bottom"/>
          </w:tcPr>
          <w:p>
            <w:pPr>
              <w:ind w:left="320"/>
              <w:spacing w:after="0"/>
              <w:rPr>
                <w:sz w:val="20"/>
                <w:szCs w:val="20"/>
                <w:color w:val="auto"/>
              </w:rPr>
            </w:pPr>
            <w:r>
              <w:rPr>
                <w:rFonts w:ascii="Arial" w:cs="Arial" w:eastAsia="Arial" w:hAnsi="Arial"/>
                <w:sz w:val="14"/>
                <w:szCs w:val="14"/>
                <w:color w:val="auto"/>
              </w:rPr>
              <w:t>Goodwill</w:t>
            </w:r>
          </w:p>
        </w:tc>
        <w:tc>
          <w:tcPr>
            <w:tcW w:w="4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404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4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495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-27305</wp:posOffset>
            </wp:positionV>
            <wp:extent cx="20129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amount allocated to goodwill represents the excess of the purchase price over the fair value of the net assets acquired. The goodwill is not tax deductible.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During 2006, Schlumberger made certain other acquisitions, none of which were significant on an individual basis, for $110 million in cash.</w:t>
      </w:r>
    </w:p>
    <w:p>
      <w:pPr>
        <w:spacing w:after="0" w:line="15" w:lineRule="exact"/>
        <w:rPr>
          <w:sz w:val="20"/>
          <w:szCs w:val="20"/>
          <w:color w:val="auto"/>
        </w:rPr>
      </w:pPr>
    </w:p>
    <w:p>
      <w:pPr>
        <w:jc w:val="both"/>
        <w:ind w:right="320" w:firstLine="228"/>
        <w:spacing w:after="0" w:line="250" w:lineRule="auto"/>
        <w:rPr>
          <w:sz w:val="20"/>
          <w:szCs w:val="20"/>
          <w:color w:val="auto"/>
        </w:rPr>
      </w:pPr>
      <w:r>
        <w:rPr>
          <w:rFonts w:ascii="Arial" w:cs="Arial" w:eastAsia="Arial" w:hAnsi="Arial"/>
          <w:sz w:val="18"/>
          <w:szCs w:val="18"/>
          <w:color w:val="auto"/>
        </w:rPr>
        <w:t>Under the terms of certain past acquisitions, Schlumberger has obligations to pay additional consideration if specific conditions are met. Schlumberger has made payments of $63 million during 2006 with respect to certain transactions that were consummated in prior years, which have been recorded as additional goodwill.</w:t>
      </w:r>
    </w:p>
    <w:p>
      <w:pPr>
        <w:spacing w:after="0" w:line="1"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Proforma results relating to the above acquisitions, including the WesternGeco and PetroAlliance Services transactions, are not presented as the impact was not significant.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was $927 million on September 30, 2006 and $802 million on December 31, 2005. Schlumberger’s equity income from this joint venture, which is recorded one month in arrears was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540" w:type="dxa"/>
            <w:vAlign w:val="bottom"/>
            <w:tcBorders>
              <w:top w:val="single" w:sz="8" w:color="auto"/>
            </w:tcBorders>
          </w:tcPr>
          <w:p>
            <w:pPr>
              <w:spacing w:after="0"/>
              <w:rPr>
                <w:sz w:val="12"/>
                <w:szCs w:val="12"/>
                <w:color w:val="auto"/>
              </w:rPr>
            </w:pPr>
          </w:p>
        </w:tc>
        <w:tc>
          <w:tcPr>
            <w:tcW w:w="53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53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$ 35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w:t>
            </w:r>
          </w:p>
        </w:tc>
      </w:tr>
      <w:tr>
        <w:trPr>
          <w:trHeight w:val="174"/>
        </w:trPr>
        <w:tc>
          <w:tcPr>
            <w:tcW w:w="5540" w:type="dxa"/>
            <w:vAlign w:val="bottom"/>
          </w:tcPr>
          <w:p>
            <w:pPr>
              <w:spacing w:after="0"/>
              <w:rPr>
                <w:sz w:val="20"/>
                <w:szCs w:val="20"/>
                <w:color w:val="auto"/>
              </w:rPr>
            </w:pPr>
            <w:r>
              <w:rPr>
                <w:rFonts w:ascii="Arial" w:cs="Arial" w:eastAsia="Arial" w:hAnsi="Arial"/>
                <w:sz w:val="14"/>
                <w:szCs w:val="14"/>
                <w:color w:val="auto"/>
              </w:rPr>
              <w:t>Nine Months</w:t>
            </w:r>
          </w:p>
        </w:tc>
        <w:tc>
          <w:tcPr>
            <w:tcW w:w="5340" w:type="dxa"/>
            <w:vAlign w:val="bottom"/>
          </w:tcPr>
          <w:p>
            <w:pPr>
              <w:jc w:val="right"/>
              <w:ind w:right="212"/>
              <w:spacing w:after="0"/>
              <w:rPr>
                <w:sz w:val="20"/>
                <w:szCs w:val="20"/>
                <w:color w:val="auto"/>
              </w:rPr>
            </w:pPr>
            <w:r>
              <w:rPr>
                <w:rFonts w:ascii="Arial" w:cs="Arial" w:eastAsia="Arial" w:hAnsi="Arial"/>
                <w:sz w:val="14"/>
                <w:szCs w:val="14"/>
                <w:b w:val="1"/>
                <w:bCs w:val="1"/>
                <w:color w:val="auto"/>
              </w:rPr>
              <w:t>$ 92</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59</w:t>
            </w:r>
          </w:p>
        </w:tc>
      </w:tr>
    </w:tbl>
    <w:p>
      <w:pPr>
        <w:spacing w:after="0" w:line="114"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Schlumberger’s joint venture agreement with Smith International, Inc. contains a provision under which either party to the joint venture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wholly owned subsidiary of Schlumberger had an agreement to borrow up to $250 million and sell, on an ongoing basis, an undivided interest in its accounts receivable. The amount of receivables sold under this agreement totaled $470 million at December 31, 2005 (of which $34 million was drawn). Schlumberger terminated this agreement in the first quarter of 2006.</w:t>
      </w:r>
    </w:p>
    <w:p>
      <w:pPr>
        <w:spacing w:after="0" w:line="11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9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 30</w:t>
            </w:r>
          </w:p>
        </w:tc>
        <w:tc>
          <w:tcPr>
            <w:tcW w:w="4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9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6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1,389</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96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100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Sept. 30</w:t>
            </w:r>
          </w:p>
        </w:tc>
        <w:tc>
          <w:tcPr>
            <w:tcW w:w="4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10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&amp; equipment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13,289</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02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8,193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00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5,096</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 expense relating to fixed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200" w:type="dxa"/>
            <w:vAlign w:val="bottom"/>
            <w:tcBorders>
              <w:top w:val="single" w:sz="8" w:color="auto"/>
            </w:tcBorders>
          </w:tcPr>
          <w:p>
            <w:pPr>
              <w:spacing w:after="0"/>
              <w:rPr>
                <w:sz w:val="12"/>
                <w:szCs w:val="12"/>
                <w:color w:val="auto"/>
              </w:rPr>
            </w:pPr>
          </w:p>
        </w:tc>
        <w:tc>
          <w:tcPr>
            <w:tcW w:w="77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7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$307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r>
      <w:tr>
        <w:trPr>
          <w:trHeight w:val="174"/>
        </w:trPr>
        <w:tc>
          <w:tcPr>
            <w:tcW w:w="3200" w:type="dxa"/>
            <w:vAlign w:val="bottom"/>
          </w:tcPr>
          <w:p>
            <w:pPr>
              <w:spacing w:after="0"/>
              <w:rPr>
                <w:sz w:val="20"/>
                <w:szCs w:val="20"/>
                <w:color w:val="auto"/>
              </w:rPr>
            </w:pPr>
            <w:r>
              <w:rPr>
                <w:rFonts w:ascii="Arial" w:cs="Arial" w:eastAsia="Arial" w:hAnsi="Arial"/>
                <w:sz w:val="14"/>
                <w:szCs w:val="14"/>
                <w:color w:val="auto"/>
              </w:rPr>
              <w:t>Nine Months</w:t>
            </w:r>
          </w:p>
        </w:tc>
        <w:tc>
          <w:tcPr>
            <w:tcW w:w="7720" w:type="dxa"/>
            <w:vAlign w:val="bottom"/>
          </w:tcPr>
          <w:p>
            <w:pPr>
              <w:jc w:val="right"/>
              <w:ind w:right="152"/>
              <w:spacing w:after="0"/>
              <w:rPr>
                <w:sz w:val="20"/>
                <w:szCs w:val="20"/>
                <w:color w:val="auto"/>
              </w:rPr>
            </w:pPr>
            <w:r>
              <w:rPr>
                <w:rFonts w:ascii="Arial" w:cs="Arial" w:eastAsia="Arial" w:hAnsi="Arial"/>
                <w:sz w:val="14"/>
                <w:szCs w:val="14"/>
                <w:b w:val="1"/>
                <w:bCs w:val="1"/>
                <w:color w:val="auto"/>
              </w:rPr>
              <w:t>$898</w:t>
            </w:r>
          </w:p>
        </w:tc>
        <w:tc>
          <w:tcPr>
            <w:tcW w:w="50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284"/>
        </w:trPr>
        <w:tc>
          <w:tcPr>
            <w:tcW w:w="3200" w:type="dxa"/>
            <w:vAlign w:val="bottom"/>
          </w:tcPr>
          <w:p>
            <w:pPr>
              <w:spacing w:after="0"/>
              <w:rPr>
                <w:sz w:val="24"/>
                <w:szCs w:val="24"/>
                <w:color w:val="auto"/>
              </w:rPr>
            </w:pPr>
          </w:p>
        </w:tc>
        <w:tc>
          <w:tcPr>
            <w:tcW w:w="7720" w:type="dxa"/>
            <w:vAlign w:val="bottom"/>
          </w:tcPr>
          <w:p>
            <w:pPr>
              <w:jc w:val="right"/>
              <w:ind w:right="5072"/>
              <w:spacing w:after="0"/>
              <w:rPr>
                <w:sz w:val="20"/>
                <w:szCs w:val="20"/>
                <w:color w:val="auto"/>
              </w:rPr>
            </w:pPr>
            <w:r>
              <w:rPr>
                <w:rFonts w:ascii="Arial" w:cs="Arial" w:eastAsia="Arial" w:hAnsi="Arial"/>
                <w:sz w:val="14"/>
                <w:szCs w:val="14"/>
                <w:color w:val="auto"/>
              </w:rPr>
              <w:t>12</w:t>
            </w: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$ 222</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tcPr>
          <w:p>
            <w:pPr>
              <w:spacing w:after="0" w:line="149" w:lineRule="exact"/>
              <w:rPr>
                <w:sz w:val="20"/>
                <w:szCs w:val="20"/>
                <w:color w:val="auto"/>
              </w:rPr>
            </w:pPr>
            <w:r>
              <w:rPr>
                <w:rFonts w:ascii="Arial" w:cs="Arial" w:eastAsia="Arial" w:hAnsi="Arial"/>
                <w:sz w:val="14"/>
                <w:szCs w:val="14"/>
                <w:color w:val="auto"/>
              </w:rPr>
              <w:t>Capitalized in period</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adjustment (see Note 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20" w:type="dxa"/>
            <w:vAlign w:val="bottom"/>
          </w:tcPr>
          <w:p>
            <w:pPr>
              <w:spacing w:after="0"/>
              <w:rPr>
                <w:sz w:val="20"/>
                <w:szCs w:val="20"/>
                <w:color w:val="auto"/>
              </w:rPr>
            </w:pPr>
            <w:r>
              <w:rPr>
                <w:rFonts w:ascii="Arial" w:cs="Arial" w:eastAsia="Arial" w:hAnsi="Arial"/>
                <w:sz w:val="14"/>
                <w:szCs w:val="14"/>
                <w:color w:val="auto"/>
              </w:rPr>
              <w:t>Charged to cost of goods sold &amp; services</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2006</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nine months ended September 30, 2006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2"/>
              </w:rPr>
              <w:t>Oilfield</w:t>
            </w:r>
          </w:p>
        </w:tc>
        <w:tc>
          <w:tcPr>
            <w:tcW w:w="50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Western</w:t>
            </w: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Geco</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Acquisition of WesternGeco minority interest</w:t>
            </w: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PetroAlliance minority interest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404</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Other additions</w:t>
            </w: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124</w:t>
            </w: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3,841</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30416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9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 30</w:t>
            </w:r>
          </w:p>
        </w:tc>
        <w:tc>
          <w:tcPr>
            <w:tcW w:w="4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 31</w:t>
            </w:r>
          </w:p>
        </w:tc>
        <w:tc>
          <w:tcPr>
            <w:tcW w:w="0" w:type="dxa"/>
            <w:vAlign w:val="bottom"/>
          </w:tcPr>
          <w:p>
            <w:pPr>
              <w:spacing w:after="0"/>
              <w:rPr>
                <w:sz w:val="1"/>
                <w:szCs w:val="1"/>
                <w:color w:val="auto"/>
              </w:rPr>
            </w:pPr>
          </w:p>
        </w:tc>
      </w:tr>
      <w:tr>
        <w:trPr>
          <w:trHeight w:val="161"/>
        </w:trPr>
        <w:tc>
          <w:tcPr>
            <w:tcW w:w="9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book value</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1,247</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96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393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854</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7876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540" w:type="dxa"/>
            <w:vAlign w:val="bottom"/>
            <w:tcBorders>
              <w:top w:val="single" w:sz="8" w:color="auto"/>
            </w:tcBorders>
          </w:tcPr>
          <w:p>
            <w:pPr>
              <w:spacing w:after="0"/>
              <w:rPr>
                <w:sz w:val="12"/>
                <w:szCs w:val="12"/>
                <w:color w:val="auto"/>
              </w:rPr>
            </w:pPr>
          </w:p>
        </w:tc>
        <w:tc>
          <w:tcPr>
            <w:tcW w:w="53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53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$ 31</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w:t>
            </w:r>
          </w:p>
        </w:tc>
      </w:tr>
      <w:tr>
        <w:trPr>
          <w:trHeight w:val="174"/>
        </w:trPr>
        <w:tc>
          <w:tcPr>
            <w:tcW w:w="5540" w:type="dxa"/>
            <w:vAlign w:val="bottom"/>
          </w:tcPr>
          <w:p>
            <w:pPr>
              <w:spacing w:after="0"/>
              <w:rPr>
                <w:sz w:val="20"/>
                <w:szCs w:val="20"/>
                <w:color w:val="auto"/>
              </w:rPr>
            </w:pPr>
            <w:r>
              <w:rPr>
                <w:rFonts w:ascii="Arial" w:cs="Arial" w:eastAsia="Arial" w:hAnsi="Arial"/>
                <w:sz w:val="14"/>
                <w:szCs w:val="14"/>
                <w:color w:val="auto"/>
              </w:rPr>
              <w:t>Nine Months</w:t>
            </w:r>
          </w:p>
        </w:tc>
        <w:tc>
          <w:tcPr>
            <w:tcW w:w="5340" w:type="dxa"/>
            <w:vAlign w:val="bottom"/>
          </w:tcPr>
          <w:p>
            <w:pPr>
              <w:jc w:val="right"/>
              <w:ind w:right="212"/>
              <w:spacing w:after="0"/>
              <w:rPr>
                <w:sz w:val="20"/>
                <w:szCs w:val="20"/>
                <w:color w:val="auto"/>
              </w:rPr>
            </w:pPr>
            <w:r>
              <w:rPr>
                <w:rFonts w:ascii="Arial" w:cs="Arial" w:eastAsia="Arial" w:hAnsi="Arial"/>
                <w:sz w:val="14"/>
                <w:szCs w:val="14"/>
                <w:b w:val="1"/>
                <w:bCs w:val="1"/>
                <w:color w:val="auto"/>
              </w:rPr>
              <w:t>$ 80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w w:val="89"/>
              </w:rPr>
              <w:t>56</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2006, the gross book value, accumulated amortization and amortization periods of intangible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3480" w:type="dxa"/>
            <w:vAlign w:val="bottom"/>
            <w:tcBorders>
              <w:top w:val="single" w:sz="8" w:color="auto"/>
            </w:tcBorders>
          </w:tcPr>
          <w:p>
            <w:pPr>
              <w:spacing w:after="0"/>
              <w:rPr>
                <w:sz w:val="11"/>
                <w:szCs w:val="11"/>
                <w:color w:val="auto"/>
              </w:rPr>
            </w:pPr>
          </w:p>
        </w:tc>
        <w:tc>
          <w:tcPr>
            <w:tcW w:w="4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Gross</w:t>
            </w:r>
          </w:p>
        </w:tc>
        <w:tc>
          <w:tcPr>
            <w:tcW w:w="7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4880" w:type="dxa"/>
            <w:vAlign w:val="bottom"/>
            <w:gridSpan w:val="2"/>
          </w:tcPr>
          <w:p>
            <w:pPr>
              <w:ind w:left="4220"/>
              <w:spacing w:after="0"/>
              <w:rPr>
                <w:sz w:val="20"/>
                <w:szCs w:val="20"/>
                <w:color w:val="auto"/>
              </w:rPr>
            </w:pPr>
            <w:r>
              <w:rPr>
                <w:rFonts w:ascii="Arial" w:cs="Arial" w:eastAsia="Arial" w:hAnsi="Arial"/>
                <w:sz w:val="14"/>
                <w:szCs w:val="14"/>
                <w:b w:val="1"/>
                <w:bCs w:val="1"/>
                <w:color w:val="auto"/>
                <w:w w:val="83"/>
              </w:rPr>
              <w:t>Book Value</w:t>
            </w:r>
          </w:p>
        </w:tc>
        <w:tc>
          <w:tcPr>
            <w:tcW w:w="7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4400" w:type="dxa"/>
            <w:vAlign w:val="bottom"/>
            <w:shd w:val="clear" w:color="auto" w:fill="CCEEFF"/>
          </w:tcPr>
          <w:p>
            <w:pPr>
              <w:ind w:left="4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11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10 years</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44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5"/>
              </w:rPr>
              <w:t>– 15 years</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4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w:t>
            </w: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20 years</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20"/>
                <w:szCs w:val="20"/>
                <w:color w:val="auto"/>
              </w:rPr>
            </w:pPr>
            <w:r>
              <w:rPr>
                <w:rFonts w:ascii="Arial" w:cs="Arial" w:eastAsia="Arial" w:hAnsi="Arial"/>
                <w:sz w:val="14"/>
                <w:szCs w:val="14"/>
                <w:color w:val="auto"/>
              </w:rPr>
              <w:t>Other</w:t>
            </w:r>
          </w:p>
        </w:tc>
        <w:tc>
          <w:tcPr>
            <w:tcW w:w="4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74</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31</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580" w:type="dxa"/>
            <w:vAlign w:val="bottom"/>
          </w:tcPr>
          <w:p>
            <w:pPr>
              <w:jc w:val="right"/>
              <w:spacing w:after="0"/>
              <w:rPr>
                <w:sz w:val="20"/>
                <w:szCs w:val="20"/>
                <w:color w:val="auto"/>
              </w:rPr>
            </w:pPr>
            <w:r>
              <w:rPr>
                <w:rFonts w:ascii="Arial" w:cs="Arial" w:eastAsia="Arial" w:hAnsi="Arial"/>
                <w:sz w:val="14"/>
                <w:szCs w:val="14"/>
                <w:color w:val="auto"/>
                <w:w w:val="85"/>
              </w:rPr>
              <w:t>– 15 years</w:t>
            </w:r>
          </w:p>
        </w:tc>
        <w:tc>
          <w:tcPr>
            <w:tcW w:w="0" w:type="dxa"/>
            <w:vAlign w:val="bottom"/>
          </w:tcPr>
          <w:p>
            <w:pPr>
              <w:spacing w:after="0"/>
              <w:rPr>
                <w:sz w:val="1"/>
                <w:szCs w:val="1"/>
                <w:color w:val="auto"/>
              </w:rPr>
            </w:pPr>
          </w:p>
        </w:tc>
      </w:tr>
      <w:tr>
        <w:trPr>
          <w:trHeight w:val="84"/>
        </w:trPr>
        <w:tc>
          <w:tcPr>
            <w:tcW w:w="3480" w:type="dxa"/>
            <w:vAlign w:val="bottom"/>
            <w:tcBorders>
              <w:bottom w:val="single" w:sz="8" w:color="auto"/>
            </w:tcBorders>
          </w:tcPr>
          <w:p>
            <w:pPr>
              <w:spacing w:after="0"/>
              <w:rPr>
                <w:sz w:val="7"/>
                <w:szCs w:val="7"/>
                <w:color w:val="auto"/>
              </w:rPr>
            </w:pPr>
          </w:p>
        </w:tc>
        <w:tc>
          <w:tcPr>
            <w:tcW w:w="44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rPr>
                <w:sz w:val="12"/>
                <w:szCs w:val="12"/>
                <w:color w:val="auto"/>
              </w:rPr>
            </w:pPr>
          </w:p>
        </w:tc>
        <w:tc>
          <w:tcPr>
            <w:tcW w:w="4400" w:type="dxa"/>
            <w:vAlign w:val="bottom"/>
            <w:shd w:val="clear" w:color="auto" w:fill="CCEEFF"/>
          </w:tcPr>
          <w:p>
            <w:pPr>
              <w:ind w:left="4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w:t>
            </w:r>
          </w:p>
        </w:tc>
        <w:tc>
          <w:tcPr>
            <w:tcW w:w="118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480" w:type="dxa"/>
            <w:vAlign w:val="bottom"/>
          </w:tcPr>
          <w:p>
            <w:pPr>
              <w:spacing w:after="0"/>
              <w:rPr>
                <w:sz w:val="11"/>
                <w:szCs w:val="11"/>
                <w:color w:val="auto"/>
              </w:rPr>
            </w:pPr>
          </w:p>
        </w:tc>
        <w:tc>
          <w:tcPr>
            <w:tcW w:w="4400" w:type="dxa"/>
            <w:vAlign w:val="bottom"/>
            <w:vMerge w:val="restart"/>
          </w:tcPr>
          <w:p>
            <w:pPr>
              <w:jc w:val="right"/>
              <w:ind w:right="2032"/>
              <w:spacing w:after="0"/>
              <w:rPr>
                <w:sz w:val="20"/>
                <w:szCs w:val="20"/>
                <w:color w:val="auto"/>
              </w:rPr>
            </w:pPr>
            <w:r>
              <w:rPr>
                <w:rFonts w:ascii="Arial" w:cs="Arial" w:eastAsia="Arial" w:hAnsi="Arial"/>
                <w:sz w:val="14"/>
                <w:szCs w:val="14"/>
                <w:color w:val="auto"/>
              </w:rPr>
              <w:t>13</w:t>
            </w:r>
          </w:p>
        </w:tc>
        <w:tc>
          <w:tcPr>
            <w:tcW w:w="4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34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-292735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-292735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-292735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-292735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all intangible assets based on the net book value at September 30, 2006 is approximately 8 years.</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the net book value of intangible assets at September 30, 2006, amortization charged to income for the subsequent five years is estimated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2006 – $33 million, 2007- $114 million, 2008 – $97 million, 2009 – $67 million, 2010 – $60 million and 2011 – $58 million.</w:t>
      </w:r>
    </w:p>
    <w:p>
      <w:pPr>
        <w:spacing w:after="0" w:line="141"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Schlumberger historically had two types of stock-based compensation programs: stock options and a discounted stock purchase plan (“DSPP”). As described below, in the second quarter of 2006, Schlumberger implemented a restricted stock and restricted stock unit program (collectively referred to as “restricted stock”). Effective January 1, 2003, Schlumberger adopted the fair value recognition provisions of SFAS Nos. 123 and 148. Accordingly, Schlumberger began recording stock option and DSPP expense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in the third quarter of 2003 on a prospective basis for grants after January 1, 2003.</w:t>
      </w:r>
    </w:p>
    <w:p>
      <w:pPr>
        <w:ind w:right="60" w:firstLine="228"/>
        <w:spacing w:after="0" w:line="281"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and concludes that services received from employees in exchange for stock-based compensation results in a cost to the employer that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recognized in the financial statements. The cost of such awards should be measured at fair value at the date of grant.</w:t>
      </w:r>
    </w:p>
    <w:p>
      <w:pPr>
        <w:spacing w:after="0" w:line="2" w:lineRule="exact"/>
        <w:rPr>
          <w:sz w:val="20"/>
          <w:szCs w:val="20"/>
          <w:color w:val="auto"/>
        </w:rPr>
      </w:pPr>
    </w:p>
    <w:p>
      <w:pPr>
        <w:ind w:right="20" w:firstLine="228"/>
        <w:spacing w:after="0" w:line="292" w:lineRule="auto"/>
        <w:rPr>
          <w:sz w:val="20"/>
          <w:szCs w:val="20"/>
          <w:color w:val="auto"/>
        </w:rPr>
      </w:pPr>
      <w:r>
        <w:rPr>
          <w:rFonts w:ascii="Arial" w:cs="Arial" w:eastAsia="Arial" w:hAnsi="Arial"/>
          <w:sz w:val="16"/>
          <w:szCs w:val="16"/>
          <w:color w:val="auto"/>
        </w:rPr>
        <w:t>Schlumberger adopted SFAS 123R effective January 1, 2006, and is applying the modified prospective method, whereby compensation cost will be recognized for the unvested portion of awards granted during the period of January 1, 1995 to December 31, 2002. Such costs will be recognized in the financial statements of Schlumberger over the remaining vesting periods. Under this method, prior periods are not revised for comparative purposes. The adoption of this standard resulted in Schlumberger recording additional stock-based compensation charges of $6 million in the first quarter of 2006, $5 million in each of the second and third quarters of 2006 and it will result in an additional $5 million being recognized in the fourth quarter of 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7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Officers and key employees are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The gain on the awards granted during the period from January 2003 to January 2006 is capped at 125% of the exercise price. Awards granted subsequent to January 2006 do not have a cap on any potential gain and generally vest in increments over five years.</w:t>
      </w:r>
    </w:p>
    <w:p>
      <w:pPr>
        <w:spacing w:after="0" w:line="3" w:lineRule="exact"/>
        <w:rPr>
          <w:sz w:val="20"/>
          <w:szCs w:val="20"/>
          <w:color w:val="auto"/>
        </w:rPr>
      </w:pPr>
    </w:p>
    <w:p>
      <w:pPr>
        <w:ind w:right="700" w:firstLine="228"/>
        <w:spacing w:after="0" w:line="261" w:lineRule="auto"/>
        <w:rPr>
          <w:sz w:val="20"/>
          <w:szCs w:val="20"/>
          <w:color w:val="auto"/>
        </w:rPr>
      </w:pPr>
      <w:r>
        <w:rPr>
          <w:rFonts w:ascii="Arial" w:cs="Arial" w:eastAsia="Arial" w:hAnsi="Arial"/>
          <w:sz w:val="18"/>
          <w:szCs w:val="18"/>
          <w:color w:val="auto"/>
        </w:rPr>
        <w:t>The fair value of each stock option grant in 2006 was estimated on the date of grant using the Black-Scholes option-pricing model with the following weighted-average assumptions: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4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4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32.66%</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r>
      <w:tr>
        <w:trPr>
          <w:trHeight w:val="149"/>
        </w:trPr>
        <w:tc>
          <w:tcPr>
            <w:tcW w:w="638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4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6.1 years</w:t>
            </w:r>
          </w:p>
        </w:tc>
      </w:tr>
      <w:tr>
        <w:trPr>
          <w:trHeight w:val="149"/>
        </w:trPr>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fair value per share</w:t>
            </w:r>
          </w:p>
        </w:tc>
        <w:tc>
          <w:tcPr>
            <w:tcW w:w="4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19.95</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12, 2006, the stockholders of Schlumberger approved amendments to Schlumberger’s 2005 Stock Option Plan. These amendments included providing for the grant of restricted stock with respect to up to 3,000,000 shares of common stock, and providing that restricted stock may not be granted to executive officers of Schlumberger unless the grants are subject to performance-based vesting.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During the third quarter of 2006, Schlumberger granted 134,600 shares of restricted stock with a weighted average fair market value of $63.545 per share. During the second quarter of 2006, Schlumberger granted 490,600 shares of restricted stock with a weighted average fair market value of $66.03 per share. The fair value of restricted shares is based upon the market price of the underlying common stock as of the date of grant. Restricted stock awards generally vest at the end of three years, with the exception of certain grants which vest over a two year period with a two year holding period. There have not been any grants to date that are subject to performance-based 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72"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Under the terms of the Discounted Stock Purchase Plan (“DSPP”), employees can choose to have up to 10% of their annual earnings withheld to purchase Schlumberger common stock. The purchase price of the stock is 92.5% of the lower of the stock price at the beginning or end of the plan period at six 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4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940" w:type="dxa"/>
            <w:vAlign w:val="bottom"/>
          </w:tcPr>
          <w:p>
            <w:pPr>
              <w:jc w:val="right"/>
              <w:spacing w:after="0" w:line="149" w:lineRule="exact"/>
              <w:rPr>
                <w:sz w:val="20"/>
                <w:szCs w:val="20"/>
                <w:color w:val="auto"/>
              </w:rPr>
            </w:pPr>
            <w:r>
              <w:rPr>
                <w:rFonts w:ascii="Arial" w:cs="Arial" w:eastAsia="Arial" w:hAnsi="Arial"/>
                <w:sz w:val="14"/>
                <w:szCs w:val="14"/>
                <w:color w:val="auto"/>
              </w:rPr>
              <w:t>32.24%</w:t>
            </w: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4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r>
      <w:tr>
        <w:trPr>
          <w:trHeight w:val="172"/>
        </w:trPr>
        <w:tc>
          <w:tcPr>
            <w:tcW w:w="648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940" w:type="dxa"/>
            <w:vAlign w:val="bottom"/>
          </w:tcPr>
          <w:p>
            <w:pPr>
              <w:jc w:val="right"/>
              <w:ind w:right="52"/>
              <w:spacing w:after="0"/>
              <w:rPr>
                <w:sz w:val="20"/>
                <w:szCs w:val="20"/>
                <w:color w:val="auto"/>
              </w:rPr>
            </w:pPr>
            <w:r>
              <w:rPr>
                <w:rFonts w:ascii="Arial" w:cs="Arial" w:eastAsia="Arial" w:hAnsi="Arial"/>
                <w:sz w:val="14"/>
                <w:szCs w:val="14"/>
                <w:color w:val="auto"/>
              </w:rPr>
              <w:t>$ 8.83</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 – Based Compensation Expense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Nine Months</w:t>
            </w: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70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Pr>
          <w:p>
            <w:pPr>
              <w:spacing w:after="0"/>
              <w:rPr>
                <w:sz w:val="21"/>
                <w:szCs w:val="21"/>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2006, there was $252 million of total unrecognized compensation cost related to non-vested stock-based compensation arrangements. Approximately $30 million is expected to be recognized over the remainder of 2006, $90 million is expected to be recognized in 2007, $74 million in 2008, $50 million in 2009, $6 million in 2010 and $2 million in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Schlumberger applied the intrinsic value method of APB Opinion 25 for grants prior to January 1, 2003. Had compensation cost for stock-based awards granted prior to January 1, 2003 been determined based on the fair value at the grant dates, consistent with the fair value method of SFAS 123, Schlumberger’s net income and earnings per share would have been the pro forma amounts indicated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0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3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1,000</w:t>
            </w:r>
          </w:p>
        </w:tc>
        <w:tc>
          <w:tcPr>
            <w:tcW w:w="4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541</w:t>
            </w:r>
          </w:p>
        </w:tc>
        <w:tc>
          <w:tcPr>
            <w:tcW w:w="200" w:type="dxa"/>
            <w:vAlign w:val="bottom"/>
          </w:tcPr>
          <w:p>
            <w:pPr>
              <w:spacing w:after="0"/>
              <w:rPr>
                <w:sz w:val="12"/>
                <w:szCs w:val="12"/>
                <w:color w:val="auto"/>
              </w:rPr>
            </w:pPr>
          </w:p>
        </w:tc>
        <w:tc>
          <w:tcPr>
            <w:tcW w:w="3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2,579</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1,546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3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w:t>
            </w:r>
          </w:p>
        </w:tc>
        <w:tc>
          <w:tcPr>
            <w:tcW w:w="33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1,000</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2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2,579</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3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4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0.46</w:t>
            </w:r>
          </w:p>
        </w:tc>
        <w:tc>
          <w:tcPr>
            <w:tcW w:w="200" w:type="dxa"/>
            <w:vAlign w:val="bottom"/>
          </w:tcPr>
          <w:p>
            <w:pPr>
              <w:spacing w:after="0"/>
              <w:rPr>
                <w:sz w:val="12"/>
                <w:szCs w:val="12"/>
                <w:color w:val="auto"/>
              </w:rPr>
            </w:pPr>
          </w:p>
        </w:tc>
        <w:tc>
          <w:tcPr>
            <w:tcW w:w="3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3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2"/>
              </w:rPr>
              <w:t>(0.01)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33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3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4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200" w:type="dxa"/>
            <w:vAlign w:val="bottom"/>
          </w:tcPr>
          <w:p>
            <w:pPr>
              <w:spacing w:after="0"/>
              <w:rPr>
                <w:sz w:val="12"/>
                <w:szCs w:val="12"/>
                <w:color w:val="auto"/>
              </w:rPr>
            </w:pPr>
          </w:p>
        </w:tc>
        <w:tc>
          <w:tcPr>
            <w:tcW w:w="3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5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Proforma adjustments:</w:t>
            </w:r>
          </w:p>
        </w:tc>
        <w:tc>
          <w:tcPr>
            <w:tcW w:w="3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3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2"/>
              </w:rPr>
              <w:t>(0.01)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33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4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2.09</w:t>
            </w:r>
          </w:p>
        </w:tc>
        <w:tc>
          <w:tcPr>
            <w:tcW w:w="5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-1590040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-1590040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-1590040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-1590040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-1590040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-1590040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-1590040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-1590040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-809625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-809625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-809625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-809625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-809625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-809625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-809625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as of September 30, 2006: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4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remaining</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contractual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life 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(thousands)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5"/>
                <w:szCs w:val="15"/>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6"/>
              </w:rPr>
              <w:t>($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52,979</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31.38</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8,898</w:t>
            </w:r>
          </w:p>
        </w:tc>
        <w:tc>
          <w:tcPr>
            <w:tcW w:w="400" w:type="dxa"/>
            <w:vAlign w:val="bottom"/>
          </w:tcPr>
          <w:p>
            <w:pPr>
              <w:spacing w:after="0"/>
              <w:rPr>
                <w:sz w:val="12"/>
                <w:szCs w:val="12"/>
                <w:color w:val="auto"/>
              </w:rPr>
            </w:pPr>
          </w:p>
        </w:tc>
        <w:tc>
          <w:tcPr>
            <w:tcW w:w="4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9"/>
              </w:rPr>
              <w:t>55.78</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10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(9,720)</w:t>
            </w: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29.73</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tcPr>
          <w:p>
            <w:pPr>
              <w:spacing w:after="0"/>
              <w:rPr>
                <w:sz w:val="20"/>
                <w:szCs w:val="20"/>
                <w:color w:val="auto"/>
              </w:rPr>
            </w:pPr>
            <w:r>
              <w:rPr>
                <w:rFonts w:ascii="Arial" w:cs="Arial" w:eastAsia="Arial" w:hAnsi="Arial"/>
                <w:sz w:val="14"/>
                <w:szCs w:val="14"/>
                <w:color w:val="auto"/>
              </w:rPr>
              <w:t>Forfeited</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(1,550)</w:t>
            </w:r>
          </w:p>
        </w:tc>
        <w:tc>
          <w:tcPr>
            <w:tcW w:w="4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80"/>
              <w:spacing w:after="0"/>
              <w:rPr>
                <w:sz w:val="20"/>
                <w:szCs w:val="20"/>
                <w:color w:val="auto"/>
              </w:rPr>
            </w:pPr>
            <w:r>
              <w:rPr>
                <w:rFonts w:ascii="Arial" w:cs="Arial" w:eastAsia="Arial" w:hAnsi="Arial"/>
                <w:sz w:val="14"/>
                <w:szCs w:val="14"/>
                <w:color w:val="auto"/>
                <w:w w:val="79"/>
              </w:rPr>
              <w:t>27.31</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September 30, 2006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50,607</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36.08</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September 30, 2006</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29,970</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9"/>
              </w:rPr>
              <w:t>32.48</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-286385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-286385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-286385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-286385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-286385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-286385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-286385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-286385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intrinsic value of options exercised during the nine months ended September 30, 2006 was $313 million.</w:t>
      </w:r>
    </w:p>
    <w:p>
      <w:pPr>
        <w:spacing w:after="0" w:line="147"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Pretax book income from continuing operations subject to US and non-US income taxes was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Borders>
              <w:top w:val="single" w:sz="8" w:color="auto"/>
            </w:tcBorders>
          </w:tcPr>
          <w:p>
            <w:pPr>
              <w:spacing w:after="0"/>
              <w:rPr>
                <w:sz w:val="15"/>
                <w:szCs w:val="15"/>
                <w:color w:val="auto"/>
              </w:rPr>
            </w:pPr>
          </w:p>
        </w:tc>
        <w:tc>
          <w:tcPr>
            <w:tcW w:w="4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5"/>
              </w:rPr>
              <w:t>Nine Months</w:t>
            </w:r>
          </w:p>
        </w:tc>
        <w:tc>
          <w:tcPr>
            <w:tcW w:w="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48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4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444</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1,125</w:t>
            </w:r>
          </w:p>
        </w:tc>
        <w:tc>
          <w:tcPr>
            <w:tcW w:w="6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Outside United States</w:t>
            </w:r>
          </w:p>
        </w:tc>
        <w:tc>
          <w:tcPr>
            <w:tcW w:w="4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873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563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2,355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49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1,317</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3,480</w:t>
            </w:r>
          </w:p>
        </w:tc>
        <w:tc>
          <w:tcPr>
            <w:tcW w:w="6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60" w:type="dxa"/>
            <w:vAlign w:val="bottom"/>
            <w:vMerge w:val="restart"/>
          </w:tcPr>
          <w:p>
            <w:pPr>
              <w:jc w:val="right"/>
              <w:ind w:right="2432"/>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-292735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-292735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-292735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-292735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-292735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-292735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-292735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Schlumberger reported charges and credits in continuing operations in 2006 and 2005. These are described in more detail in Note 2—</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2006, Schlumberger recorded pretax charges of $46 million ($19 million in the US; $27 million outside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charges recorded in the third quarter of 2006. During the nine months ended September 30, 2005, Schlumberger recorded net pretax credits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$152 million ($2 million of charges in the US; $154 million of credits outside the US). During the third quarter of 2005, Schlumberger recorded pretax credits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 million outside of the US.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3"/>
              </w:rPr>
              <w:t>Sept. 30 2006</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5"/>
              </w:rPr>
              <w:t>Dec. 31 2005</w:t>
            </w: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17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256</w:t>
            </w:r>
          </w:p>
        </w:tc>
        <w:tc>
          <w:tcPr>
            <w:tcW w:w="119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17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17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900" w:type="dxa"/>
            <w:vAlign w:val="bottom"/>
          </w:tcPr>
          <w:p>
            <w:pPr>
              <w:spacing w:after="0"/>
              <w:rPr>
                <w:sz w:val="20"/>
                <w:szCs w:val="20"/>
                <w:color w:val="auto"/>
              </w:rPr>
            </w:pPr>
            <w:r>
              <w:rPr>
                <w:rFonts w:ascii="Arial" w:cs="Arial" w:eastAsia="Arial" w:hAnsi="Arial"/>
                <w:sz w:val="14"/>
                <w:szCs w:val="14"/>
                <w:color w:val="auto"/>
              </w:rPr>
              <w:t>Net operating losses</w:t>
            </w:r>
          </w:p>
        </w:tc>
        <w:tc>
          <w:tcPr>
            <w:tcW w:w="170" w:type="dxa"/>
            <w:vAlign w:val="bottom"/>
          </w:tcPr>
          <w:p>
            <w:pPr>
              <w:spacing w:after="0"/>
              <w:rPr>
                <w:sz w:val="15"/>
                <w:szCs w:val="15"/>
                <w:color w:val="auto"/>
              </w:rPr>
            </w:pPr>
          </w:p>
        </w:tc>
        <w:tc>
          <w:tcPr>
            <w:tcW w:w="59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8900" w:type="dxa"/>
            <w:vAlign w:val="bottom"/>
            <w:tcBorders>
              <w:bottom w:val="single" w:sz="8" w:color="auto"/>
            </w:tcBorders>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497</w:t>
            </w:r>
          </w:p>
        </w:tc>
        <w:tc>
          <w:tcPr>
            <w:tcW w:w="1190" w:type="dxa"/>
            <w:vAlign w:val="bottom"/>
            <w:gridSpan w:val="3"/>
            <w:shd w:val="clear" w:color="auto" w:fill="CCEEFF"/>
          </w:tcPr>
          <w:p>
            <w:pPr>
              <w:ind w:left="1040"/>
              <w:spacing w:after="0" w:line="149" w:lineRule="exact"/>
              <w:rPr>
                <w:sz w:val="20"/>
                <w:szCs w:val="20"/>
                <w:color w:val="auto"/>
              </w:rPr>
            </w:pPr>
            <w:r>
              <w:rPr>
                <w:rFonts w:ascii="Arial" w:cs="Arial" w:eastAsia="Arial" w:hAnsi="Arial"/>
                <w:sz w:val="14"/>
                <w:szCs w:val="14"/>
                <w:color w:val="auto"/>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9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deferred tax assets relating to net operating losses at September 30, 2006 and December 31, 2005 are net of valuation allowances in certain countries of $222 million and $213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w w:val="91"/>
              </w:rPr>
              <w:t>Third Quarter</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Nine Months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33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440" w:type="dxa"/>
            <w:vAlign w:val="bottom"/>
          </w:tcPr>
          <w:p>
            <w:pPr>
              <w:spacing w:after="0"/>
              <w:rPr>
                <w:sz w:val="12"/>
                <w:szCs w:val="12"/>
                <w:color w:val="auto"/>
              </w:rPr>
            </w:pP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240" w:type="dxa"/>
            <w:vAlign w:val="bottom"/>
          </w:tcPr>
          <w:p>
            <w:pPr>
              <w:spacing w:after="0"/>
              <w:rPr>
                <w:sz w:val="12"/>
                <w:szCs w:val="12"/>
                <w:color w:val="auto"/>
              </w:rPr>
            </w:pPr>
          </w:p>
        </w:tc>
        <w:tc>
          <w:tcPr>
            <w:tcW w:w="3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3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110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350</w:t>
            </w:r>
          </w:p>
        </w:tc>
        <w:tc>
          <w:tcPr>
            <w:tcW w:w="4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4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850</w:t>
            </w:r>
          </w:p>
        </w:tc>
        <w:tc>
          <w:tcPr>
            <w:tcW w:w="2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33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6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2"/>
                <w:szCs w:val="12"/>
                <w:color w:val="auto"/>
              </w:rPr>
            </w:pPr>
          </w:p>
        </w:tc>
        <w:tc>
          <w:tcPr>
            <w:tcW w:w="3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3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3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3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(33)</w:t>
            </w: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33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317</w:t>
            </w:r>
          </w:p>
        </w:tc>
        <w:tc>
          <w:tcPr>
            <w:tcW w:w="4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4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853</w:t>
            </w:r>
          </w:p>
        </w:tc>
        <w:tc>
          <w:tcPr>
            <w:tcW w:w="2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US statutory federal tax rate (35%) to the consolidated effective tax rate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320" w:type="dxa"/>
            <w:vAlign w:val="bottom"/>
            <w:tcBorders>
              <w:top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4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6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rate</w:t>
            </w:r>
          </w:p>
        </w:tc>
        <w:tc>
          <w:tcPr>
            <w:tcW w:w="4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35%</w:t>
            </w:r>
          </w:p>
        </w:tc>
        <w:tc>
          <w:tcPr>
            <w:tcW w:w="9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35%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3760" w:type="dxa"/>
            <w:vAlign w:val="bottom"/>
          </w:tcPr>
          <w:p>
            <w:pPr>
              <w:spacing w:after="0"/>
              <w:rPr>
                <w:sz w:val="12"/>
                <w:szCs w:val="12"/>
                <w:color w:val="auto"/>
              </w:rPr>
            </w:pP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468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(9)</w:t>
            </w:r>
          </w:p>
        </w:tc>
        <w:tc>
          <w:tcPr>
            <w:tcW w:w="9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(9)</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46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37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Valuation allowance (excluding impact of charges and credits)</w:t>
            </w:r>
          </w:p>
        </w:tc>
        <w:tc>
          <w:tcPr>
            <w:tcW w:w="3760" w:type="dxa"/>
            <w:vAlign w:val="bottom"/>
          </w:tcPr>
          <w:p>
            <w:pPr>
              <w:spacing w:after="0"/>
              <w:rPr>
                <w:sz w:val="12"/>
                <w:szCs w:val="12"/>
                <w:color w:val="auto"/>
              </w:rPr>
            </w:pP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37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w:t>
            </w:r>
          </w:p>
        </w:tc>
        <w:tc>
          <w:tcPr>
            <w:tcW w:w="9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Other</w:t>
            </w:r>
          </w:p>
        </w:tc>
        <w:tc>
          <w:tcPr>
            <w:tcW w:w="46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(1)</w:t>
            </w:r>
          </w:p>
        </w:tc>
        <w:tc>
          <w:tcPr>
            <w:tcW w:w="9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(1)</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4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24%</w:t>
            </w:r>
          </w:p>
        </w:tc>
        <w:tc>
          <w:tcPr>
            <w:tcW w:w="9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25%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760" w:type="dxa"/>
            <w:vAlign w:val="bottom"/>
            <w:vMerge w:val="restart"/>
          </w:tcPr>
          <w:p>
            <w:pPr>
              <w:jc w:val="right"/>
              <w:ind w:right="2432"/>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-292735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-292735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-292735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-292735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-292735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-292735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-292735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-292735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140" w:firstLine="228"/>
        <w:spacing w:after="0" w:line="303" w:lineRule="auto"/>
        <w:rPr>
          <w:sz w:val="20"/>
          <w:szCs w:val="20"/>
          <w:color w:val="auto"/>
        </w:rPr>
      </w:pPr>
      <w:r>
        <w:rPr>
          <w:rFonts w:ascii="Arial" w:cs="Arial" w:eastAsia="Arial" w:hAnsi="Arial"/>
          <w:sz w:val="15"/>
          <w:szCs w:val="15"/>
          <w:color w:val="auto"/>
        </w:rPr>
        <w:t>The charges and credits described in Note 2 increased the Schlumberger effective tax rate by less than one percentage point during the nine months ended September 30, 2006 and lowered the effective tax rate by two percentage points during the nine months ended September 30, 2005. There were no charges or credits recorded during the third quarter of 2006. The charges and credits lowered the effective tax rate by one percentage point during the third quarter of 2005.</w:t>
      </w:r>
    </w:p>
    <w:p>
      <w:pPr>
        <w:spacing w:after="0" w:line="1" w:lineRule="exact"/>
        <w:rPr>
          <w:sz w:val="20"/>
          <w:szCs w:val="20"/>
          <w:color w:val="auto"/>
        </w:rPr>
      </w:pPr>
    </w:p>
    <w:p>
      <w:pPr>
        <w:ind w:right="20" w:firstLine="228"/>
        <w:spacing w:after="0" w:line="292"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No.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Interpretation of FASB Statement No. 109 </w:t>
      </w:r>
      <w:r>
        <w:rPr>
          <w:rFonts w:ascii="Arial" w:cs="Arial" w:eastAsia="Arial" w:hAnsi="Arial"/>
          <w:sz w:val="16"/>
          <w:szCs w:val="16"/>
          <w:color w:val="auto"/>
        </w:rPr>
        <w:t>(FIN 48), which clarifies the accounting for uncertain tax positions. This interpretation requires companies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financial statements the impact of a tax position, if that position is more likely than not of being sustained on audit, based on the technical merits of the position. The provisions of FIN 48 are effective for Schlumberger on January 1, 2007, with the cumulative effect of the change in accounting principle, if any, recorded as an adjustment to opening retained earnings. Schlumberger is currently evaluating the impact of adopting FIN 48.</w:t>
      </w:r>
    </w:p>
    <w:p>
      <w:pPr>
        <w:spacing w:after="0" w:line="93"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 w:lineRule="exact"/>
        <w:rPr>
          <w:sz w:val="20"/>
          <w:szCs w:val="20"/>
          <w:color w:val="auto"/>
        </w:rPr>
      </w:pPr>
    </w:p>
    <w:p>
      <w:pPr>
        <w:jc w:val="both"/>
        <w:ind w:right="10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 xml:space="preserve">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(“USAO”)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As a result of this agreement, a pretax charge of approximately $10 million ($7 million after-tax and minority interest) was recorded in the second quarter of 2006 (see Note 2 </w:t>
      </w:r>
      <w:r>
        <w:rPr>
          <w:rFonts w:ascii="Arial" w:cs="Arial" w:eastAsia="Arial" w:hAnsi="Arial"/>
          <w:sz w:val="16"/>
          <w:szCs w:val="16"/>
          <w:i w:val="1"/>
          <w:iCs w:val="1"/>
          <w:color w:val="auto"/>
        </w:rPr>
        <w:t>Charges and Credits</w:t>
      </w:r>
      <w:r>
        <w:rPr>
          <w:rFonts w:ascii="Arial" w:cs="Arial" w:eastAsia="Arial" w:hAnsi="Arial"/>
          <w:sz w:val="16"/>
          <w:szCs w:val="16"/>
          <w:color w:val="auto"/>
        </w:rPr>
        <w:t>). Additionally, WesternGeco L.L.C. accepted a deferred prosecution agreement covering a one-year period, during which time WesternGeco L.L.C.’s Gulf of Mexico activities will be subject to monitoring by the USAO. At the conclusion of the one-year period, if WesternGeco L.L.C. has complied with the deferred prosecution agreement, such agreement will expire and no prosecution arising from the investigation will be brought. WesternGeco has also developed and implemented a comprehensive visa and immigration compliance program to prevent a recurrence of any improper visa practices.</w:t>
      </w:r>
    </w:p>
    <w:p>
      <w:pPr>
        <w:spacing w:after="0" w:line="7" w:lineRule="exact"/>
        <w:rPr>
          <w:sz w:val="20"/>
          <w:szCs w:val="20"/>
          <w:color w:val="auto"/>
        </w:rPr>
      </w:pPr>
    </w:p>
    <w:p>
      <w:pPr>
        <w:ind w:firstLine="228"/>
        <w:spacing w:after="0" w:line="361" w:lineRule="auto"/>
        <w:rPr>
          <w:sz w:val="20"/>
          <w:szCs w:val="20"/>
          <w:color w:val="auto"/>
        </w:rPr>
      </w:pPr>
      <w:r>
        <w:rPr>
          <w:rFonts w:ascii="Arial" w:cs="Arial" w:eastAsia="Arial" w:hAnsi="Arial"/>
          <w:sz w:val="15"/>
          <w:szCs w:val="15"/>
          <w:color w:val="auto"/>
        </w:rPr>
        <w:t>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61"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8"/>
              </w:rPr>
              <w:t>THIRD QUARTER 2006</w:t>
            </w: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8"/>
              </w:rPr>
              <w:t>THIRD QUARTER 2005</w:t>
            </w: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gridSpan w:val="2"/>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9"/>
              </w:rPr>
              <w:t>before</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after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tax &amp;</w:t>
            </w: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Minority</w:t>
            </w:r>
          </w:p>
        </w:tc>
        <w:tc>
          <w:tcPr>
            <w:tcW w:w="200" w:type="dxa"/>
            <w:vAlign w:val="bottom"/>
          </w:tcPr>
          <w:p>
            <w:pPr>
              <w:spacing w:after="0"/>
              <w:rPr>
                <w:sz w:val="12"/>
                <w:szCs w:val="12"/>
                <w:color w:val="auto"/>
              </w:rPr>
            </w:pPr>
          </w:p>
        </w:tc>
        <w:tc>
          <w:tcPr>
            <w:tcW w:w="6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tax &amp;</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tax &amp;</w:t>
            </w: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Minority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Tax</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tax &amp;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Interest</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1,346</w:t>
            </w:r>
          </w:p>
        </w:tc>
        <w:tc>
          <w:tcPr>
            <w:tcW w:w="3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3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3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3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946</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139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1,267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162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3,259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162</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3,698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544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5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line="176" w:lineRule="exact"/>
              <w:rPr>
                <w:sz w:val="20"/>
                <w:szCs w:val="20"/>
                <w:color w:val="auto"/>
              </w:rPr>
            </w:pPr>
            <w:r>
              <w:rPr>
                <w:rFonts w:ascii="Arial" w:cs="Arial" w:eastAsia="Arial" w:hAnsi="Arial"/>
                <w:sz w:val="13"/>
                <w:szCs w:val="13"/>
                <w:color w:val="auto"/>
              </w:rPr>
              <w:t>Interest Expense</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Charges and Credits</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-749300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-749300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-749300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-749300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-749300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-749300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-749300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-749300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-749300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-749300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-749300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-749300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-749300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-749300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-749300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-749300</wp:posOffset>
            </wp:positionV>
            <wp:extent cx="30416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-749300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-749300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-749300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-749300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-749300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-749300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interest expense included in the Segment results ($1 million in 2006; $3 million in 2005).</w:t>
      </w: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NINE MONTHS 2006</w:t>
            </w:r>
          </w:p>
        </w:tc>
        <w:tc>
          <w:tcPr>
            <w:tcW w:w="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7"/>
          </w:tcPr>
          <w:p>
            <w:pPr>
              <w:jc w:val="right"/>
              <w:ind w:right="32"/>
              <w:spacing w:after="0"/>
              <w:rPr>
                <w:sz w:val="20"/>
                <w:szCs w:val="20"/>
                <w:color w:val="auto"/>
              </w:rPr>
            </w:pPr>
            <w:r>
              <w:rPr>
                <w:rFonts w:ascii="Arial" w:cs="Arial" w:eastAsia="Arial" w:hAnsi="Arial"/>
                <w:sz w:val="14"/>
                <w:szCs w:val="14"/>
                <w:b w:val="1"/>
                <w:bCs w:val="1"/>
                <w:color w:val="auto"/>
              </w:rPr>
              <w:t>NINE MONTHS 2005</w:t>
            </w: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1"/>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before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79"/>
              </w:rPr>
              <w:t>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tax &amp;</w:t>
            </w:r>
          </w:p>
        </w:tc>
        <w:tc>
          <w:tcPr>
            <w:tcW w:w="8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Tax</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tax &amp;</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tax &amp;</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8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tax &amp;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MI</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MI</w:t>
            </w: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Expense</w:t>
            </w:r>
          </w:p>
        </w:tc>
        <w:tc>
          <w:tcPr>
            <w:tcW w:w="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OILFIELD SERVICES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3,837</w:t>
            </w:r>
          </w:p>
        </w:tc>
        <w:tc>
          <w:tcPr>
            <w:tcW w:w="3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3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$ 1,162</w:t>
            </w:r>
          </w:p>
        </w:tc>
        <w:tc>
          <w:tcPr>
            <w:tcW w:w="3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2,720</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421</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3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3,447</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3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2,520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8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12,138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2,552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1,502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13,881</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10,286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1,459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line="176" w:lineRule="exact"/>
              <w:rPr>
                <w:sz w:val="20"/>
                <w:szCs w:val="20"/>
                <w:color w:val="auto"/>
              </w:rPr>
            </w:pPr>
            <w:r>
              <w:rPr>
                <w:rFonts w:ascii="Arial" w:cs="Arial" w:eastAsia="Arial" w:hAnsi="Arial"/>
                <w:sz w:val="13"/>
                <w:szCs w:val="13"/>
                <w:color w:val="auto"/>
              </w:rPr>
              <w:t>Interest Expense</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Charges and Credits</w:t>
            </w:r>
            <w:r>
              <w:rPr>
                <w:rFonts w:ascii="Arial" w:cs="Arial" w:eastAsia="Arial" w:hAnsi="Arial"/>
                <w:sz w:val="20"/>
                <w:szCs w:val="20"/>
                <w:color w:val="auto"/>
                <w:vertAlign w:val="superscript"/>
              </w:rPr>
              <w:t>(2)</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$ 3,480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-749300</wp:posOffset>
            </wp:positionV>
            <wp:extent cx="34734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-749300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-749300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-749300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-749300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-749300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-749300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-749300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-749300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-749300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-749300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-749300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-749300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-749300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-749300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-749300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-749300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-749300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-749300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-749300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-749300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-749300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interest expense included in the Segment results ($5 million in 2006; $8 million in 2005).</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See Note 2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Pension and Other Postretirement Benefits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pension cost in the United States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3"/>
              </w:rPr>
              <w:t>Third Quarter</w:t>
            </w: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(35)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8"/>
              </w:rPr>
              <w:t>(28)</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(99)</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2006, Schlumberger made contributions of $203 million to its US pension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in the United Kingdom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3"/>
              </w:rPr>
              <w:t>Third Quarter</w:t>
            </w: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(13)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8"/>
              </w:rPr>
              <w:t>(11)</w:t>
            </w: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(39)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0" w:type="dxa"/>
            <w:vAlign w:val="bottom"/>
          </w:tcPr>
          <w:p>
            <w:pPr>
              <w:spacing w:after="0"/>
              <w:rPr>
                <w:sz w:val="20"/>
                <w:szCs w:val="20"/>
                <w:color w:val="auto"/>
              </w:rPr>
            </w:pPr>
            <w:r>
              <w:rPr>
                <w:rFonts w:ascii="Arial" w:cs="Arial" w:eastAsia="Arial" w:hAnsi="Arial"/>
                <w:sz w:val="14"/>
                <w:szCs w:val="14"/>
                <w:color w:val="auto"/>
              </w:rPr>
              <w:t>Amortization of unrecognized loss</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0129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2006, Schlumberger made contributions of $25 million to its UK pension plan.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postretirement benefit cost in the United States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3"/>
              </w:rPr>
              <w:t>Third Quarter</w:t>
            </w: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0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0" w:type="dxa"/>
            <w:vAlign w:val="bottom"/>
          </w:tcPr>
          <w:p>
            <w:pPr>
              <w:spacing w:after="0"/>
              <w:rPr>
                <w:sz w:val="20"/>
                <w:szCs w:val="20"/>
                <w:color w:val="auto"/>
              </w:rPr>
            </w:pPr>
            <w:r>
              <w:rPr>
                <w:rFonts w:ascii="Arial" w:cs="Arial" w:eastAsia="Arial" w:hAnsi="Arial"/>
                <w:sz w:val="14"/>
                <w:szCs w:val="14"/>
                <w:color w:val="auto"/>
              </w:rPr>
              <w:t>Amortization of unrecognized prior service cost</w:t>
            </w:r>
          </w:p>
        </w:tc>
        <w:tc>
          <w:tcPr>
            <w:tcW w:w="80" w:type="dxa"/>
            <w:vAlign w:val="bottom"/>
          </w:tcPr>
          <w:p>
            <w:pPr>
              <w:spacing w:after="0"/>
              <w:rPr>
                <w:sz w:val="15"/>
                <w:szCs w:val="15"/>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5"/>
                <w:szCs w:val="15"/>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7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(21)</w:t>
            </w:r>
          </w:p>
        </w:tc>
        <w:tc>
          <w:tcPr>
            <w:tcW w:w="1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postretirement benefit cost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2006, Schlumberger made contributions of $22 million to its US postretirement benefit plans.</w:t>
      </w:r>
    </w:p>
    <w:p>
      <w:pPr>
        <w:spacing w:after="0" w:line="77"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 xml:space="preserve">In September 2006, the FASB issued FAS No. 158, </w:t>
      </w:r>
      <w:r>
        <w:rPr>
          <w:rFonts w:ascii="Arial" w:cs="Arial" w:eastAsia="Arial" w:hAnsi="Arial"/>
          <w:sz w:val="18"/>
          <w:szCs w:val="18"/>
          <w:i w:val="1"/>
          <w:iCs w:val="1"/>
          <w:color w:val="auto"/>
        </w:rPr>
        <w:t>Employers’ Accounting for Defined Benefit Pension and Other Postretirement Plans,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Statements No. 87, 88, 106 and 132(R) </w:t>
      </w:r>
      <w:r>
        <w:rPr>
          <w:rFonts w:ascii="Arial" w:cs="Arial" w:eastAsia="Arial" w:hAnsi="Arial"/>
          <w:sz w:val="18"/>
          <w:szCs w:val="18"/>
          <w:color w:val="auto"/>
        </w:rPr>
        <w:t>(FAS 158). FAS 158 requires companies to recognize a liability or asset to reflect the funded status of their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and other postretirement benefit plans on their balance sheets. FAS 158 does not change how pension and other postretirement benefit costs are accounted for and reported in the statement of income. FAS 158 is effective as of December 31, 2006 for Schlumberger. Had FAS 158 been effective as of September 30, 2006, Schlumberger’s total liabilities would have increased by approximately 2% and stockholders’ equity would have decreased by approximately 2%.</w:t>
      </w:r>
    </w:p>
    <w:p>
      <w:pPr>
        <w:spacing w:after="0" w:line="120"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April 12, 2006, the stockholders of Schlumberger approved an amendment to the Schlumberger Articles of Incorporation to increase the authorized common share capital of Schlumberger (as defined in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Schlumberger Articles of Incorporation) from 1,500,000,000 shares to 3,000,000,000 shares. Schlumberger is now authorized to issue 3,000,000,000 shares of common stock, par value $0.01 per share, of which 1,178,215,304 and 1,177,604,218 shares were outstanding on September 30, 2006 and December 31, 2005,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6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w w:val="96"/>
              </w:rPr>
              <w:t>Third Quarter</w:t>
            </w:r>
          </w:p>
        </w:tc>
        <w:tc>
          <w:tcPr>
            <w:tcW w:w="5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w w:val="92"/>
              </w:rPr>
              <w:t>Nine Months</w:t>
            </w: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r>
      <w:tr>
        <w:trPr>
          <w:trHeight w:val="76"/>
        </w:trPr>
        <w:tc>
          <w:tcPr>
            <w:tcW w:w="67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r>
        <w:trPr>
          <w:trHeight w:val="250"/>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1"/>
                <w:szCs w:val="21"/>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chg</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1"/>
                <w:szCs w:val="21"/>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chg</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4"/>
              </w:rPr>
              <w:t>4,299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w w:val="84"/>
              </w:rPr>
              <w:t>3,259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3"/>
              </w:rPr>
              <w:t>12,138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6"/>
              <w:spacing w:after="0"/>
              <w:rPr>
                <w:sz w:val="20"/>
                <w:szCs w:val="20"/>
                <w:color w:val="auto"/>
              </w:rPr>
            </w:pPr>
            <w:r>
              <w:rPr>
                <w:rFonts w:ascii="Arial" w:cs="Arial" w:eastAsia="Arial" w:hAnsi="Arial"/>
                <w:sz w:val="18"/>
                <w:szCs w:val="18"/>
                <w:color w:val="auto"/>
                <w:w w:val="84"/>
              </w:rPr>
              <w:t>9,082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7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722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4"/>
              </w:rPr>
              <w:t>1,954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322"/>
        </w:trPr>
        <w:tc>
          <w:tcPr>
            <w:tcW w:w="672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4"/>
              </w:rPr>
              <w:t>1,197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85"/>
        </w:trPr>
        <w:tc>
          <w:tcPr>
            <w:tcW w:w="6720" w:type="dxa"/>
            <w:vAlign w:val="bottom"/>
          </w:tcPr>
          <w:p>
            <w:pPr>
              <w:spacing w:after="0"/>
              <w:rPr>
                <w:sz w:val="20"/>
                <w:szCs w:val="20"/>
                <w:color w:val="auto"/>
              </w:rPr>
            </w:pPr>
            <w:r>
              <w:rPr>
                <w:rFonts w:ascii="Arial" w:cs="Arial" w:eastAsia="Arial" w:hAnsi="Arial"/>
                <w:sz w:val="18"/>
                <w:szCs w:val="18"/>
                <w:color w:val="auto"/>
              </w:rPr>
              <w:t xml:space="preserve">Pretax Segment Income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6"/>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6"/>
              <w:spacing w:after="0"/>
              <w:rPr>
                <w:sz w:val="20"/>
                <w:szCs w:val="20"/>
                <w:color w:val="auto"/>
              </w:rPr>
            </w:pPr>
            <w:r>
              <w:rPr>
                <w:rFonts w:ascii="Arial" w:cs="Arial" w:eastAsia="Arial" w:hAnsi="Arial"/>
                <w:sz w:val="18"/>
                <w:szCs w:val="18"/>
                <w:color w:val="auto"/>
              </w:rPr>
              <w:t>207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181%</w:t>
            </w:r>
          </w:p>
        </w:tc>
      </w:tr>
    </w:tbl>
    <w:p>
      <w:pPr>
        <w:ind w:left="340" w:right="80" w:hanging="332"/>
        <w:spacing w:after="0" w:line="227"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Pretax segment income represents the business segment’s income before taxes and minority interest. Pretax segment income excludes corporate expenses, interest income, interest expense, amortization of certain intangibles, interest on postretirement benefits, stock-based compensation costs and the </w:t>
      </w:r>
      <w:r>
        <w:rPr>
          <w:rFonts w:ascii="Arial" w:cs="Arial" w:eastAsia="Arial" w:hAnsi="Arial"/>
          <w:sz w:val="14"/>
          <w:szCs w:val="14"/>
          <w:i w:val="1"/>
          <w:iCs w:val="1"/>
          <w:color w:val="auto"/>
        </w:rPr>
        <w:t>Charges and Credits</w:t>
      </w:r>
      <w:r>
        <w:rPr>
          <w:rFonts w:ascii="Arial" w:cs="Arial" w:eastAsia="Arial" w:hAnsi="Arial"/>
          <w:sz w:val="14"/>
          <w:szCs w:val="14"/>
          <w:color w:val="auto"/>
        </w:rPr>
        <w:t xml:space="preserv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as these items are not allocated to the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2006 Compared to Third Quarter 2005</w:t>
      </w:r>
    </w:p>
    <w:p>
      <w:pPr>
        <w:spacing w:after="0" w:line="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Operating revenue for the third quarter of 2006 was $4.95 billion versus $3.70 billion for the same period last year. Income from continuing operations before income taxes and minority interest was $1.32 billion in 2006 compared to $740 million in 2005. There were no Charges and Credits in the third quarter of 2006. The 2005 results included pretax credits in the third quarter of $17.8 million. These Charges and Credits are described in detail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for the third quarter of 2006 was $1.0 billion compared to $541 million in the same period of last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$4.30 billion was 4% higher sequentially and 32% higher year-on-year.</w:t>
      </w:r>
    </w:p>
    <w:p>
      <w:pPr>
        <w:spacing w:after="0" w:line="15"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Overall sequential revenue increases were highest in the Canada, US Land, Arabian and Caspian GeoMarkets. Marked increases were also experienced in the Eastern Russia and Thailand/Vietnam GeoMarkets. Demand was particularly strong for Drilling &amp; Measurements, Well Services, Completion Systems and Data &amp; Consulting Services technologies. Year-on-year revenue growth was posted in all Areas with North America (up 42%), followed by Europe/CIS/Africa (up 34%), Middle-East Asia (up 32%), and Latin America (up 11%). All Technologies recorded double-digit increases, except for IPM which was up 9%.</w:t>
      </w:r>
    </w:p>
    <w:p>
      <w:pPr>
        <w:spacing w:after="0" w:line="3" w:lineRule="exact"/>
        <w:rPr>
          <w:sz w:val="20"/>
          <w:szCs w:val="20"/>
          <w:color w:val="auto"/>
        </w:rPr>
      </w:pPr>
    </w:p>
    <w:p>
      <w:pPr>
        <w:ind w:right="140" w:firstLine="228"/>
        <w:spacing w:after="0" w:line="302" w:lineRule="auto"/>
        <w:rPr>
          <w:sz w:val="20"/>
          <w:szCs w:val="20"/>
          <w:color w:val="auto"/>
        </w:rPr>
      </w:pPr>
      <w:r>
        <w:rPr>
          <w:rFonts w:ascii="Arial" w:cs="Arial" w:eastAsia="Arial" w:hAnsi="Arial"/>
          <w:sz w:val="16"/>
          <w:szCs w:val="16"/>
          <w:color w:val="auto"/>
        </w:rPr>
        <w:t>Pretax operating income increased 8% sequentially (68% year-on-year), driven mainly by higher activity in the US Land and Canada GeoMarkets; strengthening activity in the North Sea, the Caspian, Arabian, Thailand/Vietnam, Indonesia and India GeoMarkets; and a more favorable mix of activity in Latin America. These factors resulted in sequential growth of 99 basis points (bps) in pretax operating margins to reach 28.2%.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of $1.35 billion increased 6% sequentially and 42% year-on-year. Pretax operating income of $410 million increased 9% sequentially and 88% year-on-year.</w:t>
      </w:r>
    </w:p>
    <w:p>
      <w:pPr>
        <w:ind w:right="240" w:firstLine="228"/>
        <w:spacing w:after="0" w:line="250" w:lineRule="auto"/>
        <w:rPr>
          <w:sz w:val="20"/>
          <w:szCs w:val="20"/>
          <w:color w:val="auto"/>
        </w:rPr>
      </w:pPr>
      <w:r>
        <w:rPr>
          <w:rFonts w:ascii="Arial" w:cs="Arial" w:eastAsia="Arial" w:hAnsi="Arial"/>
          <w:sz w:val="18"/>
          <w:szCs w:val="18"/>
          <w:color w:val="auto"/>
        </w:rPr>
        <w:t>Year-on-year revenue growth was driven by the absence of any major storms in the Gulf Coast combined with an increase in ultra deep water activity, rapid increase in rig count and pricing gains in US Land, and robust activity growth in Canada. Sequentially, Canada recorded strong revenue growth from higher activity following the spring break up. Growth in US Land resulted from sustained demand for Well Services, Drilling &amp; Measurements and Wireline technologies. This was partially offset by slightly reduced activity in the US Gulf Coast due to operator caution in anticipation of the hurricane season and by reduced activity in Alaska.</w:t>
      </w:r>
    </w:p>
    <w:p>
      <w:pPr>
        <w:spacing w:after="0" w:line="2" w:lineRule="exact"/>
        <w:rPr>
          <w:sz w:val="20"/>
          <w:szCs w:val="20"/>
          <w:color w:val="auto"/>
        </w:rPr>
      </w:pPr>
    </w:p>
    <w:p>
      <w:pPr>
        <w:jc w:val="both"/>
        <w:ind w:firstLine="228"/>
        <w:spacing w:after="0" w:line="250" w:lineRule="auto"/>
        <w:rPr>
          <w:sz w:val="20"/>
          <w:szCs w:val="20"/>
          <w:color w:val="auto"/>
        </w:rPr>
      </w:pPr>
      <w:r>
        <w:rPr>
          <w:rFonts w:ascii="Arial" w:cs="Arial" w:eastAsia="Arial" w:hAnsi="Arial"/>
          <w:sz w:val="18"/>
          <w:szCs w:val="18"/>
          <w:color w:val="auto"/>
        </w:rPr>
        <w:t>Pricing increases across the region, and the absence of any hurricane effect in the Gulf Coast drove pretax operating income growth year-on-year. Sequentially, strong returns on the significant activity increase in Canada and further strengthening of margins in US Land were offset by the falling profitability in Gulf Coast from the decline in high technology activity associated with ultra deep-water work scopes.</w:t>
      </w:r>
    </w:p>
    <w:p>
      <w:pPr>
        <w:spacing w:after="0" w:line="1" w:lineRule="exact"/>
        <w:rPr>
          <w:sz w:val="20"/>
          <w:szCs w:val="20"/>
          <w:color w:val="auto"/>
        </w:rPr>
      </w:pPr>
    </w:p>
    <w:p>
      <w:pPr>
        <w:ind w:right="40" w:firstLine="228"/>
        <w:spacing w:after="0" w:line="323" w:lineRule="auto"/>
        <w:rPr>
          <w:sz w:val="20"/>
          <w:szCs w:val="20"/>
          <w:color w:val="auto"/>
        </w:rPr>
      </w:pPr>
      <w:r>
        <w:rPr>
          <w:rFonts w:ascii="Arial" w:cs="Arial" w:eastAsia="Arial" w:hAnsi="Arial"/>
          <w:sz w:val="16"/>
          <w:szCs w:val="16"/>
          <w:color w:val="auto"/>
        </w:rPr>
        <w:t>Area pretax operating margins expanded by 81 bps sequentially, primarily driven by higher operating leverage, sustained pricing levels and a favorable mix of higher-margin activity in Canada and US Land. This growth was partially offset by operator caution in the US Gulf Coast and reduced activity in Alaska.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of $629 million decreased 6% sequentially but increased 11% year-on-year. Pretax operating income of $130 million increased 1% sequentially and 41% year-on-year.</w:t>
      </w:r>
    </w:p>
    <w:p>
      <w:pPr>
        <w:ind w:right="20" w:firstLine="228"/>
        <w:spacing w:after="0" w:line="281" w:lineRule="auto"/>
        <w:rPr>
          <w:sz w:val="20"/>
          <w:szCs w:val="20"/>
          <w:color w:val="auto"/>
        </w:rPr>
      </w:pPr>
      <w:r>
        <w:rPr>
          <w:rFonts w:ascii="Arial" w:cs="Arial" w:eastAsia="Arial" w:hAnsi="Arial"/>
          <w:sz w:val="16"/>
          <w:szCs w:val="16"/>
          <w:color w:val="auto"/>
        </w:rPr>
        <w:t>Year-on-year growth was led by the Venezuela/Trinidad &amp; Tobago GeoMarket from strong demand for Drilling &amp; Measurements technology, the Latin America South GeoMarket which experienced a ramp up in exploration activity in Brazil and increased Well services in Argentina, and the Peru/Colombia/Ecuador GeoMarket which saw rapid growth in Well Testing services. This was partially offset by a decline in Mexico as a result of client budget-related activity decreases. Sequentially, revenue declined in the Area as the positive effects of higher Drilling &amp; Measurements and Wireline activity and stronger product sales in the Venezuela/Trinidad &amp; Tobago GeoMarket together with higher demand for Well Services and Well Testing technologies in the Peru/Colombia/Ecuador GeoMarket, were unable to counter client budget-related activity declines in the Mexico GeoMarket. Reduced drilling activity, coupled with the completion of an IPM project in the Latin America South GeoMarket also contributed to the overall revenue decline.</w:t>
      </w:r>
    </w:p>
    <w:p>
      <w:pPr>
        <w:spacing w:after="0" w:line="5"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In Venezuela, discussions regarding new contracts for the drilling barges work and the settlement of certain outstanding receivables had progressed at the end of the quarter. Pending finalization of these new contracts, revenue recognition was deferred on certain work performed during the quarter. As the costs associated with this work were also deferred, this did not have a significant impact on the Area’s pretax operating income.</w:t>
      </w:r>
    </w:p>
    <w:p>
      <w:pPr>
        <w:spacing w:after="0" w:line="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Continued rising profitability in Drilling and Measurements and strong returns on increased Well Testing activity accounted for year-on-year gains in pretax operating income. The strong sequential gain in pretax operating margins of 135 bps was driven by a more favorable activity mix in both the Latin America South and Venezuela/Trinidad &amp; Tobago GeoMarkets and improved margins on integrated projects in Mexico, primarily as a result of reduced levels of lower margin third-party billings.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of $1.27 billion increased 7% sequentially and 34% year-on-year. Pretax operating income of $335 million increased 14% sequentially and 67% year-on-year.</w:t>
      </w:r>
    </w:p>
    <w:p>
      <w:pPr>
        <w:ind w:right="160" w:firstLine="228"/>
        <w:spacing w:after="0" w:line="255" w:lineRule="auto"/>
        <w:rPr>
          <w:sz w:val="20"/>
          <w:szCs w:val="20"/>
          <w:color w:val="auto"/>
        </w:rPr>
      </w:pPr>
      <w:r>
        <w:rPr>
          <w:rFonts w:ascii="Arial" w:cs="Arial" w:eastAsia="Arial" w:hAnsi="Arial"/>
          <w:sz w:val="18"/>
          <w:szCs w:val="18"/>
          <w:color w:val="auto"/>
        </w:rPr>
        <w:t>Year-on-year, strong double-digit revenue growth was achieved in all GeoMarkets with commencement of several integrated projects in North Africa, increased exploration activity in the Caspian, rapid take up of Drilling &amp; Measurements technologies in Nigeria, strong demand for new technology offerings in the North Sea</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as a result of work scopes shifting to more complex environments, and increased offshore exploration activities in East Russia. Sequential revenue growth in the Area was driven by higher activity in the Caspian and Eastern Russia GeoMarkets, and strong demand for higher-margin technologies in the North Sea. Overall growth in Russia resulted from higher land drilling activity and the seasonal pick-up in offshore activity in Sakhalin. Sequential growth was further boosted by higher rig count in Nigeria and pricing gains and extended Wireline activities in the West and South Africa GeoMarket.</w:t>
      </w:r>
    </w:p>
    <w:p>
      <w:pPr>
        <w:spacing w:after="0" w:line="3" w:lineRule="exact"/>
        <w:rPr>
          <w:sz w:val="20"/>
          <w:szCs w:val="20"/>
          <w:color w:val="auto"/>
        </w:rPr>
      </w:pPr>
    </w:p>
    <w:p>
      <w:pPr>
        <w:jc w:val="both"/>
        <w:ind w:right="40" w:firstLine="228"/>
        <w:spacing w:after="0" w:line="295" w:lineRule="auto"/>
        <w:rPr>
          <w:sz w:val="20"/>
          <w:szCs w:val="20"/>
          <w:color w:val="auto"/>
        </w:rPr>
      </w:pPr>
      <w:r>
        <w:rPr>
          <w:rFonts w:ascii="Arial" w:cs="Arial" w:eastAsia="Arial" w:hAnsi="Arial"/>
          <w:sz w:val="16"/>
          <w:szCs w:val="16"/>
          <w:color w:val="auto"/>
        </w:rPr>
        <w:t>Year-on-year pretax operating increases came from strong margins on the Caspian exploration activity, a move to premium priced offshore activity in Central Europe, and strong returns in the North Sea from pricing gains, increased application of new technologies and a move to more complex operating environments. Sequential gains in pretax operating margin of 156 bps resulted from a more favorable mix of technologies offshore in the Caspian, pricing and technology gains in the North Sea and stronger returns on higher-margin offshore activities in the Eastern Russia GeoMarket.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of $1.02 billion increased 5% sequentially and 32% year-on-year. Pretax operating income of $332 million increased 3% sequentially and 47% year-on-year.</w:t>
      </w:r>
    </w:p>
    <w:p>
      <w:pPr>
        <w:ind w:right="480" w:firstLine="228"/>
        <w:spacing w:after="0" w:line="281" w:lineRule="auto"/>
        <w:rPr>
          <w:sz w:val="20"/>
          <w:szCs w:val="20"/>
          <w:color w:val="auto"/>
        </w:rPr>
      </w:pPr>
      <w:r>
        <w:rPr>
          <w:rFonts w:ascii="Arial" w:cs="Arial" w:eastAsia="Arial" w:hAnsi="Arial"/>
          <w:sz w:val="16"/>
          <w:szCs w:val="16"/>
          <w:color w:val="auto"/>
        </w:rPr>
        <w:t>Year-on-year revenue growth came from the rapid rig count increase in the Arabian GeoMarket, increased exploration activity in the Thailand/Vietnam GeoMarket, and strong demand for Drilling and Measurements and Well Testing Services in the Australia/New Zealand/Papua New Guinea GeoMarket.</w:t>
      </w:r>
    </w:p>
    <w:p>
      <w:pPr>
        <w:spacing w:after="0" w:line="1" w:lineRule="exact"/>
        <w:rPr>
          <w:sz w:val="20"/>
          <w:szCs w:val="20"/>
          <w:color w:val="auto"/>
        </w:rPr>
      </w:pPr>
    </w:p>
    <w:p>
      <w:pPr>
        <w:jc w:val="both"/>
        <w:ind w:right="200" w:firstLine="228"/>
        <w:spacing w:after="0" w:line="250" w:lineRule="auto"/>
        <w:rPr>
          <w:sz w:val="20"/>
          <w:szCs w:val="20"/>
          <w:color w:val="auto"/>
        </w:rPr>
      </w:pPr>
      <w:r>
        <w:rPr>
          <w:rFonts w:ascii="Arial" w:cs="Arial" w:eastAsia="Arial" w:hAnsi="Arial"/>
          <w:sz w:val="18"/>
          <w:szCs w:val="18"/>
          <w:color w:val="auto"/>
        </w:rPr>
        <w:t>The sequential revenue growth resulted from higher rig count and gas exploration in the Arabian GeoMarket; exploration activity in the Thailand/Vietnam GeoMarket; increased drilling activity in the Australia/New Zealand/Papua New Guinea GeoMarket coupled with higher artificial lift product sales in the East Mediterranean GeoMarket.</w:t>
      </w:r>
    </w:p>
    <w:p>
      <w:pPr>
        <w:spacing w:after="0" w:line="1" w:lineRule="exact"/>
        <w:rPr>
          <w:sz w:val="20"/>
          <w:szCs w:val="20"/>
          <w:color w:val="auto"/>
        </w:rPr>
      </w:pPr>
    </w:p>
    <w:p>
      <w:pPr>
        <w:ind w:right="60" w:firstLine="228"/>
        <w:spacing w:after="0" w:line="331" w:lineRule="auto"/>
        <w:rPr>
          <w:sz w:val="20"/>
          <w:szCs w:val="20"/>
          <w:color w:val="auto"/>
        </w:rPr>
      </w:pPr>
      <w:r>
        <w:rPr>
          <w:rFonts w:ascii="Arial" w:cs="Arial" w:eastAsia="Arial" w:hAnsi="Arial"/>
          <w:sz w:val="15"/>
          <w:szCs w:val="15"/>
          <w:color w:val="auto"/>
        </w:rPr>
        <w:t>Year-on-year, the rising rig count, pricing gains and improved utilization of resources generated strong margin growth in pretax operating income. Sequential operating income growth was driven by expansion of higher margin Drilling &amp; Measurements Scope and PowerDrive services, Well Testing activities and Completion Systems product sales. The growth was attenuated by lower-margin sales in China and the end of a deepwater Well Services project in Malaysia.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Third-quarter revenue of $659 million was 17% higher sequentially and 51% higher compared to the same period last year. Pretax operating income of $242 million improved 35% sequentially and 183% year-on-year.</w:t>
      </w:r>
    </w:p>
    <w:p>
      <w:pPr>
        <w:ind w:right="20" w:firstLine="228"/>
        <w:spacing w:after="0" w:line="255" w:lineRule="auto"/>
        <w:rPr>
          <w:sz w:val="20"/>
          <w:szCs w:val="20"/>
          <w:color w:val="auto"/>
        </w:rPr>
      </w:pPr>
      <w:r>
        <w:rPr>
          <w:rFonts w:ascii="Arial" w:cs="Arial" w:eastAsia="Arial" w:hAnsi="Arial"/>
          <w:sz w:val="17"/>
          <w:szCs w:val="17"/>
          <w:color w:val="auto"/>
        </w:rPr>
        <w:t>The sequential revenue increase was driven by significant Multiclient sales arising from the E-Dog survey in North America as well as Multiclient sales in other regions following the seasonal low of the second quarter. Marine revenue increased through higher pricing and utilization, which reached 97% during the quarter, with the bulk of the marine fleet operating in Asia, Europe and North America. Land revenue declined due to weather-related shutdowns in South America and the Middle East coupled with the completion of projects in Saudi Arabia. During the quarter, WesternGeco mobilized a new Q-Land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crew in Libya and relocated the Q-Land crew from Egypt to Qatar following the completion of projects in the Western Desert. Data Processing revenue decreased with a reduction in activity in North America where resources were focused on the processing of multiclient surveys.</w:t>
      </w:r>
    </w:p>
    <w:p>
      <w:pPr>
        <w:spacing w:after="0" w:line="1" w:lineRule="exact"/>
        <w:rPr>
          <w:sz w:val="20"/>
          <w:szCs w:val="20"/>
          <w:color w:val="auto"/>
        </w:rPr>
      </w:pPr>
    </w:p>
    <w:p>
      <w:pPr>
        <w:ind w:right="300" w:firstLine="228"/>
        <w:spacing w:after="0" w:line="300" w:lineRule="auto"/>
        <w:rPr>
          <w:sz w:val="20"/>
          <w:szCs w:val="20"/>
          <w:color w:val="auto"/>
        </w:rPr>
      </w:pPr>
      <w:r>
        <w:rPr>
          <w:rFonts w:ascii="Arial" w:cs="Arial" w:eastAsia="Arial" w:hAnsi="Arial"/>
          <w:sz w:val="15"/>
          <w:szCs w:val="15"/>
          <w:color w:val="auto"/>
        </w:rPr>
        <w:t>The year-on-year revenue increase was led by Multiclient sales which increased 112% to $201 million. Marine revenue increased 43% with overall vessel utilization (including paid transits) at 97% in the current year, versus 92% in the previous year, augmented by improved pricing and contractual terms.</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Pretax operating margins improved sequentially by 482 bps to reach 36.8%. The higher utilization and improved pricing in Marine drove strong sequential improvement in pretax operating income. Multiclient margins increased on higher revenue following the seasonal reduction in activity during the second quarter. This growth was partially offset by Land due to lower utilization, while Data Processing remained flat.</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year-on-year increase in pretax operating income was led by Marine as a result of higher utilization, and improved pricing and contractual terms while Multiclient increased due to higher sales in North America.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2006 Compared to Nine Month 2005</w:t>
      </w:r>
    </w:p>
    <w:p>
      <w:pPr>
        <w:spacing w:after="0" w:line="74"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 xml:space="preserve">Operating revenue for the nine month period ended September 30, 2006 was $13.88 billion versus $10.29 billion for the same period last year. Income from continuing operations before income taxes and minority interest was $3.48 billion in 2006 compared to $2.07 billion in 2005. The 2006 results include pretax charges of $46 million, while the 2005 results include net pretax credits of $151 million. These Charges and Credits are described in detail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 w:lineRule="exact"/>
        <w:rPr>
          <w:sz w:val="20"/>
          <w:szCs w:val="20"/>
          <w:color w:val="auto"/>
        </w:rPr>
      </w:pPr>
    </w:p>
    <w:p>
      <w:pPr>
        <w:ind w:right="340" w:firstLine="228"/>
        <w:spacing w:after="0" w:line="261" w:lineRule="auto"/>
        <w:rPr>
          <w:sz w:val="20"/>
          <w:szCs w:val="20"/>
          <w:color w:val="auto"/>
        </w:rPr>
      </w:pPr>
      <w:r>
        <w:rPr>
          <w:rFonts w:ascii="Arial" w:cs="Arial" w:eastAsia="Arial" w:hAnsi="Arial"/>
          <w:sz w:val="18"/>
          <w:szCs w:val="18"/>
          <w:color w:val="auto"/>
        </w:rPr>
        <w:t>Net income for the nine month period ended September 30, 2006 was $2.58 billion compared to $1.55 billion in 2005. Net income in 2005 includes a gain from discontinued operations of $8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Nine months revenue of $12.14 billion was 34% higher than the same period last year. Pretax operating income of $3.29 billion increased 68%. Revenue growth was strongest in the Saudi Arabia/Kuwait/Bahrain/Pakistan, East Russia, Australasia, North Africa, and US Land GeoMarkets. All Technologies have generated double-digit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Revenue of $3.84 billion increased 41% compared to the same period last year. Pretax operating income of $1.16 billion increased 77%. Growth was driven by rising activity levels in US Land and Canada as a result of robust commodity prices and pricing improvements. In the Gulf Coast growth came from the increase in ultra deep-water activity and the absence of any significant storms. Strong double-digit revenue growth was achieved in all Technologies with the exception of Schlumberger Information Solutions.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of $1.89 billion was 19% higher compared to the same period last year. Pretax operating income of $354 million increased 48%. Increases were highest in Venezuela/Trinidad &amp; Tobago from increased Drilling &amp; Measurements and Well Services activity coupled with strong demand for completion products in Trinidad. Strong growth was also generated in Latin America South as a result of the introduction of the SCOPE family in Drilling &amp; Measurements combined with increased Well Testing in Brazil and Argentina, while Peru/Columbia/Ecuador growth was driven by ramp up in activity in Columbia, partially offset by several well construction projects coming to an end. Mexico growth has been hampered by the extended presidential elections that caused budget increases on key projects to be put on hold. Technology revenue growth was lead by Drilling &amp; Measurements, Data Consulting Services and Completion Systems.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$3.45 billion increased 37% compared to the same period last year. Pretax operating income of $839 million increased 75%. All GeoMarkets posted strong double-digit growth lead by Russia, with the inclusion of a full nine months of PetroAlliance Services activity (as compared to 4 months in the prior year period) and ramp-up in drilling programs across the region, which more than offset the impact of the severe winter weather at the start of the year. North Africa experienced strong growth from Integrated Project Management and Well Testing. Nigeria increases come from increased demand for the stimulation vessel and other well services, while North Sea, and West &amp; South Africa growth was driven by strong take up of new technologies in Wireline and Drilling &amp; Measurements coupled with pricing momentum. Year-on-year double-digit revenue growth was achieved in all Technologies, lead by Integrated Project Management and Drilling &amp; Measurements.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of $2.86 billion was 32% higher compared to the same period last year. Pretax operating income of $925 million increased 52%. Rapid increase in rig count in Saudi Arabia (up 56% year-on-year) has fuelled exceptional growth in the Arabian GeoMarket, while increased levels of exploration and other drilling activity have enhanced revenues in Australasia. Brunei/Malaysia/Philippines saw increased activity on the BIMA rig management and BOKOR integrated projects and significant increases in demand for well services and Drilling &amp; Measurements. East Mediterranean growth came from increased logging and drilling activity. This was partially offset by declining activity in Iran with the present political unrest impacting growth, and the absence of rig management services in Indonesia. Completion Services and Drilling and Measurements led technology revenue growth in the region.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7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Nine month revenue for WesternGeco of $1.75 billion was 46% higher compared to the same period last year with all product lines contributing to the strong growth.</w:t>
      </w:r>
    </w:p>
    <w:p>
      <w:pPr>
        <w:ind w:right="20" w:firstLine="228"/>
        <w:spacing w:after="0" w:line="281" w:lineRule="auto"/>
        <w:rPr>
          <w:sz w:val="20"/>
          <w:szCs w:val="20"/>
          <w:color w:val="auto"/>
        </w:rPr>
      </w:pPr>
      <w:r>
        <w:rPr>
          <w:rFonts w:ascii="Arial" w:cs="Arial" w:eastAsia="Arial" w:hAnsi="Arial"/>
          <w:sz w:val="16"/>
          <w:szCs w:val="16"/>
          <w:color w:val="auto"/>
        </w:rPr>
        <w:t>The strong increase in Marine revenue was mainly due to significantly higher vessel fleet utilization, continued strong demand for Q-Marine technology coupled with better pricing and terms and conditions on most contracts. Marine activity increased mainly in Europe, Asia, India, North America, North Africa and the Middle East. Land increased primarily in North Africa and, to a lesser extent, in South America. Multiclient sales increased in North America, reflecting a strong multiclient market and the success of large reprocessing projects. Data Processing increased significantly, predominantly in India and North Africa.</w:t>
      </w:r>
    </w:p>
    <w:p>
      <w:pPr>
        <w:spacing w:after="0" w:line="3" w:lineRule="exact"/>
        <w:rPr>
          <w:sz w:val="20"/>
          <w:szCs w:val="20"/>
          <w:color w:val="auto"/>
        </w:rPr>
      </w:pPr>
    </w:p>
    <w:p>
      <w:pPr>
        <w:ind w:right="700" w:firstLine="228"/>
        <w:spacing w:after="0" w:line="261" w:lineRule="auto"/>
        <w:rPr>
          <w:sz w:val="20"/>
          <w:szCs w:val="20"/>
          <w:color w:val="auto"/>
        </w:rPr>
      </w:pPr>
      <w:r>
        <w:rPr>
          <w:rFonts w:ascii="Arial" w:cs="Arial" w:eastAsia="Arial" w:hAnsi="Arial"/>
          <w:sz w:val="18"/>
          <w:szCs w:val="18"/>
          <w:color w:val="auto"/>
        </w:rPr>
        <w:t>Pretax income of $580 million improved by $373 million year-on-year. The income growth was mainly attributable to Marine with higher Q-activity, improved pricing and contractual terms and increased Multiclient sales with strong margins.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20" w:type="dxa"/>
            <w:vAlign w:val="bottom"/>
            <w:tcBorders>
              <w:top w:val="single" w:sz="8" w:color="auto"/>
            </w:tcBorders>
          </w:tcPr>
          <w:p>
            <w:pPr>
              <w:spacing w:after="0"/>
              <w:rPr>
                <w:sz w:val="15"/>
                <w:szCs w:val="15"/>
                <w:color w:val="auto"/>
              </w:rPr>
            </w:pPr>
          </w:p>
        </w:tc>
        <w:tc>
          <w:tcPr>
            <w:tcW w:w="84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8"/>
              </w:rPr>
              <w:t>Third Quarter</w:t>
            </w:r>
          </w:p>
        </w:tc>
        <w:tc>
          <w:tcPr>
            <w:tcW w:w="5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20" w:type="dxa"/>
            <w:vAlign w:val="bottom"/>
          </w:tcPr>
          <w:p>
            <w:pPr>
              <w:spacing w:after="0"/>
              <w:rPr>
                <w:sz w:val="6"/>
                <w:szCs w:val="6"/>
                <w:color w:val="auto"/>
              </w:rPr>
            </w:pPr>
          </w:p>
        </w:tc>
        <w:tc>
          <w:tcPr>
            <w:tcW w:w="8420" w:type="dxa"/>
            <w:vAlign w:val="bottom"/>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21"/>
                <w:szCs w:val="21"/>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49"/>
        </w:trPr>
        <w:tc>
          <w:tcPr>
            <w:tcW w:w="8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4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76"/>
              </w:rPr>
              <w:t>119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liquidation of investments to fund the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42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WesternGeco transaction </w:t>
            </w:r>
            <w:r>
              <w:rPr>
                <w:rFonts w:ascii="Arial" w:cs="Arial" w:eastAsia="Arial" w:hAnsi="Arial"/>
                <w:sz w:val="20"/>
                <w:szCs w:val="20"/>
                <w:color w:val="auto"/>
                <w:vertAlign w:val="superscript"/>
              </w:rPr>
              <w:t>1</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sale of Montrouge facility</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4"/>
                <w:szCs w:val="14"/>
                <w:color w:val="auto"/>
                <w:w w:val="85"/>
              </w:rPr>
              <w:t>Other</w:t>
            </w:r>
          </w:p>
        </w:tc>
        <w:tc>
          <w:tcPr>
            <w:tcW w:w="8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2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8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200</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315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20" w:type="dxa"/>
            <w:vAlign w:val="bottom"/>
          </w:tcPr>
          <w:p>
            <w:pPr>
              <w:spacing w:after="0"/>
              <w:rPr>
                <w:sz w:val="20"/>
                <w:szCs w:val="20"/>
                <w:color w:val="auto"/>
              </w:rPr>
            </w:pPr>
            <w:r>
              <w:rPr>
                <w:rFonts w:ascii="Arial" w:cs="Arial" w:eastAsia="Arial" w:hAnsi="Arial"/>
                <w:sz w:val="14"/>
                <w:szCs w:val="14"/>
                <w:color w:val="auto"/>
              </w:rPr>
              <w:t>1.</w:t>
            </w:r>
          </w:p>
        </w:tc>
        <w:tc>
          <w:tcPr>
            <w:tcW w:w="8420" w:type="dxa"/>
            <w:vAlign w:val="bottom"/>
          </w:tcPr>
          <w:p>
            <w:pPr>
              <w:ind w:left="20"/>
              <w:spacing w:after="0"/>
              <w:rPr>
                <w:sz w:val="20"/>
                <w:szCs w:val="20"/>
                <w:color w:val="auto"/>
              </w:rPr>
            </w:pPr>
            <w:r>
              <w:rPr>
                <w:rFonts w:ascii="Arial" w:cs="Arial" w:eastAsia="Arial" w:hAnsi="Arial"/>
                <w:sz w:val="14"/>
                <w:szCs w:val="14"/>
                <w:color w:val="auto"/>
              </w:rPr>
              <w:t xml:space="preserve">See discussion of Charges and Credits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-463550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-463550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-463550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-463550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-463550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-463550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-463550</wp:posOffset>
            </wp:positionV>
            <wp:extent cx="20129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17589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2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average return on investment increased from 3.4% in the third quarter of 2005 to 5.1% in the third quarter of 2006 and the weighted average investment balance of $2.0 billion in 2006 decreased $1.16 billion compared to 2005. The decrease in the weighted average investment balance is primarily attributable to the funding of the WesternGeco transaction.</w:t>
      </w:r>
    </w:p>
    <w:p>
      <w:pPr>
        <w:ind w:right="380" w:firstLine="228"/>
        <w:spacing w:after="0" w:line="261" w:lineRule="auto"/>
        <w:rPr>
          <w:sz w:val="20"/>
          <w:szCs w:val="20"/>
          <w:color w:val="auto"/>
        </w:rPr>
      </w:pPr>
      <w:r>
        <w:rPr>
          <w:rFonts w:ascii="Arial" w:cs="Arial" w:eastAsia="Arial" w:hAnsi="Arial"/>
          <w:sz w:val="18"/>
          <w:szCs w:val="18"/>
          <w:color w:val="auto"/>
        </w:rPr>
        <w:t>The average return on investment increased from 3.1% in the first nine months of 2005 to 4.5% in the first nine months of 2006 and the weighted average investment balance of $2.7 billion in 2006 decreased $326 million compared to 2005.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increase in equity in net earnings of affiliated companies is primarily due to the results of the drilling fluids joint venture that Schlumberger operates with Smith International, Inc. combined with the positive impact from recent minority interest 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Interest expense of $62.4 million in the third quarter of 2006 increased by $11.7 million compared to the same period last year. The weighted average borrowing rates of 4.7% increased in the third quarter of 2006 from 4.5% in the same period last year. The weighted average debt balance of $5.2 billion in the third quarter of 2006 increased by $748 million compared to the same period last year. The increase in the weighted average debt balance is primarily attributable to the funding of the WesternGeco transaction.</w:t>
      </w:r>
    </w:p>
    <w:p>
      <w:pPr>
        <w:spacing w:after="0" w:line="1" w:lineRule="exact"/>
        <w:rPr>
          <w:sz w:val="20"/>
          <w:szCs w:val="20"/>
          <w:color w:val="auto"/>
        </w:rPr>
      </w:pPr>
    </w:p>
    <w:p>
      <w:pPr>
        <w:jc w:val="both"/>
        <w:ind w:right="200" w:firstLine="228"/>
        <w:spacing w:after="0" w:line="302" w:lineRule="auto"/>
        <w:rPr>
          <w:sz w:val="20"/>
          <w:szCs w:val="20"/>
          <w:color w:val="auto"/>
        </w:rPr>
      </w:pPr>
      <w:r>
        <w:rPr>
          <w:rFonts w:ascii="Arial" w:cs="Arial" w:eastAsia="Arial" w:hAnsi="Arial"/>
          <w:sz w:val="16"/>
          <w:szCs w:val="16"/>
          <w:color w:val="auto"/>
        </w:rPr>
        <w:t>Interest expense of $171.6 million in the first nine months of 2006 increased by $24.0 million compared to the same period last year. The weighted average borrowing rates of 4.6% increased in the first nine months of 2006 from 4.4% in the same period last year. The weighted average debt balance of $5.0 billion in the first nine months of 2006 increased by $455 million compared to the same period last year, primarily due to the funding of the WesternGeco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Other</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Gross margin was 32.0% and 25.3% in the third quarters of 2006 and 2005, and 30.6% and 24.9% in the nine month periods ended September 30, 2006 and 2005, respectively. The increase in gross margin is primarily due to higher activity, increased pricing, stronger demand for higher-margin technologies, and operating efficiency improvements.</w:t>
      </w:r>
    </w:p>
    <w:p>
      <w:pPr>
        <w:ind w:left="240"/>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third quarter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and 2005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8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95"/>
        </w:trPr>
        <w:tc>
          <w:tcPr>
            <w:tcW w:w="48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4840" w:type="dxa"/>
            <w:vAlign w:val="bottom"/>
          </w:tcPr>
          <w:p>
            <w:pPr>
              <w:spacing w:after="0"/>
              <w:rPr>
                <w:sz w:val="21"/>
                <w:szCs w:val="21"/>
                <w:color w:val="auto"/>
              </w:rPr>
            </w:pPr>
          </w:p>
        </w:tc>
        <w:tc>
          <w:tcPr>
            <w:tcW w:w="40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2005</w:t>
            </w:r>
          </w:p>
        </w:tc>
        <w:tc>
          <w:tcPr>
            <w:tcW w:w="1020" w:type="dxa"/>
            <w:vAlign w:val="bottom"/>
          </w:tcPr>
          <w:p>
            <w:pPr>
              <w:jc w:val="right"/>
              <w:ind w:right="672"/>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1"/>
                <w:szCs w:val="2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engineering</w:t>
            </w:r>
          </w:p>
        </w:tc>
        <w:tc>
          <w:tcPr>
            <w:tcW w:w="40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3.0%</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w:t>
            </w:r>
          </w:p>
        </w:tc>
        <w:tc>
          <w:tcPr>
            <w:tcW w:w="10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3.2% *</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40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0.4%</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0.4%</w:t>
            </w:r>
          </w:p>
        </w:tc>
        <w:tc>
          <w:tcPr>
            <w:tcW w:w="10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0.4%</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400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2.2%</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w:t>
            </w:r>
          </w:p>
        </w:tc>
        <w:tc>
          <w:tcPr>
            <w:tcW w:w="102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b w:val="1"/>
                <w:bCs w:val="1"/>
                <w:color w:val="auto"/>
              </w:rPr>
              <w:t>2.2%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r>
    </w:tbl>
    <w:p>
      <w:pPr>
        <w:spacing w:after="0" w:line="3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7"/>
          <w:szCs w:val="27"/>
          <w:color w:val="auto"/>
          <w:vertAlign w:val="superscript"/>
        </w:rPr>
      </w:pPr>
      <w:r>
        <w:rPr>
          <w:rFonts w:ascii="Arial" w:cs="Arial" w:eastAsia="Arial" w:hAnsi="Arial"/>
          <w:sz w:val="14"/>
          <w:szCs w:val="14"/>
          <w:color w:val="auto"/>
        </w:rPr>
        <w:t xml:space="preserve">Includes $27 million of in-process research and development charges. </w:t>
      </w:r>
      <w:r>
        <w:rPr>
          <w:rFonts w:ascii="Arial" w:cs="Arial" w:eastAsia="Arial" w:hAnsi="Arial"/>
          <w:sz w:val="22"/>
          <w:szCs w:val="22"/>
          <w:color w:val="auto"/>
          <w:vertAlign w:val="superscript"/>
        </w:rPr>
        <w:t>1</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and engineering expenditure, by segment was as follows: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20" w:type="dxa"/>
            <w:vAlign w:val="bottom"/>
            <w:tcBorders>
              <w:top w:val="single" w:sz="8" w:color="auto"/>
            </w:tcBorders>
          </w:tcPr>
          <w:p>
            <w:pPr>
              <w:spacing w:after="0"/>
              <w:rPr>
                <w:sz w:val="15"/>
                <w:szCs w:val="15"/>
                <w:color w:val="auto"/>
              </w:rPr>
            </w:pPr>
          </w:p>
        </w:tc>
        <w:tc>
          <w:tcPr>
            <w:tcW w:w="66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6"/>
          </w:tcPr>
          <w:p>
            <w:pPr>
              <w:jc w:val="right"/>
              <w:ind w:right="112"/>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rPr>
              <w:t>Nine Months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20" w:type="dxa"/>
            <w:vAlign w:val="bottom"/>
          </w:tcPr>
          <w:p>
            <w:pPr>
              <w:spacing w:after="0"/>
              <w:rPr>
                <w:sz w:val="6"/>
                <w:szCs w:val="6"/>
                <w:color w:val="auto"/>
              </w:rPr>
            </w:pPr>
          </w:p>
        </w:tc>
        <w:tc>
          <w:tcPr>
            <w:tcW w:w="66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49"/>
        </w:trPr>
        <w:tc>
          <w:tcPr>
            <w:tcW w:w="6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1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w:t>
            </w: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373</w:t>
            </w: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In-process R&amp;D charges </w:t>
            </w:r>
            <w:r>
              <w:rPr>
                <w:rFonts w:ascii="Arial" w:cs="Arial" w:eastAsia="Arial" w:hAnsi="Arial"/>
                <w:sz w:val="20"/>
                <w:szCs w:val="20"/>
                <w:color w:val="auto"/>
                <w:vertAlign w:val="superscript"/>
              </w:rPr>
              <w:t>1</w:t>
            </w:r>
          </w:p>
        </w:tc>
        <w:tc>
          <w:tcPr>
            <w:tcW w:w="1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20"/>
                <w:szCs w:val="20"/>
                <w:color w:val="auto"/>
              </w:rPr>
            </w:pPr>
            <w:r>
              <w:rPr>
                <w:rFonts w:ascii="Arial" w:cs="Arial" w:eastAsia="Arial" w:hAnsi="Arial"/>
                <w:sz w:val="14"/>
                <w:szCs w:val="14"/>
                <w:color w:val="auto"/>
                <w:w w:val="85"/>
              </w:rPr>
              <w:t>Other</w:t>
            </w:r>
          </w:p>
        </w:tc>
        <w:tc>
          <w:tcPr>
            <w:tcW w:w="6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320" w:type="dxa"/>
            <w:vAlign w:val="bottom"/>
            <w:tcBorders>
              <w:bottom w:val="single" w:sz="8" w:color="auto"/>
            </w:tcBorders>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5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450</w:t>
            </w:r>
          </w:p>
        </w:tc>
        <w:tc>
          <w:tcPr>
            <w:tcW w:w="5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0" w:type="dxa"/>
            <w:vAlign w:val="bottom"/>
            <w:vMerge w:val="restart"/>
          </w:tcPr>
          <w:p>
            <w:pPr>
              <w:spacing w:after="0"/>
              <w:rPr>
                <w:sz w:val="20"/>
                <w:szCs w:val="20"/>
                <w:color w:val="auto"/>
              </w:rPr>
            </w:pPr>
            <w:r>
              <w:rPr>
                <w:rFonts w:ascii="Arial" w:cs="Arial" w:eastAsia="Arial" w:hAnsi="Arial"/>
                <w:sz w:val="14"/>
                <w:szCs w:val="14"/>
                <w:color w:val="auto"/>
              </w:rPr>
              <w:t>1.</w:t>
            </w:r>
          </w:p>
        </w:tc>
        <w:tc>
          <w:tcPr>
            <w:tcW w:w="6600" w:type="dxa"/>
            <w:vAlign w:val="bottom"/>
            <w:vMerge w:val="restart"/>
          </w:tcPr>
          <w:p>
            <w:pPr>
              <w:ind w:left="20"/>
              <w:spacing w:after="0"/>
              <w:rPr>
                <w:sz w:val="20"/>
                <w:szCs w:val="20"/>
                <w:color w:val="auto"/>
              </w:rPr>
            </w:pPr>
            <w:r>
              <w:rPr>
                <w:rFonts w:ascii="Arial" w:cs="Arial" w:eastAsia="Arial" w:hAnsi="Arial"/>
                <w:sz w:val="14"/>
                <w:szCs w:val="14"/>
                <w:color w:val="auto"/>
              </w:rPr>
              <w:t xml:space="preserve">See discussion of Charges and Credits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20" w:type="dxa"/>
            <w:vAlign w:val="bottom"/>
            <w:vMerge w:val="continue"/>
          </w:tcPr>
          <w:p>
            <w:pPr>
              <w:spacing w:after="0"/>
              <w:rPr>
                <w:sz w:val="24"/>
                <w:szCs w:val="24"/>
                <w:color w:val="auto"/>
              </w:rPr>
            </w:pPr>
          </w:p>
        </w:tc>
        <w:tc>
          <w:tcPr>
            <w:tcW w:w="66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Effective Tax Rate</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-463550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-463550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-463550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-463550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-463550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-463550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-463550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in the third quarter of 2006 was 24.1% compared to 23.6% in the third quarter of last year. The results in the third quarter of 2005 included a pretax and after-tax gain of approximately $18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relating to the resolution of a real estate related contingency associated with the March 2005 sale of a facility in Montrouge, France. This transaction served to reduce the effective rate in third quarter of 2005 by approximately 0.6%.</w:t>
      </w:r>
    </w:p>
    <w:p>
      <w:pPr>
        <w:ind w:right="380" w:firstLine="228"/>
        <w:spacing w:after="0" w:line="302" w:lineRule="auto"/>
        <w:rPr>
          <w:sz w:val="20"/>
          <w:szCs w:val="20"/>
          <w:color w:val="auto"/>
        </w:rPr>
      </w:pPr>
      <w:r>
        <w:rPr>
          <w:rFonts w:ascii="Arial" w:cs="Arial" w:eastAsia="Arial" w:hAnsi="Arial"/>
          <w:sz w:val="16"/>
          <w:szCs w:val="16"/>
          <w:color w:val="auto"/>
        </w:rPr>
        <w:t>The effective tax rate for the first nine months of 2006 was 24.5% compared to 22.9% in the prior year. The rate in 2005 reflects the impact of the $163 million gain on the sale of the Montrouge facility. This transaction allowed for the utilization of a deferred tax asset that was previously offset by a valuation allowance and had the effect of lowering the effective tax rate during the first nine months of 2005 by 2.0%.</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 xml:space="preserve">As discussed in further detail in Note 13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the third quarter ended September 30, 2006, Schlumberger adopted the provisions of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effective January 1, 2006. The adoption of this standard resulted in Schlumberger recording $6 million of additional stock-based compensation charges in the first quarter of 2006, $5 million in each of the second and third quarters of 2006 and it will result in an additional $5 million being recognized in the fourth quarter of 2006.</w:t>
      </w:r>
    </w:p>
    <w:p>
      <w:pPr>
        <w:spacing w:after="0" w:line="1" w:lineRule="exact"/>
        <w:rPr>
          <w:sz w:val="20"/>
          <w:szCs w:val="20"/>
          <w:color w:val="auto"/>
        </w:rPr>
      </w:pPr>
    </w:p>
    <w:p>
      <w:pPr>
        <w:jc w:val="both"/>
        <w:ind w:right="40" w:firstLine="228"/>
        <w:spacing w:after="0" w:line="250" w:lineRule="auto"/>
        <w:rPr>
          <w:sz w:val="20"/>
          <w:szCs w:val="20"/>
          <w:color w:val="auto"/>
        </w:rPr>
      </w:pPr>
      <w:r>
        <w:rPr>
          <w:rFonts w:ascii="Arial" w:cs="Arial" w:eastAsia="Arial" w:hAnsi="Arial"/>
          <w:sz w:val="18"/>
          <w:szCs w:val="18"/>
          <w:color w:val="auto"/>
        </w:rPr>
        <w:t>Stock-based compensation expense was $30 million in the third quarter of 2006 compared to $10 million in the third quarter of the prior year, and $84 million for the nine months ended September 30, 2006 compared to $29 million for the nine months ended September 30, 2005. Total stock-based compensation expense for all of fiscal 2005 was $40 million and it is currently estimated to be $114 million in 2006.</w:t>
      </w:r>
    </w:p>
    <w:p>
      <w:pPr>
        <w:spacing w:after="0" w:line="1"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This increase in stock-based compensation expense primarily reflects the full impact of the adoption of both SFAS 123 (adopted by Schlumberger effective January 1, 2003 on a prospective basis for grants after January 1, 2003- see Note 13) and SFAS 123R, as well as an increase in the fair value of stock-based awards due to the increase in Schlumberger stock price.</w:t>
      </w:r>
    </w:p>
    <w:p>
      <w:pPr>
        <w:spacing w:after="0" w:line="1"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As previously disclosed, during the third quarter of 2006 Schlumberger relocated its United States corporate offices from New York to Texas. Schlumberger will also relocate its United States research center from Ridgefield to Boston in the fourth quarter of 2006. Schlumberger currently estimates that it will incur approximately $30 million in incremental expenses in connection with these moves in 2006. To date, Schlumberger has incurred approximately $14 million in such costs ($10 million in the third quarter of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April 28, 2006, Schlumberger acquired the 30% minority interest in WesternGeco from Baker Hughes Incorporated for $2.4 billion in cash. Approximately 50% of the purchase price was funded from Schlumberger’s cash and investments. The remaining 50% was financed through existing Schlumberger credit facilities.</w:t>
      </w:r>
    </w:p>
    <w:p>
      <w:pPr>
        <w:ind w:firstLine="228"/>
        <w:spacing w:after="0" w:line="250" w:lineRule="auto"/>
        <w:rPr>
          <w:sz w:val="20"/>
          <w:szCs w:val="20"/>
          <w:color w:val="auto"/>
        </w:rPr>
      </w:pPr>
      <w:r>
        <w:rPr>
          <w:rFonts w:ascii="Arial" w:cs="Arial" w:eastAsia="Arial" w:hAnsi="Arial"/>
          <w:sz w:val="18"/>
          <w:szCs w:val="18"/>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proceeds from these notes were used to repay commercial paper borrowings.</w:t>
      </w:r>
    </w:p>
    <w:p>
      <w:pPr>
        <w:spacing w:after="0" w:line="2" w:lineRule="exact"/>
        <w:rPr>
          <w:sz w:val="20"/>
          <w:szCs w:val="20"/>
          <w:color w:val="auto"/>
        </w:rPr>
      </w:pPr>
    </w:p>
    <w:p>
      <w:pPr>
        <w:ind w:right="300" w:firstLine="228"/>
        <w:spacing w:after="0" w:line="281" w:lineRule="auto"/>
        <w:rPr>
          <w:sz w:val="20"/>
          <w:szCs w:val="20"/>
          <w:color w:val="auto"/>
        </w:rPr>
      </w:pPr>
      <w:r>
        <w:rPr>
          <w:rFonts w:ascii="Arial" w:cs="Arial" w:eastAsia="Arial" w:hAnsi="Arial"/>
          <w:sz w:val="16"/>
          <w:szCs w:val="16"/>
          <w:color w:val="auto"/>
        </w:rPr>
        <w:t>On April 20, 2006, the Board of Directors of Schlumberger approved a new share buy-back program of up to 40 million shares to be acquired in the open market before April 2010, subject to market conditions. During the third quarter of 2006, Schlumberger acquired 8.11 million shares on the open market at an average price of $59.39 per share. During the nine months ended September 30, 2006, Schlumberger acquired 16.13 million shares on the open market at an average price of $58.80 per share under its previous and current share buy-back programs.</w:t>
      </w:r>
    </w:p>
    <w:p>
      <w:pPr>
        <w:spacing w:after="0" w:line="3"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During the first nine months of 2006, cash provided by operations was $3.1 billion as net income, depreciation/amortization and other non-cash adjustments were partially offset by increases in customer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receivables resulting from the increased activity levels. Cash provided by operating activities reflects a US pension funding contribution of $203 million. Cash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used by investing activities of $2.79 billion primarily was due to capital expenditures ($1.62 billion), the acquisition of 30% minority interest in WesternGeco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($2.41 billion) and the sales of investments ($1.84 billion). Cash used in financing activities was $369 million as the payment of dividends to shareholders ($420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stock repurchase plan ($949 million) were only partially offset by the proceeds from employee stock plans ($346 million) and the net increase in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($713 million).</w:t>
      </w:r>
    </w:p>
    <w:p>
      <w:pPr>
        <w:spacing w:after="0" w:line="9" w:lineRule="exact"/>
        <w:rPr>
          <w:sz w:val="20"/>
          <w:szCs w:val="20"/>
          <w:color w:val="auto"/>
        </w:rPr>
      </w:pPr>
    </w:p>
    <w:p>
      <w:pPr>
        <w:jc w:val="both"/>
        <w:ind w:right="220" w:firstLine="228"/>
        <w:spacing w:after="0" w:line="302"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 indebtedness by reflecting cash and investments that could be used to repay debt, and that the level of net debt provides useful information as to the results of Schlumberger deleveraging efforts. Details of the Net Debt follows: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2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6"/>
          </w:tcPr>
          <w:p>
            <w:pPr>
              <w:spacing w:after="0" w:line="129" w:lineRule="exact"/>
              <w:rPr>
                <w:sz w:val="20"/>
                <w:szCs w:val="20"/>
                <w:color w:val="auto"/>
              </w:rPr>
            </w:pPr>
            <w:r>
              <w:rPr>
                <w:rFonts w:ascii="Arial" w:cs="Arial" w:eastAsia="Arial" w:hAnsi="Arial"/>
                <w:sz w:val="14"/>
                <w:szCs w:val="14"/>
                <w:b w:val="1"/>
                <w:bCs w:val="1"/>
                <w:color w:val="auto"/>
              </w:rPr>
              <w:t>Sept. 30</w:t>
            </w:r>
          </w:p>
        </w:tc>
        <w:tc>
          <w:tcPr>
            <w:tcW w:w="52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1"/>
              </w:rPr>
              <w:t>Sept.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76"/>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(532)</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2,579</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Charges and credits, net of tax</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(119)</w:t>
            </w: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2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2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1,122</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Increase in working capital requirements</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(476)</w:t>
            </w: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pension and postretirement benefit plans contributions</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(225)</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2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(1,741)</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(420)</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employee stock plans</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346</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(949)</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(2,406)</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 and related payments</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(331)</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(60)</w:t>
            </w: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debt acquired</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20" w:type="dxa"/>
            <w:vAlign w:val="bottom"/>
          </w:tcPr>
          <w:p>
            <w:pPr>
              <w:ind w:left="120"/>
              <w:spacing w:after="0" w:line="149" w:lineRule="exact"/>
              <w:rPr>
                <w:sz w:val="20"/>
                <w:szCs w:val="20"/>
                <w:color w:val="auto"/>
              </w:rPr>
            </w:pPr>
            <w:r>
              <w:rPr>
                <w:rFonts w:ascii="Arial" w:cs="Arial" w:eastAsia="Arial" w:hAnsi="Arial"/>
                <w:sz w:val="14"/>
                <w:szCs w:val="14"/>
                <w:color w:val="auto"/>
              </w:rPr>
              <w:t>Other</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effect on net debt</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Borders>
              <w:bottom w:val="single" w:sz="8" w:color="auto"/>
            </w:tcBorders>
            <w:gridSpan w:val="2"/>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period</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7"/>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 (3,170)</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(1,036)</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602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2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gridSpan w:val="2"/>
            <w:vMerge w:val="continue"/>
          </w:tcPr>
          <w:p>
            <w:pPr>
              <w:spacing w:after="0"/>
              <w:rPr>
                <w:sz w:val="24"/>
                <w:szCs w:val="24"/>
                <w:color w:val="auto"/>
              </w:rPr>
            </w:pPr>
          </w:p>
        </w:tc>
        <w:tc>
          <w:tcPr>
            <w:tcW w:w="602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2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 30</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 30</w:t>
            </w: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w w:val="81"/>
              </w:rPr>
              <w:t>Dec. 31</w:t>
            </w:r>
          </w:p>
        </w:tc>
        <w:tc>
          <w:tcPr>
            <w:tcW w:w="0" w:type="dxa"/>
            <w:vAlign w:val="bottom"/>
          </w:tcPr>
          <w:p>
            <w:pPr>
              <w:spacing w:after="0"/>
              <w:rPr>
                <w:sz w:val="1"/>
                <w:szCs w:val="1"/>
                <w:color w:val="auto"/>
              </w:rPr>
            </w:pPr>
          </w:p>
        </w:tc>
      </w:tr>
      <w:tr>
        <w:trPr>
          <w:trHeight w:val="161"/>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short term investments</w:t>
            </w:r>
          </w:p>
        </w:tc>
        <w:tc>
          <w:tcPr>
            <w:tcW w:w="2860" w:type="dxa"/>
            <w:vAlign w:val="bottom"/>
            <w:gridSpan w:val="3"/>
            <w:shd w:val="clear" w:color="auto" w:fill="CCEEFF"/>
          </w:tcPr>
          <w:p>
            <w:pPr>
              <w:ind w:left="2780"/>
              <w:spacing w:after="0" w:line="149" w:lineRule="exact"/>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1,901</w:t>
            </w:r>
          </w:p>
        </w:tc>
        <w:tc>
          <w:tcPr>
            <w:tcW w:w="260" w:type="dxa"/>
            <w:vAlign w:val="bottom"/>
            <w:shd w:val="clear" w:color="auto" w:fill="CCEEFF"/>
          </w:tcPr>
          <w:p>
            <w:pPr>
              <w:spacing w:after="0"/>
              <w:rPr>
                <w:sz w:val="12"/>
                <w:szCs w:val="12"/>
                <w:color w:val="auto"/>
              </w:rPr>
            </w:pPr>
          </w:p>
        </w:tc>
        <w:tc>
          <w:tcPr>
            <w:tcW w:w="300" w:type="dxa"/>
            <w:vAlign w:val="bottom"/>
            <w:gridSpan w:val="4"/>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3,003</w:t>
            </w:r>
          </w:p>
        </w:tc>
        <w:tc>
          <w:tcPr>
            <w:tcW w:w="4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$ 3,496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w:t>
            </w:r>
          </w:p>
        </w:tc>
        <w:tc>
          <w:tcPr>
            <w:tcW w:w="4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(1,235)</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(674)</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(3,931)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color w:val="auto"/>
                <w:w w:val="94"/>
              </w:rPr>
              <w:t>(3,744)</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460" w:type="dxa"/>
            <w:vAlign w:val="bottom"/>
            <w:gridSpan w:val="4"/>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20" w:type="dxa"/>
            <w:vAlign w:val="bottom"/>
            <w:tcBorders>
              <w:top w:val="single" w:sz="8" w:color="auto"/>
            </w:tcBorders>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20" w:type="dxa"/>
            <w:vAlign w:val="bottom"/>
            <w:shd w:val="clear" w:color="auto" w:fill="CCEEFF"/>
          </w:tcPr>
          <w:p>
            <w:pPr>
              <w:spacing w:after="0"/>
              <w:rPr>
                <w:sz w:val="12"/>
                <w:szCs w:val="12"/>
                <w:color w:val="auto"/>
              </w:rPr>
            </w:pPr>
          </w:p>
        </w:tc>
        <w:tc>
          <w:tcPr>
            <w:tcW w:w="2860" w:type="dxa"/>
            <w:vAlign w:val="bottom"/>
            <w:gridSpan w:val="3"/>
            <w:shd w:val="clear" w:color="auto" w:fill="CCEEFF"/>
          </w:tcPr>
          <w:p>
            <w:pPr>
              <w:ind w:left="2780"/>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(3,170)</w:t>
            </w:r>
          </w:p>
        </w:tc>
        <w:tc>
          <w:tcPr>
            <w:tcW w:w="1160" w:type="dxa"/>
            <w:vAlign w:val="bottom"/>
            <w:gridSpan w:val="7"/>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 (1,036)</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-1332865</wp:posOffset>
            </wp:positionV>
            <wp:extent cx="32131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-1332865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-1332865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-1332865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2131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2131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3, 4</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Schlumberger and its customers; the adoption of SFAS 123R and stock-based compensation expense; the stock buy-back program;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most recent Form 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quantitative and qualitative disclosures about market risk affecting Schlumberger, see Item 7A, “Quantitative Disclosures About Market Risk,” of our Annual Report on Form 10-K for the year ended December 31, 2005. Schlumberger exposure to market risk has not changed materially since December 31, 2005.</w:t>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pursuant to Rule 13a-15 of the Securities Exchange Act of 1934 (the “Exchange Act”). Based on that evaluation, the CEO and CFO have concluded that Schlumberger’s disclosure controls and procedures were effective as of September 30, 2006 to ensure that information required to be disclosed by Schlumberger in the reports that it files or submits under the Exchange Act is recorded, processed, summarized and reported within the time periods specified in the Securities and Exchange Commission’s rules and forms and that information required to be disclosed is accumulated and communicated to management, including the CEO and CFO, to allow timely decisions regarding required disclosure. There has been no change in Schlumberger’s internal control over financial reporting that occurred during the quarter ended September 30, 2006 that has materially affected, or is reasonably likely to materially affect, Schlumberger’s internal control over financial reporting.</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of Schlumberger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1, 1A, 2, 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information with respect to Item 1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on page 18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7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I—“Item 1A Risk Factors” in Schlumberger’s Annual Report on Form 10-K for the year ended December 31, 2005, which could materially affect Schlumberger’s business, financial condition, results of operations, cash flows or prospects. The risks described in Schlumberger’s Annual Report on Form 10-K are not the only risks facing Schlumberger. Additional risks and uncertainties not currently known to Schlumberger or that Schlumberger currently deems to be immaterial also may materially adversely affect Schlumberger’s business, financial condition, results of operations, cash flows or prospects.</w:t>
      </w:r>
    </w:p>
    <w:p>
      <w:pPr>
        <w:spacing w:after="0" w:line="92" w:lineRule="exact"/>
        <w:rPr>
          <w:sz w:val="20"/>
          <w:szCs w:val="20"/>
          <w:color w:val="auto"/>
        </w:rPr>
      </w:pPr>
    </w:p>
    <w:p>
      <w:pPr>
        <w:ind w:right="5580"/>
        <w:spacing w:after="0" w:line="35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Unregistered Sales of Equity Securities </w:t>
      </w:r>
      <w:r>
        <w:rPr>
          <w:rFonts w:ascii="Arial" w:cs="Arial" w:eastAsia="Arial" w:hAnsi="Arial"/>
          <w:sz w:val="18"/>
          <w:szCs w:val="18"/>
          <w:color w:val="auto"/>
        </w:rPr>
        <w:t>None.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ind w:left="24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quarter ended September 30, 2006:</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6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Maximum</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purchased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that may</w:t>
            </w:r>
          </w:p>
        </w:tc>
      </w:tr>
      <w:tr>
        <w:trPr>
          <w:trHeight w:val="149"/>
        </w:trPr>
        <w:tc>
          <w:tcPr>
            <w:tcW w:w="6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as part of</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yet be</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7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publicly</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purchased</w:t>
            </w:r>
          </w:p>
        </w:tc>
      </w:tr>
      <w:tr>
        <w:trPr>
          <w:trHeight w:val="149"/>
        </w:trPr>
        <w:tc>
          <w:tcPr>
            <w:tcW w:w="64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announced</w:t>
            </w: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under the</w:t>
            </w:r>
          </w:p>
        </w:tc>
      </w:tr>
      <w:tr>
        <w:trPr>
          <w:trHeight w:val="161"/>
        </w:trPr>
        <w:tc>
          <w:tcPr>
            <w:tcW w:w="6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July 1 through July 31,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36,038.1</w:t>
            </w: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August 1 through August 31, 2006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1,848.9</w:t>
            </w:r>
          </w:p>
        </w:tc>
        <w:tc>
          <w:tcPr>
            <w:tcW w:w="92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64.54</w:t>
            </w: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1,848.9</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34,189.2</w:t>
            </w:r>
          </w:p>
        </w:tc>
      </w:tr>
      <w:tr>
        <w:trPr>
          <w:trHeight w:val="149"/>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1 through September 30, 2006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5,892.0</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57.61</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5,892.0</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28,297.2</w:t>
            </w:r>
          </w:p>
        </w:tc>
      </w:tr>
      <w:tr>
        <w:trPr>
          <w:trHeight w:val="108"/>
        </w:trPr>
        <w:tc>
          <w:tcPr>
            <w:tcW w:w="6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102"/>
        </w:trPr>
        <w:tc>
          <w:tcPr>
            <w:tcW w:w="6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149"/>
        </w:trPr>
        <w:tc>
          <w:tcPr>
            <w:tcW w:w="6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8,108.1</w:t>
            </w:r>
          </w:p>
        </w:tc>
        <w:tc>
          <w:tcPr>
            <w:tcW w:w="92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59.39</w:t>
            </w: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8,108.1</w:t>
            </w:r>
          </w:p>
        </w:tc>
        <w:tc>
          <w:tcPr>
            <w:tcW w:w="1320" w:type="dxa"/>
            <w:vAlign w:val="bottom"/>
            <w:shd w:val="clear" w:color="auto" w:fill="CCEEFF"/>
          </w:tcPr>
          <w:p>
            <w:pPr>
              <w:spacing w:after="0"/>
              <w:rPr>
                <w:sz w:val="12"/>
                <w:szCs w:val="12"/>
                <w:color w:val="auto"/>
              </w:rPr>
            </w:pPr>
          </w:p>
        </w:tc>
      </w:tr>
      <w:tr>
        <w:trPr>
          <w:trHeight w:val="132"/>
        </w:trPr>
        <w:tc>
          <w:tcPr>
            <w:tcW w:w="6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exercise of stock options under Schlumberger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4, 5, 6</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74" w:lineRule="exact"/>
        <w:rPr>
          <w:sz w:val="20"/>
          <w:szCs w:val="20"/>
          <w:color w:val="auto"/>
        </w:rPr>
      </w:pPr>
    </w:p>
    <w:p>
      <w:pPr>
        <w:ind w:left="580" w:right="20"/>
        <w:spacing w:after="0" w:line="325" w:lineRule="auto"/>
        <w:rPr>
          <w:sz w:val="20"/>
          <w:szCs w:val="20"/>
          <w:color w:val="auto"/>
        </w:rPr>
      </w:pPr>
      <w:r>
        <w:rPr>
          <w:rFonts w:ascii="Arial" w:cs="Arial" w:eastAsia="Arial" w:hAnsi="Arial"/>
          <w:sz w:val="16"/>
          <w:szCs w:val="16"/>
          <w:color w:val="auto"/>
        </w:rPr>
        <w:t>Exhibit 3.1 Articles of Incorporation of Schlumberger Limited (Schlumberger N.V.) as last amended on April 12, 2006 (incorporated by reference to Exhibit 3.1 to Schlumberger’s Quarterly Report on Form 10-Q for the fiscal quarter ended March 31, 2006).</w:t>
      </w:r>
    </w:p>
    <w:p>
      <w:pPr>
        <w:spacing w:after="0" w:line="1" w:lineRule="exact"/>
        <w:rPr>
          <w:sz w:val="20"/>
          <w:szCs w:val="20"/>
          <w:color w:val="auto"/>
        </w:rPr>
      </w:pPr>
    </w:p>
    <w:p>
      <w:pPr>
        <w:ind w:left="580" w:right="820"/>
        <w:spacing w:after="0" w:line="268" w:lineRule="auto"/>
        <w:rPr>
          <w:sz w:val="20"/>
          <w:szCs w:val="20"/>
          <w:color w:val="auto"/>
        </w:rPr>
      </w:pPr>
      <w:r>
        <w:rPr>
          <w:rFonts w:ascii="Arial" w:cs="Arial" w:eastAsia="Arial" w:hAnsi="Arial"/>
          <w:sz w:val="18"/>
          <w:szCs w:val="18"/>
          <w:color w:val="auto"/>
        </w:rPr>
        <w:t>Exhibit 3.2 Amended and Restated Bylaws of Schlumberger Limited (Schlumberger N.V.) (incorporated by reference to Exhibit 3.1 to Schlumberger’s Current Report on Form 8-K filed on April 22, 2005).</w:t>
      </w:r>
    </w:p>
    <w:p>
      <w:pPr>
        <w:spacing w:after="0" w:line="37" w:lineRule="exact"/>
        <w:rPr>
          <w:sz w:val="20"/>
          <w:szCs w:val="20"/>
          <w:color w:val="auto"/>
        </w:rPr>
      </w:pPr>
    </w:p>
    <w:p>
      <w:pPr>
        <w:ind w:left="580" w:right="140"/>
        <w:spacing w:after="0" w:line="268" w:lineRule="auto"/>
        <w:rPr>
          <w:sz w:val="20"/>
          <w:szCs w:val="20"/>
          <w:color w:val="auto"/>
        </w:rPr>
      </w:pPr>
      <w:r>
        <w:rPr>
          <w:rFonts w:ascii="Arial" w:cs="Arial" w:eastAsia="Arial" w:hAnsi="Arial"/>
          <w:sz w:val="18"/>
          <w:szCs w:val="18"/>
          <w:color w:val="auto"/>
        </w:rPr>
        <w:t>Exhibit 31.1 Certification of Chief Executive Officer pursuant to Rule 13a-14(a) as Adopted Pursuant to Section 302 of the Sarbanes-Oxley Act of 2002.</w:t>
      </w:r>
    </w:p>
    <w:p>
      <w:pPr>
        <w:spacing w:after="0" w:line="37"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Exhibit 31.2 Certification of Chief Financial Officer pursuant to Rule 13a-14(a) as Adopted Pursuant to Section 302 of the Sarbanes-Oxley Act of 2002.</w:t>
      </w:r>
    </w:p>
    <w:p>
      <w:pPr>
        <w:spacing w:after="0" w:line="37" w:lineRule="exact"/>
        <w:rPr>
          <w:sz w:val="20"/>
          <w:szCs w:val="20"/>
          <w:color w:val="auto"/>
        </w:rPr>
      </w:pPr>
    </w:p>
    <w:p>
      <w:pPr>
        <w:ind w:left="580" w:right="220"/>
        <w:spacing w:after="0" w:line="268" w:lineRule="auto"/>
        <w:rPr>
          <w:sz w:val="20"/>
          <w:szCs w:val="20"/>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840"/>
          </w:cols>
          <w:pgMar w:left="240" w:top="459" w:right="8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7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 October 25, 2006</w:t>
            </w:r>
          </w:p>
        </w:tc>
        <w:tc>
          <w:tcPr>
            <w:tcW w:w="7760" w:type="dxa"/>
            <w:vAlign w:val="bottom"/>
            <w:gridSpan w:val="2"/>
          </w:tcPr>
          <w:p>
            <w:pPr>
              <w:ind w:left="24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222"/>
        </w:trPr>
        <w:tc>
          <w:tcPr>
            <w:tcW w:w="3660" w:type="dxa"/>
            <w:vAlign w:val="bottom"/>
          </w:tcPr>
          <w:p>
            <w:pPr>
              <w:spacing w:after="0"/>
              <w:rPr>
                <w:sz w:val="19"/>
                <w:szCs w:val="19"/>
                <w:color w:val="auto"/>
              </w:rPr>
            </w:pPr>
          </w:p>
        </w:tc>
        <w:tc>
          <w:tcPr>
            <w:tcW w:w="7760" w:type="dxa"/>
            <w:vAlign w:val="bottom"/>
            <w:gridSpan w:val="2"/>
          </w:tcPr>
          <w:p>
            <w:pPr>
              <w:ind w:left="24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EGISTRANT</w:t>
            </w:r>
            <w:r>
              <w:rPr>
                <w:rFonts w:ascii="Arial" w:cs="Arial" w:eastAsia="Arial" w:hAnsi="Arial"/>
                <w:sz w:val="18"/>
                <w:szCs w:val="18"/>
                <w:color w:val="auto"/>
              </w:rPr>
              <w:t>)</w:t>
            </w:r>
          </w:p>
        </w:tc>
      </w:tr>
      <w:tr>
        <w:trPr>
          <w:trHeight w:val="446"/>
        </w:trPr>
        <w:tc>
          <w:tcPr>
            <w:tcW w:w="3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900" w:type="dxa"/>
            <w:vAlign w:val="bottom"/>
          </w:tcPr>
          <w:p>
            <w:pPr>
              <w:ind w:left="154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16"/>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 and</w:t>
            </w:r>
          </w:p>
        </w:tc>
      </w:tr>
      <w:tr>
        <w:trPr>
          <w:trHeight w:val="222"/>
        </w:trPr>
        <w:tc>
          <w:tcPr>
            <w:tcW w:w="3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Duly Authorized Signatory</w:t>
            </w:r>
          </w:p>
        </w:tc>
      </w:tr>
      <w:tr>
        <w:trPr>
          <w:trHeight w:val="326"/>
        </w:trPr>
        <w:tc>
          <w:tcPr>
            <w:tcW w:w="3660" w:type="dxa"/>
            <w:vAlign w:val="bottom"/>
          </w:tcPr>
          <w:p>
            <w:pPr>
              <w:spacing w:after="0"/>
              <w:rPr>
                <w:sz w:val="24"/>
                <w:szCs w:val="24"/>
                <w:color w:val="auto"/>
              </w:rPr>
            </w:pPr>
          </w:p>
        </w:tc>
        <w:tc>
          <w:tcPr>
            <w:tcW w:w="2860" w:type="dxa"/>
            <w:vAlign w:val="bottom"/>
          </w:tcPr>
          <w:p>
            <w:pPr>
              <w:jc w:val="right"/>
              <w:ind w:right="659"/>
              <w:spacing w:after="0"/>
              <w:rPr>
                <w:sz w:val="20"/>
                <w:szCs w:val="20"/>
                <w:color w:val="auto"/>
              </w:rPr>
            </w:pPr>
            <w:r>
              <w:rPr>
                <w:rFonts w:ascii="Arial" w:cs="Arial" w:eastAsia="Arial" w:hAnsi="Arial"/>
                <w:sz w:val="14"/>
                <w:szCs w:val="14"/>
                <w:color w:val="auto"/>
              </w:rPr>
              <w:t>32</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October 25,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6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October 25,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26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September 30, 2006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820" w:hanging="241"/>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October 25,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26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quarterly period ended September 30, 2006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820" w:hanging="24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20" w:hanging="241"/>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October 25,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lvl w:ilvl="1">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1."/>
      <w:numFmt w:val="decimal"/>
      <w:start w:val="15"/>
    </w:lvl>
  </w:abstractNum>
  <w:abstractNum w:abstractNumId="17">
    <w:nsid w:val="2443A858"/>
    <w:multiLevelType w:val="hybridMultilevel"/>
    <w:lvl w:ilvl="0">
      <w:lvlJc w:val="left"/>
      <w:lvlText w:val="%1."/>
      <w:numFmt w:val="decimal"/>
      <w:start w:val="16"/>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8"/>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2019-12-12T10:30:14Z</dcterms:created>
  <dcterms:modified xsi:type="dcterms:W3CDTF">2019-12-12T10:30:14Z</dcterms:modified>
</cp:coreProperties>
</file>