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Merad Abdellah</w:t>
        </w:r>
      </w:hyperlink>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Arial" w:cs="Arial" w:eastAsia="Arial" w:hAnsi="Arial"/>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HOUSTON</w:t>
            </w:r>
          </w:p>
        </w:tc>
        <w:tc>
          <w:tcPr>
            <w:tcW w:w="1020" w:type="dxa"/>
            <w:vAlign w:val="bottom"/>
          </w:tcPr>
          <w:p>
            <w:pPr>
              <w:ind w:left="200"/>
              <w:spacing w:after="0"/>
              <w:rPr>
                <w:sz w:val="20"/>
                <w:szCs w:val="20"/>
                <w:color w:val="auto"/>
              </w:rPr>
            </w:pPr>
            <w:r>
              <w:rPr>
                <w:rFonts w:ascii="Arial" w:cs="Arial" w:eastAsia="Arial" w:hAnsi="Arial"/>
                <w:sz w:val="17"/>
                <w:szCs w:val="17"/>
                <w:color w:val="0000FF"/>
              </w:rPr>
              <w:t>TX</w:t>
            </w:r>
          </w:p>
        </w:tc>
        <w:tc>
          <w:tcPr>
            <w:tcW w:w="1600" w:type="dxa"/>
            <w:vAlign w:val="bottom"/>
          </w:tcPr>
          <w:p>
            <w:pPr>
              <w:ind w:left="400"/>
              <w:spacing w:after="0"/>
              <w:rPr>
                <w:sz w:val="20"/>
                <w:szCs w:val="20"/>
                <w:color w:val="auto"/>
              </w:rPr>
            </w:pPr>
            <w:r>
              <w:rPr>
                <w:rFonts w:ascii="Arial" w:cs="Arial" w:eastAsia="Arial" w:hAnsi="Arial"/>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3820" w:type="dxa"/>
            <w:vAlign w:val="bottom"/>
            <w:gridSpan w:val="2"/>
          </w:tcPr>
          <w:p>
            <w:pPr>
              <w:ind w:left="80"/>
              <w:spacing w:after="0" w:line="208" w:lineRule="exact"/>
              <w:rPr>
                <w:rFonts w:ascii="Arial" w:cs="Arial" w:eastAsia="Arial" w:hAnsi="Arial"/>
                <w:sz w:val="21"/>
                <w:szCs w:val="21"/>
                <w:color w:val="0000EE"/>
              </w:rPr>
            </w:pPr>
            <w:hyperlink r:id="rId14">
              <w:r>
                <w:rPr>
                  <w:rFonts w:ascii="Arial" w:cs="Arial" w:eastAsia="Arial" w:hAnsi="Arial"/>
                  <w:sz w:val="21"/>
                  <w:szCs w:val="21"/>
                  <w:u w:val="single" w:color="auto"/>
                  <w:color w:val="0000EE"/>
                </w:rPr>
                <w:t>SCHLUMBERGER LIMITED/NV</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Pr>
          <w:p>
            <w:pPr>
              <w:ind w:left="14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200" w:type="dxa"/>
            <w:vAlign w:val="bottom"/>
            <w:tcBorders>
              <w:bottom w:val="single" w:sz="8" w:color="2C2C2C"/>
            </w:tcBorders>
          </w:tcPr>
          <w:p>
            <w:pPr>
              <w:spacing w:after="0"/>
              <w:rPr>
                <w:sz w:val="12"/>
                <w:szCs w:val="12"/>
                <w:color w:val="auto"/>
              </w:rPr>
            </w:pPr>
          </w:p>
        </w:tc>
        <w:tc>
          <w:tcPr>
            <w:tcW w:w="36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400" w:type="dxa"/>
            <w:vAlign w:val="bottom"/>
          </w:tcPr>
          <w:p>
            <w:pPr>
              <w:ind w:left="140"/>
              <w:spacing w:after="0" w:line="139"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line="139"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2"/>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1"/>
                <w:szCs w:val="11"/>
                <w:color w:val="auto"/>
              </w:rPr>
            </w:pPr>
          </w:p>
        </w:tc>
        <w:tc>
          <w:tcPr>
            <w:tcW w:w="260" w:type="dxa"/>
            <w:vAlign w:val="bottom"/>
            <w:vMerge w:val="continue"/>
          </w:tcPr>
          <w:p>
            <w:pPr>
              <w:spacing w:after="0"/>
              <w:rPr>
                <w:sz w:val="11"/>
                <w:szCs w:val="11"/>
                <w:color w:val="auto"/>
              </w:rPr>
            </w:pPr>
          </w:p>
        </w:tc>
        <w:tc>
          <w:tcPr>
            <w:tcW w:w="140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9"/>
        </w:trPr>
        <w:tc>
          <w:tcPr>
            <w:tcW w:w="200" w:type="dxa"/>
            <w:vAlign w:val="bottom"/>
            <w:vMerge w:val="continue"/>
          </w:tcPr>
          <w:p>
            <w:pPr>
              <w:spacing w:after="0"/>
              <w:rPr>
                <w:sz w:val="5"/>
                <w:szCs w:val="5"/>
                <w:color w:val="auto"/>
              </w:rPr>
            </w:pPr>
          </w:p>
        </w:tc>
        <w:tc>
          <w:tcPr>
            <w:tcW w:w="36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7"/>
        </w:trPr>
        <w:tc>
          <w:tcPr>
            <w:tcW w:w="3820" w:type="dxa"/>
            <w:vAlign w:val="bottom"/>
            <w:gridSpan w:val="2"/>
          </w:tcPr>
          <w:p>
            <w:pPr>
              <w:ind w:left="80"/>
              <w:spacing w:after="0"/>
              <w:rPr>
                <w:sz w:val="20"/>
                <w:szCs w:val="20"/>
                <w:color w:val="auto"/>
              </w:rPr>
            </w:pPr>
            <w:r>
              <w:rPr>
                <w:rFonts w:ascii="Arial" w:cs="Arial" w:eastAsia="Arial" w:hAnsi="Arial"/>
                <w:sz w:val="17"/>
                <w:szCs w:val="17"/>
                <w:color w:val="0000FF"/>
              </w:rPr>
              <w:t>04/03/2020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40" w:type="dxa"/>
            <w:vAlign w:val="bottom"/>
            <w:gridSpan w:val="2"/>
          </w:tcPr>
          <w:p>
            <w:pPr>
              <w:ind w:left="80"/>
              <w:spacing w:after="0"/>
              <w:rPr>
                <w:sz w:val="20"/>
                <w:szCs w:val="20"/>
                <w:color w:val="auto"/>
              </w:rPr>
            </w:pPr>
            <w:r>
              <w:rPr>
                <w:rFonts w:ascii="Arial" w:cs="Arial" w:eastAsia="Arial" w:hAnsi="Arial"/>
                <w:sz w:val="17"/>
                <w:szCs w:val="17"/>
                <w:color w:val="0000FF"/>
              </w:rPr>
              <w:t>EVP, Performance Management</w:t>
            </w:r>
          </w:p>
        </w:tc>
        <w:tc>
          <w:tcPr>
            <w:tcW w:w="0" w:type="dxa"/>
            <w:vAlign w:val="bottom"/>
          </w:tcPr>
          <w:p>
            <w:pPr>
              <w:spacing w:after="0"/>
              <w:rPr>
                <w:sz w:val="1"/>
                <w:szCs w:val="1"/>
                <w:color w:val="auto"/>
              </w:rPr>
            </w:pPr>
          </w:p>
        </w:tc>
      </w:tr>
      <w:tr>
        <w:trPr>
          <w:trHeight w:val="234"/>
        </w:trPr>
        <w:tc>
          <w:tcPr>
            <w:tcW w:w="200" w:type="dxa"/>
            <w:vAlign w:val="bottom"/>
            <w:tcBorders>
              <w:bottom w:val="single" w:sz="8" w:color="2C2C2C"/>
            </w:tcBorders>
          </w:tcPr>
          <w:p>
            <w:pPr>
              <w:spacing w:after="0"/>
              <w:rPr>
                <w:sz w:val="20"/>
                <w:szCs w:val="20"/>
                <w:color w:val="auto"/>
              </w:rPr>
            </w:pPr>
          </w:p>
        </w:tc>
        <w:tc>
          <w:tcPr>
            <w:tcW w:w="362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3100" w:type="dxa"/>
            <w:vAlign w:val="bottom"/>
            <w:tcBorders>
              <w:bottom w:val="single" w:sz="8" w:color="2C2C2C"/>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3"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159385</wp:posOffset>
            </wp:positionV>
            <wp:extent cx="6964045" cy="1345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345565"/>
                    </a:xfrm>
                    <a:prstGeom prst="rect">
                      <a:avLst/>
                    </a:prstGeom>
                    <a:noFill/>
                  </pic:spPr>
                </pic:pic>
              </a:graphicData>
            </a:graphic>
          </wp:anchor>
        </w:drawing>
      </w:r>
    </w:p>
    <w:p>
      <w:pPr>
        <w:spacing w:after="0" w:line="312"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4"/>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tcBorders>
              <w:bottom w:val="single" w:sz="8" w:color="2C2C2C"/>
            </w:tcBorders>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Borders>
              <w:bottom w:val="single" w:sz="8" w:color="2C2C2C"/>
            </w:tcBorders>
          </w:tcPr>
          <w:p>
            <w:pPr>
              <w:jc w:val="center"/>
              <w:ind w:right="13"/>
              <w:spacing w:after="0"/>
              <w:rPr>
                <w:sz w:val="20"/>
                <w:szCs w:val="20"/>
                <w:color w:val="auto"/>
              </w:rPr>
            </w:pPr>
            <w:r>
              <w:rPr>
                <w:rFonts w:ascii="Arial" w:cs="Arial" w:eastAsia="Arial" w:hAnsi="Arial"/>
                <w:sz w:val="17"/>
                <w:szCs w:val="17"/>
                <w:color w:val="0000FF"/>
              </w:rPr>
              <w:t>691</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69,844</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3100" w:type="dxa"/>
            <w:vAlign w:val="bottom"/>
            <w:gridSpan w:val="4"/>
          </w:tcPr>
          <w:p>
            <w:pPr>
              <w:ind w:left="60"/>
              <w:spacing w:after="0"/>
              <w:rPr>
                <w:sz w:val="20"/>
                <w:szCs w:val="20"/>
                <w:color w:val="auto"/>
              </w:rPr>
            </w:pPr>
            <w:r>
              <w:rPr>
                <w:rFonts w:ascii="Arial" w:cs="Arial" w:eastAsia="Arial" w:hAnsi="Arial"/>
                <w:sz w:val="17"/>
                <w:szCs w:val="17"/>
                <w:color w:val="0000FF"/>
                <w:w w:val="91"/>
              </w:rPr>
              <w:t>Common Stock, $0.01 Par Value Per Share</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0000FF"/>
              </w:rPr>
              <w:t>04/03/2020</w:t>
            </w:r>
          </w:p>
        </w:tc>
        <w:tc>
          <w:tcPr>
            <w:tcW w:w="4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Arial" w:cs="Arial" w:eastAsia="Arial" w:hAnsi="Arial"/>
                <w:sz w:val="13"/>
                <w:szCs w:val="13"/>
                <w:color w:val="0000FF"/>
              </w:rPr>
              <w:t>F</w:t>
            </w:r>
          </w:p>
        </w:tc>
        <w:tc>
          <w:tcPr>
            <w:tcW w:w="720" w:type="dxa"/>
            <w:vAlign w:val="bottom"/>
          </w:tcPr>
          <w:p>
            <w:pPr>
              <w:jc w:val="right"/>
              <w:ind w:right="113"/>
              <w:spacing w:after="0"/>
              <w:rPr>
                <w:sz w:val="20"/>
                <w:szCs w:val="20"/>
                <w:color w:val="auto"/>
              </w:rPr>
            </w:pPr>
            <w:r>
              <w:rPr>
                <w:rFonts w:ascii="Arial" w:cs="Arial" w:eastAsia="Arial" w:hAnsi="Arial"/>
                <w:sz w:val="17"/>
                <w:szCs w:val="17"/>
                <w:color w:val="0000FF"/>
              </w:rPr>
              <w:t>272</w:t>
            </w:r>
          </w:p>
        </w:tc>
        <w:tc>
          <w:tcPr>
            <w:tcW w:w="440" w:type="dxa"/>
            <w:vAlign w:val="bottom"/>
          </w:tcPr>
          <w:p>
            <w:pPr>
              <w:ind w:left="280"/>
              <w:spacing w:after="0"/>
              <w:rPr>
                <w:sz w:val="20"/>
                <w:szCs w:val="20"/>
                <w:color w:val="auto"/>
              </w:rPr>
            </w:pPr>
            <w:r>
              <w:rPr>
                <w:rFonts w:ascii="Arial" w:cs="Arial" w:eastAsia="Arial" w:hAnsi="Arial"/>
                <w:sz w:val="17"/>
                <w:szCs w:val="17"/>
                <w:color w:val="0000FF"/>
              </w:rPr>
              <w:t>D</w:t>
            </w:r>
          </w:p>
        </w:tc>
        <w:tc>
          <w:tcPr>
            <w:tcW w:w="200" w:type="dxa"/>
            <w:vAlign w:val="bottom"/>
          </w:tcPr>
          <w:p>
            <w:pPr>
              <w:spacing w:after="0"/>
              <w:rPr>
                <w:sz w:val="23"/>
                <w:szCs w:val="23"/>
                <w:color w:val="auto"/>
              </w:rPr>
            </w:pPr>
          </w:p>
        </w:tc>
        <w:tc>
          <w:tcPr>
            <w:tcW w:w="600" w:type="dxa"/>
            <w:vAlign w:val="bottom"/>
            <w:gridSpan w:val="3"/>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14.19</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69,572</w:t>
            </w:r>
          </w:p>
        </w:tc>
        <w:tc>
          <w:tcPr>
            <w:tcW w:w="940" w:type="dxa"/>
            <w:vAlign w:val="bottom"/>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43"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Company granted performance share units ("PSUs") to the reporting person on January 19, 2017. Vesting of the PSUs was based on three-year Company performance relative to select key competitors. Most of these competitors had not reported their 2019 audited financial results when the Company's compensation committee met in January 2020 to certify performance under the PSUs. As a result, the Company's compensation committee approved the issuance of 90% of the shares that the committee determined had been earned according to the information available to the committee at the time. As of April 3, 2020, all such competitors had reported their 2019 audited financial results. Shares of common stock reported hereunder represent shares finally determined to have been earned under the PSUs.</w:t>
      </w:r>
    </w:p>
    <w:p>
      <w:pPr>
        <w:ind w:left="6580"/>
        <w:spacing w:after="0" w:line="184" w:lineRule="auto"/>
        <w:rPr>
          <w:sz w:val="20"/>
          <w:szCs w:val="20"/>
          <w:color w:val="auto"/>
        </w:rPr>
      </w:pPr>
      <w:r>
        <w:rPr>
          <w:rFonts w:ascii="Arial" w:cs="Arial" w:eastAsia="Arial" w:hAnsi="Arial"/>
          <w:sz w:val="17"/>
          <w:szCs w:val="17"/>
          <w:color w:val="0000FF"/>
        </w:rPr>
        <w:t xml:space="preserve">/s/ Saul R. Laureles, Attorney- </w:t>
      </w:r>
      <w:r>
        <w:rPr>
          <w:rFonts w:ascii="Arial" w:cs="Arial" w:eastAsia="Arial" w:hAnsi="Arial"/>
          <w:sz w:val="32"/>
          <w:szCs w:val="32"/>
          <w:color w:val="0000FF"/>
          <w:vertAlign w:val="subscript"/>
        </w:rPr>
        <w:t>04/07/2020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442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692116" TargetMode="External"/><Relationship Id="rId14"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2020-04-07T15:17:36Z</dcterms:created>
  <dcterms:modified xsi:type="dcterms:W3CDTF">2020-04-07T15:17:36Z</dcterms:modified>
</cp:coreProperties>
</file>