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419"/>
        <w:spacing w:after="0"/>
        <w:rPr>
          <w:sz w:val="20"/>
          <w:szCs w:val="20"/>
          <w:color w:val="auto"/>
        </w:rPr>
      </w:pPr>
      <w:r>
        <w:rPr>
          <w:rFonts w:ascii="Arial" w:cs="Arial" w:eastAsia="Arial" w:hAnsi="Arial"/>
          <w:sz w:val="36"/>
          <w:szCs w:val="36"/>
          <w:b w:val="1"/>
          <w:bCs w:val="1"/>
          <w:color w:val="auto"/>
        </w:rPr>
        <w:t>SCHLUMBERGER N.V. (SCHLUMBERGER LIMITED)</w:t>
      </w:r>
    </w:p>
    <w:p>
      <w:pPr>
        <w:spacing w:after="0" w:line="4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7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860"/>
          </w:cols>
          <w:pgMar w:left="240" w:top="378" w:right="6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78" w:right="639" w:bottom="1440" w:gutter="0" w:footer="0" w:header="0"/>
          <w:type w:val="continuous"/>
        </w:sectPr>
      </w:pPr>
    </w:p>
    <w:p>
      <w:pPr>
        <w:spacing w:after="0" w:line="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ind w:left="374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78" w:right="63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Check the appropriate box below if the Form 8-K filing is intended to simultaneously satisfy the filing obligation of the registrant under any of the following provisions (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78" w:right="63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 Compensatory Arrangements of Certain Officers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April 15, 2015, the Compensation Committee of the Board of Directors approved amendments to the award agreements used under the Schlumberger 2010 Omnibus Stock Incentive Plan and the Schlumberger 2013 Omnibus Stock Incentive Plan. These amendments provide that, in the event of a participant’s retirement at or after age 60 with 25 years of service or approved retirement at or after age 55 with 20 years of service, stock options, restricted stock units and performance share units shall continue to vest, except that vesting of performance share units awarded to certain participants will be pro-rated based on the period of the participant’s active employment during the award’s performance period. The amendments apply to future awards, including awards granted to named executive officers, effective as of April 16, 2015 in the case of stock options and restricted stock units and effective as of January 1, 2016 in the case of performance share units. Awards remain subject to forfeiture in the event of Detrimental Activity, as defined in the respective award agreements.</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2015</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2019-12-05T14:53:31Z</dcterms:created>
  <dcterms:modified xsi:type="dcterms:W3CDTF">2019-12-05T14:53:31Z</dcterms:modified>
</cp:coreProperties>
</file>