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July 27, 2010, Schlumberger Limited and Smith International, Inc. issued a joint press release announcing that the Department of Justice has cleared their proposed merger without any conditions, granting early termination of the waiting period required by the Hart-Scott-Rodino Antitrust Improvements Act of 1976 with respect to the proposed merger.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2010</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Schlumberger-Smith Merger Receives Unconditional Clearance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U.S. Department of Justice</w:t>
      </w:r>
    </w:p>
    <w:p>
      <w:pPr>
        <w:spacing w:after="0" w:line="159"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July 27, 2010 — Schlumberger Ltd (NYSE: SLB) and Smith International, Inc. (NYSE: SII) jointly announced today that the U.S. Department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Justice has cleared their proposed merger without any conditions, granting early termination of the waiting period required by the Hart-Scott-Rodino Antitrust Improvements Act of 1976 with respect to the proposed merger. As announced yesterday, the European Commission cleared the proposed merger under the EC Merger Regulation on July 26, 2010 without any conditions.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closing of the proposed merger remains subject to approval by Smith stockholders and the satisfaction or waiver of the other closing conditions contained in the merger agreement between the companies. As previously announced, the 2010 annual meeting of stockholders of Smith is scheduled for August 24, 2010, at which meeting stockholders of Smith will consider and vote upon matters including the proposed adoption of the agreement and plan of merger between Smith and Schlumberger.</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Subject to receipt of approval from Smith stockholders, Schlumberger and Smith expect to close the merger on August 27, 2010. Until that time, Schlumberger and Smith will continue to operate as separate and independent companies and continue to serve their respective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Neither Schlumberger nor Smith can give any assurance that such expectations will prove to be correct. These statements are subject to, among other things, satisfaction of the closing conditions to the merger, the risk that the Smith 2010 annual stockholders meeting is cancelled or delayed, the risk that the contemplated merger does not occur, negative effects from the pendency of the merger, the ability to successfully integrate the merged businesses and to realize expected synergies and other risk factors that are discussed in Schlumberger’s and Smith’s most recent Forms 10-K as well as each company’s other filings with the SEC available at the SEC’s Internet site (http://www.sec.gov). Actual results may differ materially from those expected, estimated or projected.</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Forward-looking statements speak only as of the date they are made, and neither Schlumberger nor Smith undertake any obligation to publicly update or revise any of them in light of new information, future events or otherwise.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filed with the SEC a registration statement on Form S-4 containing a definitive proxy statement/prospectus of Schlumberger and Smith and other documents related to the proposed transaction. The registration has been declared effective by the SEC and Smith intends to mail the proxy statement/prospectus to its stockholders on or about July 27, 2010. STOCKHOLDERS ARE URGED TO READ THE DEFINITIVE PROXY STATEMENT/PROSPECTUS AND REGISTRATION STATEMENT REGARDING THE PROPOSED TRANSACTION BECAUSE IT CONTAINS IMPORTANT INFORMATION ABOUT THE PROPOSED TRANSACTION, INCLUDING DETAILED RISK FACTORS. These documents contain important information about the proposed transaction that should be read carefully before any decision is made with respect to the proposed transaction. These materials are available to the shareholders of Smith at no expense to them. Investors and security holders can obtain the documents free of charge at the SEC’s web site, www.sec.gov. In addition, such materials (and all other documents filed with the SEC) are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amendment to its annual report on Form 10-K filed with the SEC on April 30, 2010. Additional information regarding the participants in the proxy solicitation and a description of their direct and indirect interests in the transaction, by security holdings or otherwise, are contained in the definitive proxy statement/prospectus and other relevant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ectPr>
          <w:pgSz w:w="11900" w:h="16838" w:orient="portrait"/>
          <w:cols w:equalWidth="0" w:num="1">
            <w:col w:w="11400"/>
          </w:cols>
          <w:pgMar w:left="240" w:top="274" w:right="259" w:bottom="1440" w:gutter="0" w:footer="0" w:header="0"/>
        </w:sectPr>
      </w:pPr>
    </w:p>
    <w:bookmarkStart w:id="5" w:name="page6"/>
    <w:bookmarkEnd w:id="5"/>
    <w:p>
      <w:pPr>
        <w:ind w:right="501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Shawn Housley – Smith International, Inc., Director of Investor Relations Office + 1 (281) 233-5768</w:t>
      </w: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6" w:lineRule="exact"/>
        <w:rPr>
          <w:sz w:val="20"/>
          <w:szCs w:val="20"/>
          <w:color w:val="auto"/>
        </w:rPr>
      </w:pPr>
    </w:p>
    <w:p>
      <w:pPr>
        <w:ind w:right="4299"/>
        <w:spacing w:after="0" w:line="254" w:lineRule="auto"/>
        <w:rPr>
          <w:sz w:val="20"/>
          <w:szCs w:val="20"/>
          <w:color w:val="auto"/>
        </w:rPr>
      </w:pPr>
      <w:r>
        <w:rPr>
          <w:rFonts w:ascii="Arial" w:cs="Arial" w:eastAsia="Arial" w:hAnsi="Arial"/>
          <w:sz w:val="18"/>
          <w:szCs w:val="18"/>
          <w:color w:val="auto"/>
        </w:rPr>
        <w:t>Stephen Whittaker – Schlumberger Limited, Director of Corporate Communications Office + 33 1 4062 1330</w:t>
      </w: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2019-12-20T19:16:16Z</dcterms:created>
  <dcterms:modified xsi:type="dcterms:W3CDTF">2019-12-20T19:16:16Z</dcterms:modified>
</cp:coreProperties>
</file>