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544"/>
        <w:spacing w:after="0"/>
        <w:tabs>
          <w:tab w:leader="none" w:pos="6484" w:val="left"/>
        </w:tabs>
        <w:rPr>
          <w:sz w:val="20"/>
          <w:szCs w:val="20"/>
          <w:color w:val="auto"/>
        </w:rPr>
      </w:pPr>
      <w:r>
        <w:rPr>
          <w:rFonts w:ascii="Arial" w:cs="Arial" w:eastAsia="Arial" w:hAnsi="Arial"/>
          <w:sz w:val="18"/>
          <w:szCs w:val="18"/>
          <w:color w:val="auto"/>
        </w:rPr>
        <w:t xml:space="preserve">                         </w:t>
      </w:r>
      <w:r>
        <w:rPr>
          <w:sz w:val="20"/>
          <w:szCs w:val="20"/>
          <w:color w:val="auto"/>
        </w:rPr>
        <w:tab/>
      </w:r>
      <w:r>
        <w:rPr>
          <w:rFonts w:ascii="Arial" w:cs="Arial" w:eastAsia="Arial" w:hAnsi="Arial"/>
          <w:sz w:val="17"/>
          <w:szCs w:val="17"/>
          <w:color w:val="auto"/>
        </w:rPr>
        <w:t>Filed by Schlumberger N.V.</w:t>
      </w:r>
    </w:p>
    <w:p>
      <w:pPr>
        <w:spacing w:after="0" w:line="14" w:lineRule="exact"/>
        <w:rPr>
          <w:sz w:val="24"/>
          <w:szCs w:val="24"/>
          <w:color w:val="auto"/>
        </w:rPr>
      </w:pPr>
    </w:p>
    <w:p>
      <w:pPr>
        <w:ind w:left="6504"/>
        <w:spacing w:after="0"/>
        <w:rPr>
          <w:sz w:val="20"/>
          <w:szCs w:val="20"/>
          <w:color w:val="auto"/>
        </w:rPr>
      </w:pPr>
      <w:r>
        <w:rPr>
          <w:rFonts w:ascii="Arial" w:cs="Arial" w:eastAsia="Arial" w:hAnsi="Arial"/>
          <w:sz w:val="17"/>
          <w:szCs w:val="17"/>
          <w:color w:val="auto"/>
        </w:rPr>
        <w:t>pursuant to Rule 425 under the Securities Act of 1933</w:t>
      </w:r>
    </w:p>
    <w:p>
      <w:pPr>
        <w:spacing w:after="0" w:line="3" w:lineRule="exact"/>
        <w:rPr>
          <w:sz w:val="24"/>
          <w:szCs w:val="24"/>
          <w:color w:val="auto"/>
        </w:rPr>
      </w:pPr>
    </w:p>
    <w:p>
      <w:pPr>
        <w:ind w:left="6504"/>
        <w:spacing w:after="0"/>
        <w:rPr>
          <w:sz w:val="20"/>
          <w:szCs w:val="20"/>
          <w:color w:val="auto"/>
        </w:rPr>
      </w:pPr>
      <w:r>
        <w:rPr>
          <w:rFonts w:ascii="Arial" w:cs="Arial" w:eastAsia="Arial" w:hAnsi="Arial"/>
          <w:sz w:val="18"/>
          <w:szCs w:val="18"/>
          <w:color w:val="auto"/>
        </w:rPr>
        <w:t>and deemed filed pursuant to Rule 14a-12</w:t>
      </w:r>
    </w:p>
    <w:p>
      <w:pPr>
        <w:ind w:left="6504"/>
        <w:spacing w:after="0" w:line="234" w:lineRule="auto"/>
        <w:rPr>
          <w:sz w:val="20"/>
          <w:szCs w:val="20"/>
          <w:color w:val="auto"/>
        </w:rPr>
      </w:pPr>
      <w:r>
        <w:rPr>
          <w:rFonts w:ascii="Arial" w:cs="Arial" w:eastAsia="Arial" w:hAnsi="Arial"/>
          <w:sz w:val="18"/>
          <w:szCs w:val="18"/>
          <w:color w:val="auto"/>
        </w:rPr>
        <w:t>under the Securities Exchange Act of 1934</w:t>
      </w:r>
    </w:p>
    <w:p>
      <w:pPr>
        <w:ind w:left="6504"/>
        <w:spacing w:after="0" w:line="235" w:lineRule="auto"/>
        <w:rPr>
          <w:sz w:val="20"/>
          <w:szCs w:val="20"/>
          <w:color w:val="auto"/>
        </w:rPr>
      </w:pPr>
      <w:r>
        <w:rPr>
          <w:rFonts w:ascii="Arial" w:cs="Arial" w:eastAsia="Arial" w:hAnsi="Arial"/>
          <w:sz w:val="18"/>
          <w:szCs w:val="18"/>
          <w:color w:val="auto"/>
        </w:rPr>
        <w:t>Subject Company: ChampionX Corporation</w:t>
      </w:r>
    </w:p>
    <w:p>
      <w:pPr>
        <w:ind w:left="6504"/>
        <w:spacing w:after="0" w:line="235" w:lineRule="auto"/>
        <w:rPr>
          <w:sz w:val="20"/>
          <w:szCs w:val="20"/>
          <w:color w:val="auto"/>
        </w:rPr>
      </w:pPr>
      <w:r>
        <w:rPr>
          <w:rFonts w:ascii="Arial" w:cs="Arial" w:eastAsia="Arial" w:hAnsi="Arial"/>
          <w:sz w:val="18"/>
          <w:szCs w:val="18"/>
          <w:color w:val="auto"/>
        </w:rPr>
        <w:t>Filer’s SEC File No.: 001-38441</w:t>
      </w:r>
    </w:p>
    <w:p>
      <w:pPr>
        <w:ind w:left="6504"/>
        <w:spacing w:after="0"/>
        <w:rPr>
          <w:sz w:val="20"/>
          <w:szCs w:val="20"/>
          <w:color w:val="auto"/>
        </w:rPr>
      </w:pPr>
      <w:r>
        <w:rPr>
          <w:rFonts w:ascii="Arial" w:cs="Arial" w:eastAsia="Arial" w:hAnsi="Arial"/>
          <w:sz w:val="18"/>
          <w:szCs w:val="18"/>
          <w:color w:val="auto"/>
        </w:rPr>
        <w:t>Date: June 18,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168910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212090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78"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160655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92"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188595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7"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June 18,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174625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ChampionX Corporation</w:t>
      </w:r>
    </w:p>
    <w:p>
      <w:pPr>
        <w:spacing w:after="0" w:line="48"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160655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229" w:right="439" w:bottom="1440" w:gutter="0" w:footer="0" w:header="0"/>
        </w:sectPr>
      </w:pPr>
    </w:p>
    <w:p>
      <w:pPr>
        <w:spacing w:after="0" w:line="200" w:lineRule="exact"/>
        <w:rPr>
          <w:sz w:val="24"/>
          <w:szCs w:val="24"/>
          <w:color w:val="auto"/>
        </w:rPr>
      </w:pPr>
    </w:p>
    <w:p>
      <w:pPr>
        <w:spacing w:after="0" w:line="304" w:lineRule="exact"/>
        <w:rPr>
          <w:sz w:val="24"/>
          <w:szCs w:val="24"/>
          <w:color w:val="auto"/>
        </w:rPr>
      </w:pPr>
    </w:p>
    <w:p>
      <w:pPr>
        <w:ind w:left="1484"/>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4" w:lineRule="exact"/>
        <w:rPr>
          <w:sz w:val="24"/>
          <w:szCs w:val="24"/>
          <w:color w:val="auto"/>
        </w:rPr>
      </w:pPr>
    </w:p>
    <w:p>
      <w:pPr>
        <w:jc w:val="center"/>
        <w:ind w:right="2020"/>
        <w:spacing w:after="0"/>
        <w:rPr>
          <w:sz w:val="20"/>
          <w:szCs w:val="20"/>
          <w:color w:val="auto"/>
        </w:rPr>
      </w:pPr>
      <w:r>
        <w:rPr>
          <w:rFonts w:ascii="Arial" w:cs="Arial" w:eastAsia="Arial" w:hAnsi="Arial"/>
          <w:sz w:val="17"/>
          <w:szCs w:val="17"/>
          <w:b w:val="1"/>
          <w:bCs w:val="1"/>
          <w:color w:val="auto"/>
        </w:rPr>
        <w:t>001-38441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4"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82-3066826</w:t>
      </w:r>
    </w:p>
    <w:p>
      <w:pPr>
        <w:spacing w:after="0" w:line="32" w:lineRule="exact"/>
        <w:rPr>
          <w:sz w:val="24"/>
          <w:szCs w:val="24"/>
          <w:color w:val="auto"/>
        </w:rPr>
      </w:pPr>
    </w:p>
    <w:p>
      <w:pPr>
        <w:sectPr>
          <w:pgSz w:w="11900" w:h="16838" w:orient="portrait"/>
          <w:cols w:equalWidth="0" w:num="3">
            <w:col w:w="4464" w:space="720"/>
            <w:col w:w="2880" w:space="720"/>
            <w:col w:w="2240"/>
          </w:cols>
          <w:pgMar w:left="436" w:top="229" w:right="439" w:bottom="1440" w:gutter="0" w:footer="0" w:header="0"/>
          <w:type w:val="continuous"/>
        </w:sectPr>
      </w:pPr>
    </w:p>
    <w:p>
      <w:pPr>
        <w:jc w:val="center"/>
        <w:ind w:right="716"/>
        <w:spacing w:after="0"/>
        <w:rPr>
          <w:sz w:val="20"/>
          <w:szCs w:val="20"/>
          <w:color w:val="auto"/>
        </w:rPr>
      </w:pPr>
      <w:r>
        <w:rPr>
          <w:rFonts w:ascii="Arial" w:cs="Arial" w:eastAsia="Arial" w:hAnsi="Arial"/>
          <w:sz w:val="14"/>
          <w:szCs w:val="14"/>
          <w:b w:val="1"/>
          <w:bCs w:val="1"/>
          <w:color w:val="auto"/>
        </w:rPr>
        <w:t>(State or other jurisdiction</w:t>
      </w:r>
    </w:p>
    <w:p>
      <w:pPr>
        <w:jc w:val="center"/>
        <w:ind w:right="71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w:t>
      </w:r>
    </w:p>
    <w:p>
      <w:pPr>
        <w:ind w:left="20"/>
        <w:spacing w:after="0"/>
        <w:rPr>
          <w:sz w:val="20"/>
          <w:szCs w:val="20"/>
          <w:color w:val="auto"/>
        </w:rPr>
      </w:pPr>
      <w:r>
        <w:rPr>
          <w:rFonts w:ascii="Arial" w:cs="Arial" w:eastAsia="Arial" w:hAnsi="Arial"/>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Arial" w:cs="Arial" w:eastAsia="Arial" w:hAnsi="Arial"/>
          <w:sz w:val="14"/>
          <w:szCs w:val="14"/>
          <w:b w:val="1"/>
          <w:bCs w:val="1"/>
          <w:color w:val="auto"/>
        </w:rPr>
        <w:t>(I.R.S. Employer</w:t>
      </w:r>
    </w:p>
    <w:p>
      <w:pPr>
        <w:jc w:val="center"/>
        <w:ind w:right="1160"/>
        <w:spacing w:after="0"/>
        <w:rPr>
          <w:sz w:val="20"/>
          <w:szCs w:val="20"/>
          <w:color w:val="auto"/>
        </w:rPr>
      </w:pPr>
      <w:r>
        <w:rPr>
          <w:rFonts w:ascii="Arial" w:cs="Arial" w:eastAsia="Arial" w:hAnsi="Arial"/>
          <w:sz w:val="14"/>
          <w:szCs w:val="14"/>
          <w:b w:val="1"/>
          <w:bCs w:val="1"/>
          <w:color w:val="auto"/>
        </w:rPr>
        <w:t>Identification No.)</w:t>
      </w:r>
    </w:p>
    <w:p>
      <w:pPr>
        <w:spacing w:after="0" w:line="166" w:lineRule="exact"/>
        <w:rPr>
          <w:sz w:val="24"/>
          <w:szCs w:val="24"/>
          <w:color w:val="auto"/>
        </w:rPr>
      </w:pPr>
    </w:p>
    <w:p>
      <w:pPr>
        <w:sectPr>
          <w:pgSz w:w="11900" w:h="16838" w:orient="portrait"/>
          <w:cols w:equalWidth="0" w:num="3">
            <w:col w:w="4444" w:space="720"/>
            <w:col w:w="2760" w:space="720"/>
            <w:col w:w="2380"/>
          </w:cols>
          <w:pgMar w:left="436" w:top="229" w:right="439" w:bottom="1440" w:gutter="0" w:footer="0" w:header="0"/>
          <w:type w:val="continuous"/>
        </w:sectPr>
      </w:pPr>
    </w:p>
    <w:p>
      <w:pPr>
        <w:jc w:val="center"/>
        <w:ind w:right="16"/>
        <w:spacing w:after="0"/>
        <w:rPr>
          <w:sz w:val="20"/>
          <w:szCs w:val="20"/>
          <w:color w:val="auto"/>
        </w:rPr>
      </w:pPr>
      <w:r>
        <w:rPr>
          <w:rFonts w:ascii="Arial" w:cs="Arial" w:eastAsia="Arial" w:hAnsi="Arial"/>
          <w:sz w:val="18"/>
          <w:szCs w:val="18"/>
          <w:b w:val="1"/>
          <w:bCs w:val="1"/>
          <w:color w:val="auto"/>
        </w:rPr>
        <w:t>2445 Technology Forest Blvd</w:t>
      </w:r>
    </w:p>
    <w:p>
      <w:pPr>
        <w:spacing w:after="0" w:line="9"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Building 4, 12th Floor</w:t>
      </w:r>
    </w:p>
    <w:p>
      <w:pPr>
        <w:jc w:val="center"/>
        <w:ind w:right="16"/>
        <w:spacing w:after="0"/>
        <w:rPr>
          <w:sz w:val="20"/>
          <w:szCs w:val="20"/>
          <w:color w:val="auto"/>
        </w:rPr>
      </w:pPr>
      <w:r>
        <w:rPr>
          <w:rFonts w:ascii="Arial" w:cs="Arial" w:eastAsia="Arial" w:hAnsi="Arial"/>
          <w:sz w:val="18"/>
          <w:szCs w:val="18"/>
          <w:b w:val="1"/>
          <w:bCs w:val="1"/>
          <w:color w:val="auto"/>
        </w:rPr>
        <w:t>The Woodlands, Texas 77381</w:t>
      </w:r>
    </w:p>
    <w:p>
      <w:pPr>
        <w:spacing w:after="0" w:line="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153"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(281) 403-5772</w:t>
      </w:r>
    </w:p>
    <w:p>
      <w:pPr>
        <w:spacing w:after="0" w:line="19"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76"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169545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229" w:right="439" w:bottom="1440" w:gutter="0" w:footer="0" w:header="0"/>
          <w:type w:val="continuous"/>
        </w:sectPr>
      </w:pPr>
    </w:p>
    <w:p>
      <w:pPr>
        <w:spacing w:after="0" w:line="200" w:lineRule="exact"/>
        <w:rPr>
          <w:sz w:val="24"/>
          <w:szCs w:val="24"/>
          <w:color w:val="auto"/>
        </w:rPr>
      </w:pPr>
    </w:p>
    <w:p>
      <w:pPr>
        <w:spacing w:after="0" w:line="237" w:lineRule="exact"/>
        <w:rPr>
          <w:sz w:val="24"/>
          <w:szCs w:val="24"/>
          <w:color w:val="auto"/>
        </w:rPr>
      </w:pPr>
    </w:p>
    <w:p>
      <w:pPr>
        <w:ind w:left="4" w:right="12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9"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4"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185"/>
        </w:trPr>
        <w:tc>
          <w:tcPr>
            <w:tcW w:w="3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232"/>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$0.01 par value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CHX</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The Nasdaq Stock Market LLC</w:t>
            </w:r>
          </w:p>
        </w:tc>
      </w:tr>
    </w:tbl>
    <w:p>
      <w:pPr>
        <w:spacing w:after="0" w:line="134" w:lineRule="exact"/>
        <w:rPr>
          <w:sz w:val="24"/>
          <w:szCs w:val="24"/>
          <w:color w:val="auto"/>
        </w:rPr>
      </w:pPr>
    </w:p>
    <w:p>
      <w:pPr>
        <w:ind w:left="4" w:right="660"/>
        <w:spacing w:after="0" w:line="27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3"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86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229"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5.07</w:t>
      </w:r>
      <w:r>
        <w:rPr>
          <w:sz w:val="20"/>
          <w:szCs w:val="20"/>
          <w:color w:val="auto"/>
        </w:rPr>
        <w:tab/>
      </w:r>
      <w:r>
        <w:rPr>
          <w:rFonts w:ascii="Arial" w:cs="Arial" w:eastAsia="Arial" w:hAnsi="Arial"/>
          <w:sz w:val="18"/>
          <w:szCs w:val="18"/>
          <w:b w:val="1"/>
          <w:bCs w:val="1"/>
          <w:color w:val="auto"/>
        </w:rPr>
        <w:t>Submission of Matters to a Vote of Stockholders.</w:t>
      </w:r>
    </w:p>
    <w:p>
      <w:pPr>
        <w:spacing w:after="0" w:line="104" w:lineRule="exact"/>
        <w:rPr>
          <w:sz w:val="20"/>
          <w:szCs w:val="20"/>
          <w:color w:val="auto"/>
        </w:rPr>
      </w:pPr>
    </w:p>
    <w:p>
      <w:pPr>
        <w:ind w:right="340"/>
        <w:spacing w:after="0" w:line="244" w:lineRule="auto"/>
        <w:rPr>
          <w:sz w:val="20"/>
          <w:szCs w:val="20"/>
          <w:color w:val="auto"/>
        </w:rPr>
      </w:pPr>
      <w:r>
        <w:rPr>
          <w:rFonts w:ascii="Arial" w:cs="Arial" w:eastAsia="Arial" w:hAnsi="Arial"/>
          <w:sz w:val="18"/>
          <w:szCs w:val="18"/>
          <w:color w:val="auto"/>
        </w:rPr>
        <w:t>On June 18, 2024, ChampionX Corporation (“</w:t>
      </w:r>
      <w:r>
        <w:rPr>
          <w:rFonts w:ascii="Arial" w:cs="Arial" w:eastAsia="Arial" w:hAnsi="Arial"/>
          <w:sz w:val="18"/>
          <w:szCs w:val="18"/>
          <w:u w:val="single" w:color="auto"/>
          <w:color w:val="auto"/>
        </w:rPr>
        <w:t>ChampionX</w:t>
      </w:r>
      <w:r>
        <w:rPr>
          <w:rFonts w:ascii="Arial" w:cs="Arial" w:eastAsia="Arial" w:hAnsi="Arial"/>
          <w:sz w:val="18"/>
          <w:szCs w:val="18"/>
          <w:color w:val="auto"/>
        </w:rPr>
        <w:t>”) held a special meeting of stockholders (the “</w:t>
      </w:r>
      <w:r>
        <w:rPr>
          <w:rFonts w:ascii="Arial" w:cs="Arial" w:eastAsia="Arial" w:hAnsi="Arial"/>
          <w:sz w:val="18"/>
          <w:szCs w:val="18"/>
          <w:u w:val="single" w:color="auto"/>
          <w:color w:val="auto"/>
        </w:rPr>
        <w:t>Special Meeting</w:t>
      </w:r>
      <w:r>
        <w:rPr>
          <w:rFonts w:ascii="Arial" w:cs="Arial" w:eastAsia="Arial" w:hAnsi="Arial"/>
          <w:sz w:val="18"/>
          <w:szCs w:val="18"/>
          <w:color w:val="auto"/>
        </w:rPr>
        <w:t>”) to consider certain proposals related to the Agreement and Plan of Merger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dated as of April 2, 2024, by and among ChampionX, Schlumberger Limited (“</w:t>
      </w:r>
      <w:r>
        <w:rPr>
          <w:rFonts w:ascii="Arial" w:cs="Arial" w:eastAsia="Arial" w:hAnsi="Arial"/>
          <w:sz w:val="18"/>
          <w:szCs w:val="18"/>
          <w:u w:val="single" w:color="auto"/>
          <w:color w:val="auto"/>
        </w:rPr>
        <w:t>SLB</w:t>
      </w:r>
      <w:r>
        <w:rPr>
          <w:rFonts w:ascii="Arial" w:cs="Arial" w:eastAsia="Arial" w:hAnsi="Arial"/>
          <w:sz w:val="18"/>
          <w:szCs w:val="18"/>
          <w:color w:val="auto"/>
        </w:rPr>
        <w:t>”), Sodium Holdco, Inc. (“</w:t>
      </w:r>
      <w:r>
        <w:rPr>
          <w:rFonts w:ascii="Arial" w:cs="Arial" w:eastAsia="Arial" w:hAnsi="Arial"/>
          <w:sz w:val="18"/>
          <w:szCs w:val="18"/>
          <w:u w:val="single" w:color="auto"/>
          <w:color w:val="auto"/>
        </w:rPr>
        <w:t>Holdco</w:t>
      </w:r>
      <w:r>
        <w:rPr>
          <w:rFonts w:ascii="Arial" w:cs="Arial" w:eastAsia="Arial" w:hAnsi="Arial"/>
          <w:sz w:val="18"/>
          <w:szCs w:val="18"/>
          <w:color w:val="auto"/>
        </w:rPr>
        <w:t>”), and Sodium Merger Sub, Inc. (“</w:t>
      </w:r>
      <w:r>
        <w:rPr>
          <w:rFonts w:ascii="Arial" w:cs="Arial" w:eastAsia="Arial" w:hAnsi="Arial"/>
          <w:sz w:val="18"/>
          <w:szCs w:val="18"/>
          <w:u w:val="single" w:color="auto"/>
          <w:color w:val="auto"/>
        </w:rPr>
        <w:t>Merger Sub</w:t>
      </w:r>
      <w:r>
        <w:rPr>
          <w:rFonts w:ascii="Arial" w:cs="Arial" w:eastAsia="Arial" w:hAnsi="Arial"/>
          <w:sz w:val="18"/>
          <w:szCs w:val="18"/>
          <w:color w:val="auto"/>
        </w:rPr>
        <w:t>”), pursuant to which SLB will acquire ChampionX in an all-stock transaction by means of a merger of Merger Sub with and into ChampionX (the “</w:t>
      </w:r>
      <w:r>
        <w:rPr>
          <w:rFonts w:ascii="Arial" w:cs="Arial" w:eastAsia="Arial" w:hAnsi="Arial"/>
          <w:sz w:val="18"/>
          <w:szCs w:val="18"/>
          <w:u w:val="single" w:color="auto"/>
          <w:color w:val="auto"/>
        </w:rPr>
        <w:t>Merger</w:t>
      </w:r>
      <w:r>
        <w:rPr>
          <w:rFonts w:ascii="Arial" w:cs="Arial" w:eastAsia="Arial" w:hAnsi="Arial"/>
          <w:sz w:val="18"/>
          <w:szCs w:val="18"/>
          <w:color w:val="auto"/>
        </w:rPr>
        <w:t>”), with ChampionX surviving the Merger as an indirect wholly owned subsidiary of SLB.</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As of May 14, 2024, the record date for the Special Meeting, there were 190,424,532 shares of ChampionX common stock, par value</w:t>
      </w:r>
    </w:p>
    <w:p>
      <w:pPr>
        <w:spacing w:after="0" w:line="1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$0.01 per share, (the “</w:t>
      </w:r>
      <w:r>
        <w:rPr>
          <w:rFonts w:ascii="Arial" w:cs="Arial" w:eastAsia="Arial" w:hAnsi="Arial"/>
          <w:sz w:val="18"/>
          <w:szCs w:val="18"/>
          <w:u w:val="single" w:color="auto"/>
          <w:color w:val="auto"/>
        </w:rPr>
        <w:t>Shares</w:t>
      </w:r>
      <w:r>
        <w:rPr>
          <w:rFonts w:ascii="Arial" w:cs="Arial" w:eastAsia="Arial" w:hAnsi="Arial"/>
          <w:sz w:val="18"/>
          <w:szCs w:val="18"/>
          <w:color w:val="auto"/>
        </w:rPr>
        <w:t>” and each, a “</w:t>
      </w:r>
      <w:r>
        <w:rPr>
          <w:rFonts w:ascii="Arial" w:cs="Arial" w:eastAsia="Arial" w:hAnsi="Arial"/>
          <w:sz w:val="18"/>
          <w:szCs w:val="18"/>
          <w:u w:val="single" w:color="auto"/>
          <w:color w:val="auto"/>
        </w:rPr>
        <w:t>Share</w:t>
      </w:r>
      <w:r>
        <w:rPr>
          <w:rFonts w:ascii="Arial" w:cs="Arial" w:eastAsia="Arial" w:hAnsi="Arial"/>
          <w:sz w:val="18"/>
          <w:szCs w:val="18"/>
          <w:color w:val="auto"/>
        </w:rPr>
        <w:t>”) outstanding and entitled to vote at the Special Meeting. At the Special Meeting, a total of 170,241,444 Shares, representing approximately 89.4% of the voting power of the issued and outstanding Shares, were present online or represented by proxy, constituting a quorum.</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are the final voting results on the proposals considered and voted upon at the Special Meeting, each of which is described in more detail in ChampionX’s definitive proxy statement filed with the U.S. Securities and Exchange Commission on May 15, 2024.</w:t>
      </w:r>
    </w:p>
    <w:p>
      <w:pPr>
        <w:spacing w:after="0" w:line="2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Proposal 1: The Merger Proposal</w:t>
      </w:r>
    </w:p>
    <w:p>
      <w:pPr>
        <w:spacing w:after="0" w:line="104" w:lineRule="exact"/>
        <w:rPr>
          <w:sz w:val="20"/>
          <w:szCs w:val="20"/>
          <w:color w:val="auto"/>
        </w:rPr>
      </w:pPr>
    </w:p>
    <w:p>
      <w:pPr>
        <w:ind w:right="320"/>
        <w:spacing w:after="0" w:line="244" w:lineRule="auto"/>
        <w:rPr>
          <w:sz w:val="20"/>
          <w:szCs w:val="20"/>
          <w:color w:val="auto"/>
        </w:rPr>
      </w:pPr>
      <w:r>
        <w:rPr>
          <w:rFonts w:ascii="Arial" w:cs="Arial" w:eastAsia="Arial" w:hAnsi="Arial"/>
          <w:sz w:val="18"/>
          <w:szCs w:val="18"/>
          <w:color w:val="auto"/>
        </w:rPr>
        <w:t>To adopt the Merger Agreement, pursuant to which (i) Merger Sub will merge with and into ChampionX in the Merger, with ChampionX surviving the Merger as an indirect wholly owned subsidiary of SLB (the “</w:t>
      </w:r>
      <w:r>
        <w:rPr>
          <w:rFonts w:ascii="Arial" w:cs="Arial" w:eastAsia="Arial" w:hAnsi="Arial"/>
          <w:sz w:val="18"/>
          <w:szCs w:val="18"/>
          <w:u w:val="single" w:color="auto"/>
          <w:color w:val="auto"/>
        </w:rPr>
        <w:t>Merger Proposal</w:t>
      </w:r>
      <w:r>
        <w:rPr>
          <w:rFonts w:ascii="Arial" w:cs="Arial" w:eastAsia="Arial" w:hAnsi="Arial"/>
          <w:sz w:val="18"/>
          <w:szCs w:val="18"/>
          <w:color w:val="auto"/>
        </w:rPr>
        <w:t>”) and (ii) at the effective time of the Merger, ChampionX’s certificate of incorporation will be amended and restated in its entirety in the form set forth on Exhibit A to the Merger Agreement, which will be the certificate of incorporation of ChampionX until thereafter amended in accordance with its terms and applicable law.</w:t>
      </w:r>
    </w:p>
    <w:p>
      <w:pPr>
        <w:spacing w:after="0" w:line="176"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At the Special Meeting, the Merger Proposal was approved, having received “for” votes from holders of a majority of the outstanding Shares entitled to vote at the Special Meeting.</w:t>
      </w:r>
    </w:p>
    <w:p>
      <w:pPr>
        <w:spacing w:after="0" w:line="190" w:lineRule="exact"/>
        <w:rPr>
          <w:sz w:val="20"/>
          <w:szCs w:val="20"/>
          <w:color w:val="auto"/>
        </w:rPr>
      </w:pPr>
    </w:p>
    <w:tbl>
      <w:tblPr>
        <w:tblLayout w:type="fixed"/>
        <w:tblInd w:w="1100" w:type="dxa"/>
        <w:tblCellMar>
          <w:top w:w="0" w:type="dxa"/>
          <w:left w:w="0" w:type="dxa"/>
          <w:bottom w:w="0" w:type="dxa"/>
          <w:right w:w="0" w:type="dxa"/>
        </w:tblCellMar>
      </w:tblPr>
      <w:tr>
        <w:trPr>
          <w:trHeight w:val="185"/>
        </w:trPr>
        <w:tc>
          <w:tcPr>
            <w:tcW w:w="3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For</w:t>
            </w:r>
          </w:p>
        </w:tc>
        <w:tc>
          <w:tcPr>
            <w:tcW w:w="2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Against</w:t>
            </w:r>
          </w:p>
        </w:tc>
        <w:tc>
          <w:tcPr>
            <w:tcW w:w="2800" w:type="dxa"/>
            <w:vAlign w:val="bottom"/>
          </w:tcPr>
          <w:p>
            <w:pPr>
              <w:ind w:left="1140"/>
              <w:spacing w:after="0"/>
              <w:rPr>
                <w:sz w:val="20"/>
                <w:szCs w:val="20"/>
                <w:color w:val="auto"/>
              </w:rPr>
            </w:pPr>
            <w:r>
              <w:rPr>
                <w:rFonts w:ascii="Arial" w:cs="Arial" w:eastAsia="Arial" w:hAnsi="Arial"/>
                <w:sz w:val="14"/>
                <w:szCs w:val="14"/>
                <w:b w:val="1"/>
                <w:bCs w:val="1"/>
                <w:color w:val="auto"/>
              </w:rPr>
              <w:t>Abstain</w:t>
            </w:r>
          </w:p>
        </w:tc>
      </w:tr>
      <w:tr>
        <w:trPr>
          <w:trHeight w:val="232"/>
        </w:trPr>
        <w:tc>
          <w:tcPr>
            <w:tcW w:w="2980" w:type="dxa"/>
            <w:vAlign w:val="bottom"/>
            <w:tcBorders>
              <w:top w:val="single" w:sz="8" w:color="auto"/>
            </w:tcBorders>
          </w:tcPr>
          <w:p>
            <w:pPr>
              <w:jc w:val="right"/>
              <w:ind w:right="899"/>
              <w:spacing w:after="0"/>
              <w:rPr>
                <w:sz w:val="20"/>
                <w:szCs w:val="20"/>
                <w:color w:val="auto"/>
              </w:rPr>
            </w:pPr>
            <w:r>
              <w:rPr>
                <w:rFonts w:ascii="Arial" w:cs="Arial" w:eastAsia="Arial" w:hAnsi="Arial"/>
                <w:sz w:val="18"/>
                <w:szCs w:val="18"/>
                <w:color w:val="auto"/>
              </w:rPr>
              <w:t>169,643,209</w:t>
            </w:r>
          </w:p>
        </w:tc>
        <w:tc>
          <w:tcPr>
            <w:tcW w:w="120" w:type="dxa"/>
            <w:vAlign w:val="bottom"/>
          </w:tcPr>
          <w:p>
            <w:pPr>
              <w:spacing w:after="0"/>
              <w:rPr>
                <w:sz w:val="20"/>
                <w:szCs w:val="20"/>
                <w:color w:val="auto"/>
              </w:rPr>
            </w:pPr>
          </w:p>
        </w:tc>
        <w:tc>
          <w:tcPr>
            <w:tcW w:w="2820" w:type="dxa"/>
            <w:vAlign w:val="bottom"/>
            <w:tcBorders>
              <w:top w:val="single" w:sz="8" w:color="auto"/>
            </w:tcBorders>
          </w:tcPr>
          <w:p>
            <w:pPr>
              <w:jc w:val="right"/>
              <w:ind w:right="999"/>
              <w:spacing w:after="0"/>
              <w:rPr>
                <w:sz w:val="20"/>
                <w:szCs w:val="20"/>
                <w:color w:val="auto"/>
              </w:rPr>
            </w:pPr>
            <w:r>
              <w:rPr>
                <w:rFonts w:ascii="Arial" w:cs="Arial" w:eastAsia="Arial" w:hAnsi="Arial"/>
                <w:sz w:val="18"/>
                <w:szCs w:val="18"/>
                <w:color w:val="auto"/>
              </w:rPr>
              <w:t>538,351</w:t>
            </w:r>
          </w:p>
        </w:tc>
        <w:tc>
          <w:tcPr>
            <w:tcW w:w="80" w:type="dxa"/>
            <w:vAlign w:val="bottom"/>
          </w:tcPr>
          <w:p>
            <w:pPr>
              <w:spacing w:after="0"/>
              <w:rPr>
                <w:sz w:val="20"/>
                <w:szCs w:val="20"/>
                <w:color w:val="auto"/>
              </w:rPr>
            </w:pPr>
          </w:p>
        </w:tc>
        <w:tc>
          <w:tcPr>
            <w:tcW w:w="2800" w:type="dxa"/>
            <w:vAlign w:val="bottom"/>
            <w:tcBorders>
              <w:top w:val="single" w:sz="8" w:color="auto"/>
            </w:tcBorders>
          </w:tcPr>
          <w:p>
            <w:pPr>
              <w:ind w:left="1120"/>
              <w:spacing w:after="0"/>
              <w:rPr>
                <w:sz w:val="20"/>
                <w:szCs w:val="20"/>
                <w:color w:val="auto"/>
              </w:rPr>
            </w:pPr>
            <w:r>
              <w:rPr>
                <w:rFonts w:ascii="Arial" w:cs="Arial" w:eastAsia="Arial" w:hAnsi="Arial"/>
                <w:sz w:val="18"/>
                <w:szCs w:val="18"/>
                <w:color w:val="auto"/>
              </w:rPr>
              <w:t>59,884</w:t>
            </w:r>
          </w:p>
        </w:tc>
      </w:tr>
    </w:tbl>
    <w:p>
      <w:pPr>
        <w:spacing w:after="0" w:line="26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Proposal 2: The Compensation Proposal</w:t>
      </w:r>
    </w:p>
    <w:p>
      <w:pPr>
        <w:spacing w:after="0" w:line="104"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To approve, by a non-binding, advisory vote, the compensation that may become payable to ChampionX’s named executive officers in connection with the Merger (the “</w:t>
      </w:r>
      <w:r>
        <w:rPr>
          <w:rFonts w:ascii="Arial" w:cs="Arial" w:eastAsia="Arial" w:hAnsi="Arial"/>
          <w:sz w:val="18"/>
          <w:szCs w:val="18"/>
          <w:u w:val="single" w:color="auto"/>
          <w:color w:val="auto"/>
        </w:rPr>
        <w:t>Compensation Proposal</w:t>
      </w:r>
      <w:r>
        <w:rPr>
          <w:rFonts w:ascii="Arial" w:cs="Arial" w:eastAsia="Arial" w:hAnsi="Arial"/>
          <w:sz w:val="18"/>
          <w:szCs w:val="18"/>
          <w:color w:val="auto"/>
        </w:rPr>
        <w:t>”).</w:t>
      </w:r>
    </w:p>
    <w:p>
      <w:pPr>
        <w:spacing w:after="0" w:line="154"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At the Special Meeting, the Compensation Proposal was approved, having received “for” votes from holders of a majority of the voting power of Shares present online or represented by proxy and entitled to vote on such matter at the Special Meeting.</w:t>
      </w:r>
    </w:p>
    <w:p>
      <w:pPr>
        <w:spacing w:after="0" w:line="190" w:lineRule="exact"/>
        <w:rPr>
          <w:sz w:val="20"/>
          <w:szCs w:val="20"/>
          <w:color w:val="auto"/>
        </w:rPr>
      </w:pPr>
    </w:p>
    <w:tbl>
      <w:tblPr>
        <w:tblLayout w:type="fixed"/>
        <w:tblInd w:w="1100" w:type="dxa"/>
        <w:tblCellMar>
          <w:top w:w="0" w:type="dxa"/>
          <w:left w:w="0" w:type="dxa"/>
          <w:bottom w:w="0" w:type="dxa"/>
          <w:right w:w="0" w:type="dxa"/>
        </w:tblCellMar>
      </w:tblPr>
      <w:tr>
        <w:trPr>
          <w:trHeight w:val="185"/>
        </w:trPr>
        <w:tc>
          <w:tcPr>
            <w:tcW w:w="3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For</w:t>
            </w:r>
          </w:p>
        </w:tc>
        <w:tc>
          <w:tcPr>
            <w:tcW w:w="2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Against</w:t>
            </w:r>
          </w:p>
        </w:tc>
        <w:tc>
          <w:tcPr>
            <w:tcW w:w="2800" w:type="dxa"/>
            <w:vAlign w:val="bottom"/>
          </w:tcPr>
          <w:p>
            <w:pPr>
              <w:jc w:val="center"/>
              <w:spacing w:after="0"/>
              <w:rPr>
                <w:sz w:val="20"/>
                <w:szCs w:val="20"/>
                <w:color w:val="auto"/>
              </w:rPr>
            </w:pPr>
            <w:r>
              <w:rPr>
                <w:rFonts w:ascii="Arial" w:cs="Arial" w:eastAsia="Arial" w:hAnsi="Arial"/>
                <w:sz w:val="14"/>
                <w:szCs w:val="14"/>
                <w:b w:val="1"/>
                <w:bCs w:val="1"/>
                <w:color w:val="auto"/>
              </w:rPr>
              <w:t>Abstain</w:t>
            </w:r>
          </w:p>
        </w:tc>
      </w:tr>
      <w:tr>
        <w:trPr>
          <w:trHeight w:val="232"/>
        </w:trPr>
        <w:tc>
          <w:tcPr>
            <w:tcW w:w="2980" w:type="dxa"/>
            <w:vAlign w:val="bottom"/>
            <w:tcBorders>
              <w:top w:val="single" w:sz="8" w:color="auto"/>
            </w:tcBorders>
          </w:tcPr>
          <w:p>
            <w:pPr>
              <w:jc w:val="right"/>
              <w:ind w:right="899"/>
              <w:spacing w:after="0"/>
              <w:rPr>
                <w:sz w:val="20"/>
                <w:szCs w:val="20"/>
                <w:color w:val="auto"/>
              </w:rPr>
            </w:pPr>
            <w:r>
              <w:rPr>
                <w:rFonts w:ascii="Arial" w:cs="Arial" w:eastAsia="Arial" w:hAnsi="Arial"/>
                <w:sz w:val="18"/>
                <w:szCs w:val="18"/>
                <w:color w:val="auto"/>
              </w:rPr>
              <w:t>160,484,957</w:t>
            </w:r>
          </w:p>
        </w:tc>
        <w:tc>
          <w:tcPr>
            <w:tcW w:w="120" w:type="dxa"/>
            <w:vAlign w:val="bottom"/>
          </w:tcPr>
          <w:p>
            <w:pPr>
              <w:spacing w:after="0"/>
              <w:rPr>
                <w:sz w:val="20"/>
                <w:szCs w:val="20"/>
                <w:color w:val="auto"/>
              </w:rPr>
            </w:pPr>
          </w:p>
        </w:tc>
        <w:tc>
          <w:tcPr>
            <w:tcW w:w="2820" w:type="dxa"/>
            <w:vAlign w:val="bottom"/>
            <w:tcBorders>
              <w:top w:val="single" w:sz="8" w:color="auto"/>
            </w:tcBorders>
          </w:tcPr>
          <w:p>
            <w:pPr>
              <w:jc w:val="right"/>
              <w:ind w:right="919"/>
              <w:spacing w:after="0"/>
              <w:rPr>
                <w:sz w:val="20"/>
                <w:szCs w:val="20"/>
                <w:color w:val="auto"/>
              </w:rPr>
            </w:pPr>
            <w:r>
              <w:rPr>
                <w:rFonts w:ascii="Arial" w:cs="Arial" w:eastAsia="Arial" w:hAnsi="Arial"/>
                <w:sz w:val="18"/>
                <w:szCs w:val="18"/>
                <w:color w:val="auto"/>
              </w:rPr>
              <w:t>9,431,353</w:t>
            </w:r>
          </w:p>
        </w:tc>
        <w:tc>
          <w:tcPr>
            <w:tcW w:w="80" w:type="dxa"/>
            <w:vAlign w:val="bottom"/>
          </w:tcPr>
          <w:p>
            <w:pPr>
              <w:spacing w:after="0"/>
              <w:rPr>
                <w:sz w:val="20"/>
                <w:szCs w:val="20"/>
                <w:color w:val="auto"/>
              </w:rPr>
            </w:pPr>
          </w:p>
        </w:tc>
        <w:tc>
          <w:tcPr>
            <w:tcW w:w="2800" w:type="dxa"/>
            <w:vAlign w:val="bottom"/>
            <w:tcBorders>
              <w:top w:val="single" w:sz="8" w:color="auto"/>
            </w:tcBorders>
          </w:tcPr>
          <w:p>
            <w:pPr>
              <w:jc w:val="right"/>
              <w:ind w:right="999"/>
              <w:spacing w:after="0"/>
              <w:rPr>
                <w:sz w:val="20"/>
                <w:szCs w:val="20"/>
                <w:color w:val="auto"/>
              </w:rPr>
            </w:pPr>
            <w:r>
              <w:rPr>
                <w:rFonts w:ascii="Arial" w:cs="Arial" w:eastAsia="Arial" w:hAnsi="Arial"/>
                <w:sz w:val="18"/>
                <w:szCs w:val="18"/>
                <w:color w:val="auto"/>
              </w:rPr>
              <w:t>325,134</w:t>
            </w:r>
          </w:p>
        </w:tc>
      </w:tr>
    </w:tbl>
    <w:p>
      <w:pPr>
        <w:spacing w:after="0" w:line="26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Proposal 3: The Adjournment Proposal</w:t>
      </w:r>
    </w:p>
    <w:p>
      <w:pPr>
        <w:spacing w:after="0" w:line="10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Because no supplement or amendment to the proxy statement was necessary to be provided to ChampionX stockholders and there were sufficient votes at the time of the Special Meeting to approve the Merger Proposal, adjournment of the Special Meeting was not necessary or appropriate.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Completion of the Merger remains subject to satisfaction or waiver of the closing conditions set forth in the Merger Agreement.</w:t>
      </w:r>
    </w:p>
    <w:p>
      <w:pPr>
        <w:sectPr>
          <w:pgSz w:w="11900" w:h="16838" w:orient="portrait"/>
          <w:cols w:equalWidth="0" w:num="1">
            <w:col w:w="10980"/>
          </w:cols>
          <w:pgMar w:left="440" w:top="269"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w:t>
      </w:r>
    </w:p>
    <w:p>
      <w:pPr>
        <w:spacing w:after="0" w:line="10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This Current Report on Form 8-K (the “</w:t>
      </w:r>
      <w:r>
        <w:rPr>
          <w:rFonts w:ascii="Arial" w:cs="Arial" w:eastAsia="Arial" w:hAnsi="Arial"/>
          <w:sz w:val="18"/>
          <w:szCs w:val="18"/>
          <w:b w:val="1"/>
          <w:bCs w:val="1"/>
          <w:i w:val="1"/>
          <w:iCs w:val="1"/>
          <w:color w:val="auto"/>
        </w:rPr>
        <w:t>Form 8-K</w:t>
      </w:r>
      <w:r>
        <w:rPr>
          <w:rFonts w:ascii="Arial" w:cs="Arial" w:eastAsia="Arial" w:hAnsi="Arial"/>
          <w:sz w:val="18"/>
          <w:szCs w:val="18"/>
          <w:color w:val="auto"/>
        </w:rPr>
        <w:t>”) contains forward-looking statements within the meaning of the Private Securities Litigation Reform Act of 1995, Section 27A of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and Section 21E of the Securities Exchange Act of 1934, as amended. Such forward-looking statements include statements relating to the proposed transaction between SLB and ChampionX, including statements regarding the benefits of the transaction and the anticipated timing of the transaction, and information regarding the businesses of SLB and ChampionX, including expectations regarding outlook and all underlying assumptions, SLB’s and ChampionX’s objectives, plans and strategies, information relating to operating trends in markets where SLB and ChampionX operate, statements that contain projections of results of operations or of financial condition and all other statements other than statements of historical fact that address activities, events or developments that SLB or ChampionX intends, expects, projects, believes or anticipates will or may occur in the future. Such statements are based on management’s beliefs and assumptions made based on information currently available to management. All statements in this Form 8-K, other than statements of historical fact, are forward-looking statements that may be identified by the use of the words “outlook,” “guidance,” “expects,” “believes,” “anticipates,” “should,” “estimates,” “intends,” “plans,” “seeks,” “targets,” “may,” “can,” “believe,” “predict,” “potential,” “projected,” “projections,” “precursor,” “forecast,” “ambition,” “goal,” “scheduled,” “think,” “could,” “would,” “will,” “see,” “likely,” and other similar expressions or variations, but not all forward-looking statements include such words. These forward-looking statements involve known and unknown risks and uncertainties, and which may cause SLB’s or ChampionX’s actual results and performance to be materially different from those expressed or implied in the forward-looking statements. Factors and risks that may impact future results and performance include, but are not limited to those factors and risks described in Part I, “Item 1. Business”, “Item 1A. Risk Factors”, and “Item 7. Management’s Discussion and Analysis of Financial Condition and Results of Operations” in SLB’s Annual Report on Form 10-K for the year ended December 31, 2023, as filed with the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on January 24, 2024 and Part 1, Item 1A, “Risk Factors” in ChampionX’s Annual Report on Form 10-K for the year ended December 31, 2023 filed with the SEC on February 6, 2024, and each of their respective, subsequent Quarterly Reports on Form 10-Q and Current Reports on Form 8-K. These include, but are not limited to, and in each case as a possible result of the proposed transaction on each of SLB and ChampionX: the ultimate outcome of the proposed transaction between SLB and ChampionX, including the possibility that ChampionX stockholders will not adopt the merger agreement in respect of the proposed transaction; the effect of the announcement of the proposed transaction;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(including the adoption of the merger agreement in respect of the proposed transaction by ChampionX stockholders); other risks related to the completion of the proposed transaction and actions related thereto; the ability of SLB and ChampionX to integrate the business successfully and to achieve anticipated synergies and value creation from the proposed transaction; changes in demand for SLB’s or ChampionX’s products and services; global market, political and economic conditions, including in the countries in which SLB and ChampionX operate; the ability to secure government regulatory approvals on the terms expected, at all or in a timely manner; the extent of growth of the oilfield services market generally, including for chemical solutions in production and midstream operations; the global macro-economic environment, including headwinds caused by inflation, rising interest rates, unfavorable currency exchange rates, and potential recessionary or depressionary conditions; the impact of shifts in prices or margins of the products that SLB or ChampionX sells or services that SLB or ChampionX provides, including due to a shift towards lower margin products or services; cyber-attacks, information security and data privacy; the impact of public health crises, such as pandemics (including COVID-19) and epidemics and any related company or government policies and actions to protect the health and safety of individuals or government policies or actions to maintain the functioning of national or global economies and markets; trends in crude oil and natural gas prices, including trends in chemical solutions across the oil and natural gas industries, that may affect the drilling and production activity, profitability and financial stability of SLB’s and ChampionX’s customers and therefore the demand for, and profitability of, their products and services; litigation and regulatory proceedings, including any proceedings that may be instituted against SLB or ChampionX related to the proposed transaction; failure to effectively and timely address energy transitions that could adversely affect the businesses of SLB or ChampionX, results of operations, and cash flows of SLB or ChampionX; and disruptions of SLB’s or ChampionX’s information technology systems. These risks, as well as other risks related to the proposed transaction, are included in the Form S-4 and proxy statement/prospectus that was filed with the SEC in connection with the proposed transaction and declared effective by the SEC on</w:t>
      </w:r>
    </w:p>
    <w:p>
      <w:pPr>
        <w:spacing w:after="0" w:line="1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May 15, 2024. While the list of factors presented here is, and the list of factors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SLB’s and ChampionX’s respective periodic reports and other filings with the SEC, including the risk factors identified in SLB’s and ChampionX’s Annual Reports on Form 10-K, respectively, and SLB’s and ChampionX’s subsequent Quarterly Reports on Form 10-Q. The forward-looking statements included in this Form 8-K are made only as of the date hereof. Neither SLB nor ChampionX undertakes any obligation to update any forward-looking statements to reflect subsequent events or circumstances, except as required by law.</w:t>
      </w:r>
    </w:p>
    <w:p>
      <w:pPr>
        <w:sectPr>
          <w:pgSz w:w="11900" w:h="16838" w:orient="portrait"/>
          <w:cols w:equalWidth="0" w:num="1">
            <w:col w:w="11000"/>
          </w:cols>
          <w:pgMar w:left="440" w:top="269" w:right="459" w:bottom="1440" w:gutter="0" w:footer="0" w:header="0"/>
        </w:sectPr>
      </w:pPr>
    </w:p>
    <w:bookmarkStart w:id="3" w:name="page4"/>
    <w:bookmarkEnd w:id="3"/>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1"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ChampionX Corporation</w:t>
      </w:r>
    </w:p>
    <w:p>
      <w:pPr>
        <w:spacing w:after="0" w:line="212" w:lineRule="exact"/>
        <w:rPr>
          <w:sz w:val="20"/>
          <w:szCs w:val="20"/>
          <w:color w:val="auto"/>
        </w:rPr>
      </w:pPr>
    </w:p>
    <w:p>
      <w:pPr>
        <w:spacing w:after="0"/>
        <w:tabs>
          <w:tab w:leader="none" w:pos="5500" w:val="left"/>
          <w:tab w:leader="none" w:pos="6140" w:val="left"/>
        </w:tabs>
        <w:rPr>
          <w:sz w:val="20"/>
          <w:szCs w:val="20"/>
          <w:color w:val="auto"/>
        </w:rPr>
      </w:pPr>
      <w:r>
        <w:rPr>
          <w:rFonts w:ascii="Arial" w:cs="Arial" w:eastAsia="Arial" w:hAnsi="Arial"/>
          <w:sz w:val="18"/>
          <w:szCs w:val="18"/>
          <w:color w:val="auto"/>
        </w:rPr>
        <w:t>Dated: June 18,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Julia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8890</wp:posOffset>
            </wp:positionV>
            <wp:extent cx="30772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1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Name: Julia Wright</w:t>
      </w:r>
    </w:p>
    <w:p>
      <w:pPr>
        <w:ind w:left="5520"/>
        <w:spacing w:after="0"/>
        <w:tabs>
          <w:tab w:leader="none" w:pos="6140" w:val="left"/>
        </w:tabs>
        <w:rPr>
          <w:sz w:val="20"/>
          <w:szCs w:val="20"/>
          <w:color w:val="auto"/>
        </w:rPr>
      </w:pPr>
      <w:r>
        <w:rPr>
          <w:rFonts w:ascii="Arial" w:cs="Arial" w:eastAsia="Arial" w:hAnsi="Arial"/>
          <w:sz w:val="18"/>
          <w:szCs w:val="18"/>
          <w:color w:val="auto"/>
        </w:rPr>
        <w:t>Title:</w:t>
        <w:tab/>
        <w:t>Senior Vice President, General Counsel and Secretary</w:t>
      </w:r>
    </w:p>
    <w:p>
      <w:pPr>
        <w:sectPr>
          <w:pgSz w:w="11900" w:h="16838" w:orient="portrait"/>
          <w:cols w:equalWidth="0" w:num="1">
            <w:col w:w="10860"/>
          </w:cols>
          <w:pgMar w:left="440" w:top="269" w:right="59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Disclaimer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04" w:lineRule="exact"/>
        <w:rPr>
          <w:sz w:val="20"/>
          <w:szCs w:val="20"/>
          <w:color w:val="auto"/>
        </w:rPr>
      </w:pPr>
    </w:p>
    <w:p>
      <w:pPr>
        <w:ind w:right="460"/>
        <w:spacing w:after="0" w:line="301" w:lineRule="auto"/>
        <w:rPr>
          <w:sz w:val="20"/>
          <w:szCs w:val="20"/>
          <w:color w:val="auto"/>
        </w:rPr>
      </w:pPr>
      <w:r>
        <w:rPr>
          <w:rFonts w:ascii="Arial" w:cs="Arial" w:eastAsia="Arial" w:hAnsi="Arial"/>
          <w:sz w:val="17"/>
          <w:szCs w:val="17"/>
          <w:color w:val="auto"/>
        </w:rPr>
        <w:t>This communication contains forward-looking statements within the meaning of the Private Securities Litigation Reform Act of 1995, Section 27A of the Securities Act of 1933, as amended, and Section 21E of the Securities Exchange Act of 1934, as amended.</w:t>
      </w:r>
    </w:p>
    <w:p>
      <w:pPr>
        <w:spacing w:after="0" w:line="13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Such forward-looking statements include statements relating to the proposed transaction between SLB and ChampionX, including statements regarding the benefits of the transaction and the anticipated timing of the transaction, and information regarding the businesses of SLB and ChampionX, including expectations regarding outlook and all underlying assumptions, SLB’s and ChampionX’s objectives, plans and strategies, information relating to operating trends in markets where SLB and ChampionX operate, statements that contain projections of results of operations or of financial condition, and all other statements other than statements of historical fact that address activities, events or developments that SLB or ChampionX intends, expects, projects, believes or anticipates will or may occur in the future. Such statements are based on management’s beliefs and assumptions made based on information currently available to management. All statements in this communication, other than statements of historical fact, are forward-looking statements that may be identified by the use of the words “outlook,” “guidance,” “expects,” “believes,” “anticipates,” “should,” “estimates,” “intends,” “plans,” “seeks,” “targets,” “may,” “can,” “believe,” “predict,” “potential,” “projected,” “projections,” “precursor,” “forecast,” “ambition,” “goal,” “scheduled,” “think,” “could,” “would,” “will,” “see,” “likely,” and other similar expressions or variations, but not all forward-looking statements include such words. These forward-looking statements involve known and unknown risks and uncertainties, and which may cause SLB’s or ChampionX’s actual results and performance to be materially different from those expressed or implied in the forward-looking statements. Factors and risks that may impact future results and performance include, but are not limited to, those factors and risks described in Part I, “Item 1. Business”, “Item 1A. Risk Factors”, and “Item 7. Management’s Discussion and Analysis of Financial Condition and Results of Operations” in SLB’s Annual Report on Form 10-K for the year ended December 31, 2023, as filed with the SEC on January 24, 2024, and Part 1, “Item 1A. Risk Factors” in ChampionX’s Annual Report on Form 10-K for the year ended December 31, 2023 filed with the SEC on February 6, 2024, and each of their respective, subsequent Quarterly Reports on Form 10-Q and Current Reports on Form 8-K.</w:t>
      </w:r>
    </w:p>
    <w:p>
      <w:pPr>
        <w:sectPr>
          <w:pgSz w:w="11900" w:h="16838" w:orient="portrait"/>
          <w:cols w:equalWidth="0" w:num="1">
            <w:col w:w="10900"/>
          </w:cols>
          <w:pgMar w:left="440" w:top="269" w:right="559" w:bottom="1440" w:gutter="0" w:footer="0" w:header="0"/>
        </w:sectPr>
      </w:pPr>
    </w:p>
    <w:bookmarkStart w:id="5" w:name="page6"/>
    <w:bookmarkEnd w:id="5"/>
    <w:p>
      <w:pPr>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These include, but are not limited to, and in each case as a possible result of the proposed transaction on each of SLB and ChampionX: the ultimate outcome of the proposed transaction between SLB and ChampionX, including the possibility that ChampionX stockholders will not adopt the merger agreement in respect of the proposed transaction; the effect of the announcement of the proposed transaction;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(including the adoption of the merger agreement in respect of the proposed transaction by ChampionX stockholders); other risks related to the completion of the proposed transaction and actions related thereto; the ability of SLB and ChampionX to integrate the business successfully and to achieve anticipated synergies and value creation from the proposed transaction; changes in demand for SLB’s or ChampionX’s products and services; global market, political, and economic conditions, including in the countries in which SLB and ChampionX operate; the ability to secure government regulatory approvals on the terms expected, at all or in a timely manner; the extent of growth of the oilfield services market generally, including for chemical solutions in production and midstream operations; the global macro-economic environment, including headwinds caused by inflation, rising interest rates, unfavorable currency exchange rates, and potential recessionary or depressionary conditions; the impact of shifts in prices or margins of the products that SLB or ChampionX sells or services that SLB or ChampionX provides, including due to a shift towards lower margin products or services; cyber-attacks, information security and data privacy; the impact of public health crises, such as pandemics (including COVID-19) and epidemics and any related company or government policies and actions to protect the health and safety of individuals or government policies or actions to maintain the functioning of national or global economies and markets; trends in crude oil and natural gas prices, including trends in chemical solutions across the oil and natural gas industries, that may affect the drilling and production activity, profitability and financial stability of SLB’s and ChampionX’s customers and therefore the demand for, and profitability of, their products and services; litigation and regulatory proceedings, including any proceedings that may be instituted against SLB or ChampionX related to the proposed transaction; failure to effectively and timely address energy transitions that could adversely affect the businesses of SLB or ChampionX, results of operations, and cash flows of SLB or ChampionX; and disruptions of SLB’s or ChampionX’s information technology systems.</w:t>
      </w:r>
    </w:p>
    <w:p>
      <w:pPr>
        <w:sectPr>
          <w:pgSz w:w="11900" w:h="16838" w:orient="portrait"/>
          <w:cols w:equalWidth="0" w:num="1">
            <w:col w:w="11000"/>
          </w:cols>
          <w:pgMar w:left="440" w:top="269" w:right="459" w:bottom="1440" w:gutter="0" w:footer="0" w:header="0"/>
        </w:sectPr>
      </w:pPr>
    </w:p>
    <w:bookmarkStart w:id="6" w:name="page7"/>
    <w:bookmarkEnd w:id="6"/>
    <w:p>
      <w:pPr>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These risks, as well as other risks related to the proposed transaction, are included in the Form S-4 and proxy statement/prospectus (each, as defined below) that has been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SLB’s and ChampionX’s respective periodic reports and other filings with the SEC, including the risk factors identified in SLB’s and ChampionX’s Annual Reports on Form 10-K, respectively, and SLB’s and ChampionX’s subsequent Quarterly Reports on Form 10-Q. The forward-looking statements included in this communication are made only as of the date hereof. Neither SLB nor ChampionX undertakes any obligation to update any forward-looking statements to reflect subsequent events or circumstances, except as required by law.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about the Transaction with ChampionX and Where to Find It</w:t>
      </w:r>
    </w:p>
    <w:p>
      <w:pPr>
        <w:spacing w:after="0" w:line="212"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In connection with the proposed transaction, SLB filed with the Securities and Exchange Commission (the “SEC”) a registration statement on Form S-4 on April 29, 2024 (as amended, the “Form S-4”) that includes a proxy statement of ChampionX and that also constitutes a prospectus of SLB with respect to the shares of SLB to be issued in the proposed transaction (the “proxy statement/prospectus”). The Form S-4 was declared</w:t>
      </w:r>
    </w:p>
    <w:p>
      <w:pPr>
        <w:sectPr>
          <w:pgSz w:w="11900" w:h="16838" w:orient="portrait"/>
          <w:cols w:equalWidth="0" w:num="1">
            <w:col w:w="10980"/>
          </w:cols>
          <w:pgMar w:left="440" w:top="269" w:right="479" w:bottom="1440" w:gutter="0" w:footer="0" w:header="0"/>
        </w:sectPr>
      </w:pPr>
    </w:p>
    <w:bookmarkStart w:id="7" w:name="page8"/>
    <w:bookmarkEnd w:id="7"/>
    <w:p>
      <w:pPr>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effective by the SEC on May 15, 2024. SLB and ChampionX filed the definitive proxy statement/prospectus with the SEC on May 15, 2024 (https://www.sec.gov/Archives/edgar/data/87347/000119312524139403/d818663d424b3.htm), and it was first mailed to ChampionX stockholders on or about May 15, 2024. Each of SLB and ChampionX may also file other relevant documents with the SEC regarding the proposed transaction. This document is not a substitute for the Form S-4 or proxy statement/prospectus or any other document that SLB or ChampionX may file with the SEC. INVESTORS AND SECURITY HOLDERS ARE URGED TO READ THE REGISTRATION STATEMENT,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Form S-4 and the proxy statement/prospectus (if and when available) and other documents containing important information about SLB, ChampionX and the proposed transaction, through the website maintained by the SEC at http://www.sec.gov. Copies of the documents filed with, or furnished to, the SEC by SLB will be available free of charge on SLB’s website at https://investorcenter.slb.com. Copies of the documents filed with, or furnished to, the SEC by ChampionX will be available free of charge on ChampionX’s website at https://investors.championx.com. The information included on, or accessible through, SLB’s or ChampionX’s website is not incorporated by reference into this communication.</w:t>
      </w:r>
    </w:p>
    <w:sectPr>
      <w:pgSz w:w="11900" w:h="16838" w:orient="portrait"/>
      <w:cols w:equalWidth="0" w:num="1">
        <w:col w:w="11000"/>
      </w:cols>
      <w:pgMar w:left="440" w:top="26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2024-06-20T05:25:35Z</dcterms:created>
  <dcterms:modified xsi:type="dcterms:W3CDTF">2024-06-20T05:25:35Z</dcterms:modified>
</cp:coreProperties>
</file>