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44"/>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5599 San Felipe, Houston, Texas , U.S.A. 77056</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4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68" w:right="439" w:bottom="1440" w:gutter="0" w:footer="0" w:header="0"/>
          <w:type w:val="continuous"/>
        </w:sectPr>
      </w:pP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On June 2, 2021, Olivier Le Peuch, Chief Executive Officer of Schlumberger, presented at the Bernstein Strategic Decisions Conference via virtual webcast, where he discussed, among other things, Schlumberger’s business strategy and outlook. Slides in connection with the conference are available on the Schlumberger Investor Relations website at https://investorcenter.slb.com/investor-presentations.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The presentation referred to above contains “forward-looking statements” within the meaning of the federal securities laws — that is, any statements that are not historical facts. Such statements often contain words such as “expect,” “may,” “can,” “believe,” “predict,” “plan,” “potential,” “projected,” “forecast,” “estimate,” “intend,” “anticipate,” “ambition,” “goal,” “think,” “should,” “could,” “would,” “will,” “see,” “likely,” and other similar words. Forward-looking statements address matters that are, to varying degrees, uncertain, such as statements about Schlumberger’s financial and performance targets and other forecasts or expectations regarding, or dependent on, its business outlook; growth for Schlumberger as a whole and for each of its divisions (and for specified business lines, geographic areas or technology domains within each division); oil and natural gas demand and production growth; oil and natural gas prices; pricing; Schlumberger’s response to, and preparedness for, the COVID-19 pandemic and other widespread health emergencies; improvements in operating procedures and technology; capital expenditures by Schlumberger and the oil and gas industry; the business strategies of Schlumberger, including digital and “fit for basin,” as well as the strategies of Schlumberger’s customers; Schlumberger’s restructuring efforts and charges recorded as a result of such efforts; access to raw materials; Schlumberger’s Asset Performance Solutions projects, joint ventures and other alliances; future global economic and geopolitical conditions; future liquidity; and future results of operations, such as margin levels. These statements are subject to risks and uncertainties, including, but not limited to, changing global economic conditions; changes in exploration and production spending by Schlumberger’s customers and changes in the level of oil and natural gas exploration and development; the results of operations and financial condition of Schlumberger’s customers and suppliers, particularly during extended periods of low prices for crude oil and natural gas; Schlumberger’s inability to achieve its financial and performance targets and other forecasts and expectations; Schlumberger’s inability to sufficiently monetize assets; the extent of future charges; general economic, geopolitical and business conditions in key regions of the world; foreign currency risk; pricing pressure; weather and seasonal factors; unfavorable effects of health pandemics; availability and cost of raw materials; operational modifications, delays or cancellations; challenges in Schlumberger’s supply chain; production declines; Schlumberger’s inability to recognize efficiencies and other intended benefits from Schlumberger’s business strategies and initiatives, such as digital or new energy, as well as its restructuring and structural cost reduction plans;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competitiveness of alternative energy sources or product substitutes; and other risks and uncertainties detailed in Schlumberger’s most recent Forms 10-K, 10-Q, and 8-K filed with or furnished to the SEC. If one or more of these or other risks or uncertainties materialize (or the consequences of any such development changes), or should Schlumberger’s underlying assumptions prove incorrect, actual outcomes may vary materially from those reflected in the forward-looking statements. The forward-looking statements speak only as of the date of the presentation, and Schlumberger disclaims any intention or obligation to update publicly or revise such statements, whether as a result of new information, future events or otherwise.</w:t>
      </w:r>
    </w:p>
    <w:p>
      <w:pPr>
        <w:sectPr>
          <w:pgSz w:w="11900" w:h="16838" w:orient="portrait"/>
          <w:cols w:equalWidth="0" w:num="1">
            <w:col w:w="11000"/>
          </w:cols>
          <w:pgMar w:left="440" w:top="297" w:right="4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 2021</w:t>
      </w:r>
    </w:p>
    <w:sectPr>
      <w:pgSz w:w="11900" w:h="16838" w:orient="portrait"/>
      <w:cols w:equalWidth="0" w:num="1">
        <w:col w:w="10780"/>
      </w:cols>
      <w:pgMar w:left="440" w:top="29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2021-06-02T08:07:57Z</dcterms:created>
  <dcterms:modified xsi:type="dcterms:W3CDTF">2021-06-02T08:07:57Z</dcterms:modified>
</cp:coreProperties>
</file>