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183515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168910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39"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2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172085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4"/>
          <w:szCs w:val="24"/>
          <w:color w:val="auto"/>
        </w:rPr>
      </w:pPr>
    </w:p>
    <w:p>
      <w:pPr>
        <w:ind w:left="4" w:right="1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which registered</w:t>
            </w:r>
          </w:p>
        </w:tc>
      </w:tr>
      <w:tr>
        <w:trPr>
          <w:trHeight w:val="240"/>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85" w:lineRule="exact"/>
        <w:rPr>
          <w:sz w:val="24"/>
          <w:szCs w:val="24"/>
          <w:color w:val="auto"/>
        </w:rPr>
      </w:pPr>
    </w:p>
    <w:p>
      <w:pPr>
        <w:jc w:val="both"/>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2"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Third-Quarter 2022 Earnings Release furnished as Exhibit 99 hereto, which is incorporated by reference into this Item 2.02, was posted on the Schlumberger internet website (</w:t>
      </w:r>
      <w:r>
        <w:rPr>
          <w:rFonts w:ascii="Arial" w:cs="Arial" w:eastAsia="Arial" w:hAnsi="Arial"/>
          <w:sz w:val="18"/>
          <w:szCs w:val="18"/>
          <w:u w:val="single" w:color="auto"/>
          <w:color w:val="auto"/>
        </w:rPr>
        <w:t>https://investorcenter.slb.com/financial-information/quarterly-results</w:t>
      </w:r>
      <w:r>
        <w:rPr>
          <w:rFonts w:ascii="Arial" w:cs="Arial" w:eastAsia="Arial" w:hAnsi="Arial"/>
          <w:sz w:val="18"/>
          <w:szCs w:val="18"/>
          <w:color w:val="auto"/>
        </w:rPr>
        <w:t>) on October 21, 2022.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04" w:lineRule="exact"/>
        <w:rPr>
          <w:sz w:val="20"/>
          <w:szCs w:val="20"/>
          <w:color w:val="auto"/>
        </w:rPr>
      </w:pPr>
    </w:p>
    <w:p>
      <w:pPr>
        <w:ind w:left="4" w:right="100" w:firstLine="440"/>
        <w:spacing w:after="0" w:line="247" w:lineRule="auto"/>
        <w:rPr>
          <w:sz w:val="20"/>
          <w:szCs w:val="20"/>
          <w:color w:val="auto"/>
        </w:rPr>
      </w:pPr>
      <w:r>
        <w:rPr>
          <w:rFonts w:ascii="Arial" w:cs="Arial" w:eastAsia="Arial" w:hAnsi="Arial"/>
          <w:sz w:val="18"/>
          <w:szCs w:val="18"/>
          <w:color w:val="auto"/>
        </w:rPr>
        <w:t>On October 21, 2022,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Third-Quarter 2022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6"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2022</w:t>
      </w:r>
    </w:p>
    <w:p>
      <w:pPr>
        <w:sectPr>
          <w:pgSz w:w="11900" w:h="16838" w:orient="portrait"/>
          <w:cols w:equalWidth="0" w:num="1">
            <w:col w:w="10840"/>
          </w:cols>
          <w:pgMar w:left="440" w:top="296"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17145</wp:posOffset>
            </wp:positionV>
            <wp:extent cx="1628775"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877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Schlumberger Announces Third-Quarter 2022 Results</w:t>
      </w:r>
    </w:p>
    <w:p>
      <w:pPr>
        <w:spacing w:after="0" w:line="117"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$7.5 billion increased 10% sequentially and 28%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of $5.9 billion increased 13% sequentially and 26%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revenue of $1.5 billion was flat sequentially and increased 37%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$0.63 decreased 6% sequentially and increased 62%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of $0.63 increased 26% sequentially and 75%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$1.6 billion and free cash flow was $1.1 billion</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$0.175 per share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October 21, 2022—</w:t>
      </w:r>
      <w:r>
        <w:rPr>
          <w:rFonts w:ascii="Arial" w:cs="Arial" w:eastAsia="Arial" w:hAnsi="Arial"/>
          <w:sz w:val="18"/>
          <w:szCs w:val="18"/>
          <w:color w:val="auto"/>
        </w:rPr>
        <w:t>Schlumberger Limited (NYSE: SLB) today announced results for the third-quarter 2022.</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Third-Quarter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r>
      <w:tr>
        <w:trPr>
          <w:trHeight w:val="146"/>
        </w:trPr>
        <w:tc>
          <w:tcPr>
            <w:tcW w:w="5900" w:type="dxa"/>
            <w:vAlign w:val="bottom"/>
          </w:tcPr>
          <w:p>
            <w:pPr>
              <w:spacing w:after="0"/>
              <w:rPr>
                <w:sz w:val="12"/>
                <w:szCs w:val="12"/>
                <w:color w:val="auto"/>
              </w:rPr>
            </w:pPr>
          </w:p>
        </w:tc>
        <w:tc>
          <w:tcPr>
            <w:tcW w:w="8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Sept. 30,</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7,477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6,773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5,847</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1,134</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1,152</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691</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 GAAP basis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907</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550</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w:t>
            </w:r>
          </w:p>
        </w:tc>
      </w:tr>
      <w:tr>
        <w:trPr>
          <w:trHeight w:val="247"/>
        </w:trPr>
        <w:tc>
          <w:tcPr>
            <w:tcW w:w="5900" w:type="dxa"/>
            <w:vAlign w:val="bottom"/>
          </w:tcPr>
          <w:p>
            <w:pPr>
              <w:spacing w:after="0"/>
              <w:rPr>
                <w:sz w:val="20"/>
                <w:szCs w:val="20"/>
                <w:color w:val="auto"/>
              </w:rPr>
            </w:pPr>
            <w:r>
              <w:rPr>
                <w:rFonts w:ascii="Arial" w:cs="Arial" w:eastAsia="Arial" w:hAnsi="Arial"/>
                <w:sz w:val="18"/>
                <w:szCs w:val="18"/>
                <w:color w:val="auto"/>
              </w:rPr>
              <w:t>Diluted EPS - GAAP basis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0.39</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64"/>
        </w:trPr>
        <w:tc>
          <w:tcPr>
            <w:tcW w:w="5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1,756</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1,530</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1,296</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Adjusted EBITDA margin*</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22.6%</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22.2%</w:t>
            </w: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91 bps</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133 bps</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1,400</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1,159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908</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21%</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17.1%</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15.5%</w:t>
            </w: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161 bps</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320 bps</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excluding charges &amp; credits*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907</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514</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27%</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w:t>
            </w:r>
          </w:p>
        </w:tc>
      </w:tr>
      <w:tr>
        <w:trPr>
          <w:trHeight w:val="247"/>
        </w:trPr>
        <w:tc>
          <w:tcPr>
            <w:tcW w:w="590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0.36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64"/>
        </w:trPr>
        <w:tc>
          <w:tcPr>
            <w:tcW w:w="5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 by Geography</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5,881</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5,188</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4,675</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13%</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1,543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1,537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1,129</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43</w:t>
            </w: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7,477</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6,773</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5,847</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300" w:hanging="424"/>
        <w:spacing w:after="0" w:line="271"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“Supplemental Information” for details.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900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955</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812</w:t>
            </w:r>
          </w:p>
        </w:tc>
        <w:tc>
          <w:tcPr>
            <w:tcW w:w="120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1,456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1,333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1,192</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3,084</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2,686</w:t>
            </w:r>
          </w:p>
        </w:tc>
        <w:tc>
          <w:tcPr>
            <w:tcW w:w="10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2,273</w:t>
            </w:r>
          </w:p>
        </w:tc>
        <w:tc>
          <w:tcPr>
            <w:tcW w:w="120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15%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2,150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1,893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1,674</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14%</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(104)</w:t>
            </w:r>
          </w:p>
        </w:tc>
        <w:tc>
          <w:tcPr>
            <w:tcW w:w="120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7,477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6,773</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5,847</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305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284</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190</w:t>
            </w:r>
          </w:p>
        </w:tc>
        <w:tc>
          <w:tcPr>
            <w:tcW w:w="120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25%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664</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345</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41%</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171</w:t>
            </w:r>
          </w:p>
        </w:tc>
        <w:tc>
          <w:tcPr>
            <w:tcW w:w="10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166</w:t>
            </w:r>
          </w:p>
        </w:tc>
        <w:tc>
          <w:tcPr>
            <w:tcW w:w="120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31%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(77)</w:t>
            </w:r>
          </w:p>
        </w:tc>
        <w:tc>
          <w:tcPr>
            <w:tcW w:w="120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1,400</w:t>
            </w:r>
          </w:p>
        </w:tc>
        <w:tc>
          <w:tcPr>
            <w:tcW w:w="40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ind w:left="20"/>
              <w:spacing w:after="0"/>
              <w:rPr>
                <w:sz w:val="20"/>
                <w:szCs w:val="20"/>
                <w:color w:val="auto"/>
              </w:rPr>
            </w:pPr>
            <w:r>
              <w:rPr>
                <w:rFonts w:ascii="Arial" w:cs="Arial" w:eastAsia="Arial" w:hAnsi="Arial"/>
                <w:sz w:val="18"/>
                <w:szCs w:val="18"/>
                <w:color w:val="auto"/>
                <w:w w:val="93"/>
              </w:rPr>
              <w:t>1,159</w:t>
            </w:r>
          </w:p>
        </w:tc>
        <w:tc>
          <w:tcPr>
            <w:tcW w:w="4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908</w:t>
            </w:r>
          </w:p>
        </w:tc>
        <w:tc>
          <w:tcPr>
            <w:tcW w:w="400" w:type="dxa"/>
            <w:vAlign w:val="bottom"/>
            <w:vMerge w:val="continue"/>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33.9%</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39.7%</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35.0%</w:t>
            </w:r>
          </w:p>
        </w:tc>
        <w:tc>
          <w:tcPr>
            <w:tcW w:w="120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-586 bps</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-119 bps</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16.7%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16.0%</w:t>
            </w:r>
          </w:p>
        </w:tc>
        <w:tc>
          <w:tcPr>
            <w:tcW w:w="120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209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 bps</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17.5%</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15.2%</w:t>
            </w:r>
          </w:p>
        </w:tc>
        <w:tc>
          <w:tcPr>
            <w:tcW w:w="120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403 bps</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635 bps</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9.9%</w:t>
            </w:r>
          </w:p>
        </w:tc>
        <w:tc>
          <w:tcPr>
            <w:tcW w:w="120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142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 bps</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120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18.7%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15.5%</w:t>
            </w:r>
          </w:p>
        </w:tc>
        <w:tc>
          <w:tcPr>
            <w:tcW w:w="120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161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320 bps</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Schlumberger CEO Olivier Le Peuch commented, “The second half of the year is off to a great start with strong third-quarter results that reflect the acceleration of international momentum and solid execution across our Divisions and areas. Sequentially, we delivered another quarter of double-digit revenue growth and margin expansion, as the pace of growth in our international business stepped up significantly, complementing already robust levels of activity in North America.</w:t>
      </w:r>
    </w:p>
    <w:p>
      <w:pPr>
        <w:spacing w:after="0" w:line="17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“On a companywide basis, sequential revenue grew 10%, by more than $700 million; EPS—excluding charges and credits—increased 26%; pretax segment operating margin expanded 161 basis points (bps) to reach 18.7%; and free cash flow was $1.1 billion. Both EPS— excluding charges and credits—and pretax segment operating margin represent their highest levels since 2015, as we continue to execute on our returns-focused strategy with much success.</w:t>
      </w:r>
    </w:p>
    <w:p>
      <w:pPr>
        <w:spacing w:after="0" w:line="17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“Year-over-year comparisons were exceptional with revenue growing by 28%; EPS—excluding charges and credits—increasing 75%; and pretax segment operating margin expanding 320 bps.”</w:t>
      </w:r>
    </w:p>
    <w:p>
      <w:pPr>
        <w:spacing w:after="0" w:line="15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Revenue growth was led by Well Construction and Production Systems as global activity strengthened—particularly in the offshore and international markets. Schlumberger’s leading position in these markets continues to propel strong and profitable growth in the Core. The quarter was also supported by continued backlog conversion, strong technology adoption, and the growing effects of pricing improvements. Reservoir Performance also grew, while Digital &amp; Integration declined as growth in digital solutions was more than offset by the non-repeat of exploration data transfer fees recorded in the previous quarter.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International Torque Ramps Up as Revenue Exceeds Third-Quarter 2019 Level</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Le Peuch said, “Third-quarter revenue was driven by International, which posted 13% growth sequentially and 26% year on year. International revenue also exceeded third-quarter 2019 levels, on a rig count that is still approximately 25% lower than in 2019. This comparison highlights the significant gains we have made in strengthening our market participation and our continued growth potential as rigs mobilize internationally in the quarters to come.”</w:t>
      </w:r>
    </w:p>
    <w:p>
      <w:pPr>
        <w:spacing w:after="0" w:line="17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Sequentially, growth was prevalent across all international areas led by Europe/CIS/Africa and Latin America, which increased 21% and 14%, respectively. This was driven by increased activity and higher pricing in Well Construction, in addition to higher Production Systems sales. Middle East &amp; Asia revenue improved 8% sequentially due to increased multidivisional activity across Asia and higher Reservoir Performance revenue in the Middle East.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Outperforming in our Core—Strong Growth in Well Construction and Production Systems</w:t>
      </w:r>
    </w:p>
    <w:p>
      <w:pPr>
        <w:spacing w:after="0" w:line="104"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Le Peuch said, “Our Schlumberger Core continues to perform extremely well as we continue to leverage our global breadth, leading technology portfolio, and pricing improvements to drive top- and bottom-line growth momentum.”</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Revenue growth by Division was led by Well Construction with revenue increasing 15% sequentially, outperforming global rig count growth due to strong activity and pricing improvements in the Europe/CIS/Africa and Latin America areas. Similarly, Production Systems revenue grew 14% sequentially on higher product deliveries and backlog conversion, mostly in international offshore basins. Reservoir Performance revenue grew 9% due to higher intervention and stimulation activity, both on land and offshore, particularly in the Middle East &amp; Asia and Europe/CIS/Africa areas. Year on year, revenue from all Divisions experienced double-digit growth, led by Well Construction, which grew 36%.</w:t>
      </w:r>
    </w:p>
    <w:p>
      <w:pPr>
        <w:spacing w:after="0" w:line="17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relation to margin performance, Well Construction and Reservoir Performance led in sequential margin expansion having posted 403 bps and 209 bps growth, respectively. Year on year, Well Construction margin expanded 635 bps to reach 22%, due to broad pricing improvements and improved operating leverage.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Energy Fundamentals and a Supply-Led Decoupling of Upstream Investment</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Le Peuch said, “While concerns remain over the broader economic climate, the energy industry fundamentals continue to be very constructive. Against the backdrop of the energy crisis and limited spare global capacity, the world faces an urgent need for increased investment to rebalance markets, create supply redundancies, and rebuild spare capacity. All of these are exacerbated by geopolitics and increasing instances of supply disruptions.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69" w:right="459" w:bottom="1440" w:gutter="0" w:footer="0" w:header="0"/>
        </w:sectPr>
      </w:pPr>
    </w:p>
    <w:bookmarkStart w:id="6" w:name="page7"/>
    <w:bookmarkEnd w:id="6"/>
    <w:p>
      <w:pPr>
        <w:ind w:right="2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dynamics and the urgency to restore balance are resulting in a supply-led upcycle, characterized by the decoupling of upstream investment from near-term demand volatility. Furthermore, the need for sustained investments is reinforced by the long-term demand trajectory through the end of the decade and by OPEC+ decisions that are keeping commodity prices at supportive levels.</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“Concurrently, we are witnessing a significant commitment from the industry to decarbonize oil and gas, with E&amp;P operators all over the world deploying capital and adopting technologies—including digital—at scale, to reduce emissions. Taken together, we expect these constructive fundamentals and secular trends to support multiple years of growth.”</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Strong Finish in the Making for an Outstanding Year</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Le Peuch said, “On a companywide basis, year-to-date revenue increased more than 20%; EPS on a GAAP basis grew 83%; EPS— excluding charges and credits—grew 67%; and pretax segment operating margin expanded 285 bps. I am very proud of these exceptional results delivered by the Schlumberger team as we approach the end of an outstanding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we close the year, we expect to deliver sequential revenue growth and margin expansion in the fourth quarter.</w:t>
      </w:r>
    </w:p>
    <w:p>
      <w:pPr>
        <w:spacing w:after="0" w:line="21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“To conclude, we have stronger conviction in our strategy and the opportunities across our three engines of growth—the Core, Digital, and New Energy. Constructive market fundamentals for oil and gas, energy security, and the urgency to accelerate the energy transition will support increased investment—in both clean energy technology development and lower carbon oil and gas production. We have positioned the company for long-term outperformance, with a diverse set of opportunities across the entire energy value chain. These technology-led opportunities cover oil and gas, industrial decarbonization, and new energy systems—all supported by digital transformation.</w:t>
      </w:r>
    </w:p>
    <w:p>
      <w:pPr>
        <w:spacing w:after="0" w:line="179"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“Recent regulatory decisions and incentives reinforce our view of this compelling investment outlook and our strategic direction. We are prepared to apply our technology, global scale, and industrialization capabilities to lead in this energy landscape and deliver outstanding value for our customers and shareholders.</w:t>
      </w: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 am truly excited about our future as we continue to drive innovation for a resilient and balanced energy system. I look forward to sharing at our upcoming Investor Conference, our views of the industry, revenue growth ambitions, earnings, and returns potential.”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August 30, 2022, Schlumberger, Aker Solutions, and Subsea 7 announced an agreement to form a joint venture to drive innovation and efficiency in subsea production to help customers unlock reserves and reduce cycle time. The agreement will bring together a portfolio of innovative technologies such as subsea gas compression, all-electric subsea production systems, and other electrification capabilities that help customers meet their decarbonization goals. The transaction is subject to regulatory approvals and other customary closing conditions and is expected to close in the second half of 2023.</w:t>
      </w:r>
    </w:p>
    <w:p>
      <w:pPr>
        <w:spacing w:after="0" w:line="17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October 2022, Schlumberger redeemed $895 million of its outstanding notes, consisting of $600 million of 2.65% Senior Notes and $295 million of 3.625% Senior Notes, both due 2022.</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On October 20, 2022, Schlumberger’s Board of Directors approved a quarterly cash dividend of $0.175 per share of outstanding common stock, payable on January 12, 2023, to stockholders of record on December 7, 2022.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6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27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Sept. 30,</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340"/>
              <w:spacing w:after="0" w:line="147"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w w:val="99"/>
              </w:rPr>
              <w:t>Sept. 30,</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$ 1,543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$1,537</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$ 1,129</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0%</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1,508</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1,329</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1,160</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14%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Europe/CIS/Africa</w:t>
            </w: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2,039</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1,691</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1,481</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21%</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2,334</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2,168</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2,034</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53</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$ 7,477</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6,773</w:t>
            </w:r>
          </w:p>
        </w:tc>
        <w:tc>
          <w:tcPr>
            <w:tcW w:w="34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$ 5,847</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7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b w:val="1"/>
                <w:bCs w:val="1"/>
                <w:color w:val="auto"/>
                <w:w w:val="96"/>
              </w:rPr>
              <w:t>$ 5,881</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$5,188</w:t>
            </w:r>
          </w:p>
        </w:tc>
        <w:tc>
          <w:tcPr>
            <w:tcW w:w="9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3"/>
              </w:rPr>
              <w:t>$ 4,675</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13%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8"/>
                <w:szCs w:val="18"/>
                <w:color w:val="auto"/>
              </w:rPr>
              <w:t>North America</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$ 1,543</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$1,537</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$ 1,129</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$1.5 billion increased 14% sequentially due to higher Well Construction revenue from increased drilling activity and improved pricing. Increased Production Systems sales in Brazil contributed to the sequential revenue growth. Year on year, revenue grew 30% due to higher drilling activity and increased pricing across the area. Increased stimulation and drilling activity in Argentina as well as higher Production Systems sales in Brazil also contributed to the year-on-year revenue growth.</w:t>
      </w:r>
    </w:p>
    <w:p>
      <w:pPr>
        <w:spacing w:after="0" w:line="174"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b w:val="1"/>
          <w:bCs w:val="1"/>
          <w:color w:val="auto"/>
        </w:rPr>
        <w:t xml:space="preserve">Europe/CIS/Africa </w:t>
      </w:r>
      <w:r>
        <w:rPr>
          <w:rFonts w:ascii="Arial" w:cs="Arial" w:eastAsia="Arial" w:hAnsi="Arial"/>
          <w:sz w:val="18"/>
          <w:szCs w:val="18"/>
          <w:color w:val="auto"/>
        </w:rPr>
        <w:t>revenue of $2.0 billion increased 21% sequentially. This significant growth was driven by strong Well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and improved pricing across the area, higher Production Systems sales in Europe and Scandinavia, and multidivisional activity increases in Sub-Sahara Africa. Year on year, revenue grew 38%, from higher Production Systems sales in Europe and Scandinavia, increased Well Construction activity, and improved pricing.</w:t>
      </w:r>
    </w:p>
    <w:p>
      <w:pPr>
        <w:spacing w:after="0" w:line="17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$2.3 billion increased 8% sequentially due to increased multidivisional activity across Asia and higher Reservoir Performance revenue in the Middle East. Year on year, revenue increased 15% due to increased multidivisional activity across Asia and higher activity from new projects in the Middle East—notably, increased drilling activity in Iraq and the United Arab Emirates and higher stimulation revenue in Oman.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$ 1.5 billion was essentially flat sequentially as double-digit growth in US land revenue was offset by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exploration data sales in the US Gulf of Mexico due to the significant transfer fees recorded in the previous quarter. US land revenue growth outperformed the rig count increase sequentially due to higher drilling activity, increased sales of well and surface production systems, and improved pricing.</w:t>
      </w:r>
    </w:p>
    <w:p>
      <w:pPr>
        <w:spacing w:after="0" w:line="174"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Compared to the same quarter last year, North America revenue grew 37%. All Divisions experienced significant year-on-year revenue growth, led by Well Construction and Production Systems, which grew 62% and 23%, respectively.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center"/>
              <w:ind w:left="39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4"/>
                <w:szCs w:val="14"/>
                <w:color w:val="auto"/>
              </w:rPr>
            </w:pPr>
          </w:p>
        </w:tc>
        <w:tc>
          <w:tcPr>
            <w:tcW w:w="12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671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627</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615</w:t>
            </w:r>
          </w:p>
        </w:tc>
        <w:tc>
          <w:tcPr>
            <w:tcW w:w="1260" w:type="dxa"/>
            <w:vAlign w:val="bottom"/>
            <w:gridSpan w:val="2"/>
          </w:tcPr>
          <w:p>
            <w:pPr>
              <w:jc w:val="right"/>
              <w:ind w:right="22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229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196</w:t>
            </w:r>
          </w:p>
        </w:tc>
        <w:tc>
          <w:tcPr>
            <w:tcW w:w="12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-30%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6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38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812</w:t>
            </w:r>
          </w:p>
        </w:tc>
        <w:tc>
          <w:tcPr>
            <w:tcW w:w="12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305</w:t>
            </w:r>
          </w:p>
        </w:tc>
        <w:tc>
          <w:tcPr>
            <w:tcW w:w="4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379</w:t>
            </w:r>
          </w:p>
        </w:tc>
        <w:tc>
          <w:tcPr>
            <w:tcW w:w="4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284</w:t>
            </w:r>
          </w:p>
        </w:tc>
        <w:tc>
          <w:tcPr>
            <w:tcW w:w="460" w:type="dxa"/>
            <w:vAlign w:val="bottom"/>
          </w:tcPr>
          <w:p>
            <w:pPr>
              <w:spacing w:after="0"/>
              <w:rPr>
                <w:sz w:val="17"/>
                <w:szCs w:val="17"/>
                <w:color w:val="auto"/>
              </w:rPr>
            </w:pPr>
          </w:p>
        </w:tc>
        <w:tc>
          <w:tcPr>
            <w:tcW w:w="1260" w:type="dxa"/>
            <w:vAlign w:val="bottom"/>
            <w:gridSpan w:val="2"/>
          </w:tcPr>
          <w:p>
            <w:pPr>
              <w:jc w:val="right"/>
              <w:ind w:right="228"/>
              <w:spacing w:after="0" w:line="196" w:lineRule="exact"/>
              <w:rPr>
                <w:sz w:val="20"/>
                <w:szCs w:val="20"/>
                <w:color w:val="auto"/>
              </w:rPr>
            </w:pPr>
            <w:r>
              <w:rPr>
                <w:rFonts w:ascii="Arial" w:cs="Arial" w:eastAsia="Arial" w:hAnsi="Arial"/>
                <w:sz w:val="18"/>
                <w:szCs w:val="18"/>
                <w:b w:val="1"/>
                <w:bCs w:val="1"/>
                <w:color w:val="auto"/>
              </w:rPr>
              <w:t>-20%</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33.9%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35.0%</w:t>
            </w:r>
          </w:p>
        </w:tc>
        <w:tc>
          <w:tcPr>
            <w:tcW w:w="126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-586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-119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Digital &amp; Integration revenue of $900 million experienced a 6% sequential decline with a change in revenue mix compared to the previous quarter. Revenue grew internationally, driven by higher digital sales in the Middle East &amp; Asia, Europe/CIS/Africa, and Latin America areas while revenue was lower in North America on lower exploration data sales.</w:t>
      </w:r>
    </w:p>
    <w:p>
      <w:pPr>
        <w:spacing w:after="0" w:line="16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Year on year, revenue growth of 11% was driven primarily by higher digital sales across all areas and higher Asset Performance Solutions (APS) project revenue, particularly in Canada.</w:t>
      </w:r>
    </w:p>
    <w:p>
      <w:pPr>
        <w:spacing w:after="0" w:line="15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Digital &amp; Integration pretax operating margin of 34% contracted 586 bps sequentially and 119 bps year on year due to a less favorable revenue mix.</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1020" w:type="dxa"/>
            <w:vAlign w:val="bottom"/>
            <w:tcBorders>
              <w:top w:val="single" w:sz="8" w:color="auto"/>
            </w:tcBorders>
            <w:gridSpan w:val="3"/>
          </w:tcPr>
          <w:p>
            <w:pPr>
              <w:jc w:val="center"/>
              <w:ind w:right="440"/>
              <w:spacing w:after="0" w:line="147" w:lineRule="exact"/>
              <w:rPr>
                <w:sz w:val="20"/>
                <w:szCs w:val="20"/>
                <w:color w:val="auto"/>
              </w:rPr>
            </w:pPr>
            <w:r>
              <w:rPr>
                <w:rFonts w:ascii="Arial" w:cs="Arial" w:eastAsia="Arial" w:hAnsi="Arial"/>
                <w:sz w:val="14"/>
                <w:szCs w:val="14"/>
                <w:color w:val="auto"/>
              </w:rPr>
              <w:t>Jun. 30,</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53"/>
              <w:spacing w:after="0"/>
              <w:rPr>
                <w:sz w:val="20"/>
                <w:szCs w:val="20"/>
                <w:color w:val="auto"/>
              </w:rPr>
            </w:pPr>
            <w:r>
              <w:rPr>
                <w:rFonts w:ascii="Arial" w:cs="Arial" w:eastAsia="Arial" w:hAnsi="Arial"/>
                <w:sz w:val="14"/>
                <w:szCs w:val="14"/>
                <w:color w:val="auto"/>
              </w:rPr>
              <w:t>2022</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480" w:type="dxa"/>
            <w:vAlign w:val="bottom"/>
          </w:tcPr>
          <w:p>
            <w:pPr>
              <w:spacing w:after="0"/>
              <w:rPr>
                <w:sz w:val="14"/>
                <w:szCs w:val="1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40" w:type="dxa"/>
            <w:vAlign w:val="bottom"/>
            <w:gridSpan w:val="2"/>
          </w:tcPr>
          <w:p>
            <w:pPr>
              <w:ind w:left="1820"/>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388"/>
              <w:spacing w:after="0" w:line="202" w:lineRule="exact"/>
              <w:rPr>
                <w:sz w:val="20"/>
                <w:szCs w:val="20"/>
                <w:color w:val="auto"/>
              </w:rPr>
            </w:pPr>
            <w:r>
              <w:rPr>
                <w:rFonts w:ascii="Arial" w:cs="Arial" w:eastAsia="Arial" w:hAnsi="Arial"/>
                <w:sz w:val="18"/>
                <w:szCs w:val="18"/>
                <w:b w:val="1"/>
                <w:bCs w:val="1"/>
                <w:color w:val="auto"/>
              </w:rPr>
              <w:t>1,335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1,222</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1,112</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79</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820"/>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1,456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1,333</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1,192</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244</w:t>
            </w:r>
          </w:p>
        </w:tc>
        <w:tc>
          <w:tcPr>
            <w:tcW w:w="4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190</w:t>
            </w:r>
          </w:p>
        </w:tc>
        <w:tc>
          <w:tcPr>
            <w:tcW w:w="480" w:type="dxa"/>
            <w:vAlign w:val="bottom"/>
          </w:tcPr>
          <w:p>
            <w:pPr>
              <w:spacing w:after="0"/>
              <w:rPr>
                <w:sz w:val="17"/>
                <w:szCs w:val="17"/>
                <w:color w:val="auto"/>
              </w:rPr>
            </w:pPr>
          </w:p>
        </w:tc>
        <w:tc>
          <w:tcPr>
            <w:tcW w:w="1200" w:type="dxa"/>
            <w:vAlign w:val="bottom"/>
            <w:gridSpan w:val="2"/>
          </w:tcPr>
          <w:p>
            <w:pPr>
              <w:jc w:val="right"/>
              <w:ind w:right="248"/>
              <w:spacing w:after="0" w:line="196" w:lineRule="exact"/>
              <w:rPr>
                <w:sz w:val="20"/>
                <w:szCs w:val="20"/>
                <w:color w:val="auto"/>
              </w:rPr>
            </w:pPr>
            <w:r>
              <w:rPr>
                <w:rFonts w:ascii="Arial" w:cs="Arial" w:eastAsia="Arial" w:hAnsi="Arial"/>
                <w:sz w:val="18"/>
                <w:szCs w:val="18"/>
                <w:b w:val="1"/>
                <w:bCs w:val="1"/>
                <w:color w:val="auto"/>
              </w:rPr>
              <w:t>25%</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16.7%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16.0%</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209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Reservoir Performance revenue of $1.5 billion increased 9% sequentially primarily due to higher intervention and stimulation activity, both on land and offshore, particularly in the Middle East &amp; Asia and Europe/CIS/Africa areas. North America growth was due to higher intervention activity in the US Gulf of Mexico.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69" w:right="439" w:bottom="1440" w:gutter="0" w:footer="0" w:header="0"/>
        </w:sectPr>
      </w:pPr>
    </w:p>
    <w:bookmarkStart w:id="9" w:name="page10"/>
    <w:bookmarkEnd w:id="9"/>
    <w:p>
      <w:pPr>
        <w:jc w:val="both"/>
        <w:ind w:right="440"/>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Year on year, revenue growth of 22% was broad across all areas due to increased activity. The revenue growth was led by the Middle East &amp; Asia area, which grew 30%. Intervention and stimulation services experienced double-digit growth, both on land and offshore.</w:t>
      </w:r>
    </w:p>
    <w:p>
      <w:pPr>
        <w:spacing w:after="0" w:line="13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Reservoir Performance pretax operating margin of 17% expanded 209 bps sequentially. Profitability was boosted by higher offshore and development activity, particularly in the North America, Middle East &amp; Asia, and Latin America areas.</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Year on year, pretax operating margin expanded 77 bps with profitability improving both in intervention and stimulation, and geographically in the North America and Europe/CIS/Africa areas.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860" w:type="dxa"/>
            <w:vAlign w:val="bottom"/>
            <w:tcBorders>
              <w:top w:val="single" w:sz="8" w:color="auto"/>
            </w:tcBorders>
            <w:gridSpan w:val="3"/>
          </w:tcPr>
          <w:p>
            <w:pPr>
              <w:ind w:left="40"/>
              <w:spacing w:after="0" w:line="147" w:lineRule="exact"/>
              <w:rPr>
                <w:sz w:val="20"/>
                <w:szCs w:val="20"/>
                <w:color w:val="auto"/>
              </w:rPr>
            </w:pPr>
            <w:r>
              <w:rPr>
                <w:rFonts w:ascii="Arial" w:cs="Arial" w:eastAsia="Arial" w:hAnsi="Arial"/>
                <w:sz w:val="14"/>
                <w:szCs w:val="14"/>
                <w:color w:val="auto"/>
              </w:rPr>
              <w:t>Jun. 30,</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100" w:type="dxa"/>
            <w:vAlign w:val="bottom"/>
            <w:gridSpan w:val="2"/>
          </w:tcPr>
          <w:p>
            <w:pPr>
              <w:ind w:left="198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2,406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2,083</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1,839</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16%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621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382</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12%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39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3,084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2,686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2,273</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15%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664</w:t>
            </w:r>
          </w:p>
        </w:tc>
        <w:tc>
          <w:tcPr>
            <w:tcW w:w="3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470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345</w:t>
            </w:r>
          </w:p>
        </w:tc>
        <w:tc>
          <w:tcPr>
            <w:tcW w:w="400" w:type="dxa"/>
            <w:vAlign w:val="bottom"/>
          </w:tcPr>
          <w:p>
            <w:pPr>
              <w:spacing w:after="0"/>
              <w:rPr>
                <w:sz w:val="17"/>
                <w:szCs w:val="17"/>
                <w:color w:val="auto"/>
              </w:rPr>
            </w:pPr>
          </w:p>
        </w:tc>
        <w:tc>
          <w:tcPr>
            <w:tcW w:w="1120" w:type="dxa"/>
            <w:vAlign w:val="bottom"/>
            <w:gridSpan w:val="2"/>
          </w:tcPr>
          <w:p>
            <w:pPr>
              <w:jc w:val="right"/>
              <w:ind w:right="168"/>
              <w:spacing w:after="0" w:line="196" w:lineRule="exact"/>
              <w:rPr>
                <w:sz w:val="20"/>
                <w:szCs w:val="20"/>
                <w:color w:val="auto"/>
              </w:rPr>
            </w:pPr>
            <w:r>
              <w:rPr>
                <w:rFonts w:ascii="Arial" w:cs="Arial" w:eastAsia="Arial" w:hAnsi="Arial"/>
                <w:sz w:val="18"/>
                <w:szCs w:val="18"/>
                <w:b w:val="1"/>
                <w:bCs w:val="1"/>
                <w:color w:val="auto"/>
              </w:rPr>
              <w:t>41%</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15.2%</w:t>
            </w: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403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635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Well Construction revenue of $3.1 billion increased 15% sequentially, outperforming global rig count growth due to strong activity from new projects and solid pricing improvements internationally, particularly in the Europe/CIS/Africa and Latin America areas. In North America, sequential revenue growth outpaced the rig count increase in both US land and offshore. Double-digit growth was pervasive across its measurement, drilling, fluids, and equipment business lines.</w:t>
      </w:r>
    </w:p>
    <w:p>
      <w:pPr>
        <w:spacing w:after="0" w:line="17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Year on year, revenue growth of 36% was driven by strong activity and solid pricing improvements, led by North America and Latin America, both of which grew more than 60%. Europe/CIS/Africa revenue increased 28% while Middle East &amp; Asia revenue grew 16% year on year. High double-digit growth was recorded across the Division’s business lines led by drilling fluids and measurements—both on land and offshore.</w:t>
      </w:r>
    </w:p>
    <w:p>
      <w:pPr>
        <w:spacing w:after="0" w:line="17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Well Construction pretax operating margin of 22% expanded 403 bps sequentially, due to improved profitability in all business lines and across all areas, most prominently in Latin America. Margin expansion was due to higher offshore and exploration activity, favorable technology mix, and solid pricing improvements.</w:t>
      </w:r>
    </w:p>
    <w:p>
      <w:pPr>
        <w:spacing w:after="0" w:line="169"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Year on year, pretax operating margin expanded 635 bps, with profitability improving across all areas, driven by higher activity and boosted by improved pricing.</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6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1020" w:type="dxa"/>
            <w:vAlign w:val="bottom"/>
            <w:tcBorders>
              <w:top w:val="single" w:sz="8" w:color="auto"/>
            </w:tcBorders>
            <w:gridSpan w:val="3"/>
          </w:tcPr>
          <w:p>
            <w:pPr>
              <w:ind w:left="40"/>
              <w:spacing w:after="0" w:line="147" w:lineRule="exact"/>
              <w:rPr>
                <w:sz w:val="20"/>
                <w:szCs w:val="20"/>
                <w:color w:val="auto"/>
              </w:rPr>
            </w:pPr>
            <w:r>
              <w:rPr>
                <w:rFonts w:ascii="Arial" w:cs="Arial" w:eastAsia="Arial" w:hAnsi="Arial"/>
                <w:sz w:val="14"/>
                <w:szCs w:val="14"/>
                <w:color w:val="auto"/>
              </w:rPr>
              <w:t>Jun. 30,</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2022</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480" w:type="dxa"/>
            <w:vAlign w:val="bottom"/>
          </w:tcPr>
          <w:p>
            <w:pPr>
              <w:spacing w:after="0"/>
              <w:rPr>
                <w:sz w:val="14"/>
                <w:szCs w:val="1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40" w:type="dxa"/>
            <w:vAlign w:val="bottom"/>
            <w:gridSpan w:val="2"/>
          </w:tcPr>
          <w:p>
            <w:pPr>
              <w:ind w:left="1820"/>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388"/>
              <w:spacing w:after="0" w:line="202" w:lineRule="exact"/>
              <w:rPr>
                <w:sz w:val="20"/>
                <w:szCs w:val="20"/>
                <w:color w:val="auto"/>
              </w:rPr>
            </w:pPr>
            <w:r>
              <w:rPr>
                <w:rFonts w:ascii="Arial" w:cs="Arial" w:eastAsia="Arial" w:hAnsi="Arial"/>
                <w:sz w:val="18"/>
                <w:szCs w:val="18"/>
                <w:b w:val="1"/>
                <w:bCs w:val="1"/>
                <w:color w:val="auto"/>
              </w:rPr>
              <w:t>1,569</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1,341</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1,205</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17%</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578</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469</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20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820"/>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2,150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1,893</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1,674</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14%</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224</w:t>
            </w:r>
          </w:p>
        </w:tc>
        <w:tc>
          <w:tcPr>
            <w:tcW w:w="4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480" w:type="dxa"/>
            <w:vAlign w:val="bottom"/>
          </w:tcPr>
          <w:p>
            <w:pPr>
              <w:spacing w:after="0"/>
              <w:rPr>
                <w:sz w:val="17"/>
                <w:szCs w:val="17"/>
                <w:color w:val="auto"/>
              </w:rPr>
            </w:pPr>
          </w:p>
        </w:tc>
        <w:tc>
          <w:tcPr>
            <w:tcW w:w="1200" w:type="dxa"/>
            <w:vAlign w:val="bottom"/>
            <w:gridSpan w:val="2"/>
          </w:tcPr>
          <w:p>
            <w:pPr>
              <w:jc w:val="right"/>
              <w:ind w:right="248"/>
              <w:spacing w:after="0" w:line="196" w:lineRule="exact"/>
              <w:rPr>
                <w:sz w:val="20"/>
                <w:szCs w:val="20"/>
                <w:color w:val="auto"/>
              </w:rPr>
            </w:pPr>
            <w:r>
              <w:rPr>
                <w:rFonts w:ascii="Arial" w:cs="Arial" w:eastAsia="Arial" w:hAnsi="Arial"/>
                <w:sz w:val="18"/>
                <w:szCs w:val="18"/>
                <w:b w:val="1"/>
                <w:bCs w:val="1"/>
                <w:color w:val="auto"/>
              </w:rPr>
              <w:t>31%</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9.9%</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142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Production Systems revenue of $ 2.2 billion increased 14% sequentially on higher product deliveries and backlog conversion—mostly offshore internationally as supply chain and logistics constraints continue to ease. The increase was driven by double-digit revenue growth across most business lines: in Europe/CIS/Africa on higher deliveries of subsea and well production systems; in Latin America due to higher sales of subsea and midstream production systems; in Middle East &amp; Asia on higher sales of well, surface, and midstream production systems; and in North America, mainly in US land, on increased sales of well and surface production systems.</w:t>
      </w:r>
    </w:p>
    <w:p>
      <w:pPr>
        <w:spacing w:after="0" w:line="176"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Year on year, double-digit growth was driven by new projects and increased product deliveries mainly in Europe/CIS/Africa, North America, and Latin America.</w:t>
      </w:r>
    </w:p>
    <w:p>
      <w:pPr>
        <w:spacing w:after="0" w:line="15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Production Systems pretax operating margin of 10% expanded 142 bps sequentially due to improved operating leverage from higher volume of sales.</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Year on year, pretax operating margin was slightly higher by 55 bps as higher sales volume was partially offset by increased logistics costs and unfavorable revenue mix.</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w:t>
      </w:r>
    </w:p>
    <w:p>
      <w:pPr>
        <w:spacing w:after="0" w:line="104"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As the strong growth cycle in oil and gas advances, Schlumberger continues to secure new contracts in North America and internationally, particularly in the Middle East and in offshore basins. During the quarter, Schlumberger secured the following notable projects:</w:t>
      </w:r>
    </w:p>
    <w:p>
      <w:pPr>
        <w:spacing w:after="0" w:line="36" w:lineRule="exact"/>
        <w:rPr>
          <w:sz w:val="20"/>
          <w:szCs w:val="20"/>
          <w:color w:val="auto"/>
        </w:rPr>
      </w:pPr>
    </w:p>
    <w:p>
      <w:pPr>
        <w:ind w:left="960" w:right="180" w:hanging="424"/>
        <w:spacing w:after="0" w:line="25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Norway, Equinor awarded Schlumberger a contract for work at up to 11 wells at their challenging, high-temperature Kristin Sor and Halten East fields. The integrated services contract includes electric wireline logging, drilling, measurements, and project management. Work is expected to start in late 2023 and continue until 2025.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69" w:right="439" w:bottom="1440" w:gutter="0" w:footer="0" w:header="0"/>
        </w:sectPr>
      </w:pPr>
    </w:p>
    <w:bookmarkStart w:id="11" w:name="page12"/>
    <w:bookmarkEnd w:id="11"/>
    <w:p>
      <w:pPr>
        <w:ind w:left="424" w:right="300" w:hanging="424"/>
        <w:spacing w:after="0" w:line="242"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QatarEnergy has awarded Schlumberger a five-year wireline services contract. The contract covers open- and cased-hole wireline logging on land and offshore, as well as tubing-conveyed perforating and data processing and interpretation. Schlumberger technologies, including the 10,000-psi hydraulic frac packer, 3D far-field sonic service, Optiq* Schlumberger fiber-optic solutions, and Pulsar* multifunction spectroscopy service, will be deployed to evaluate new and existing wells in various projects and optimize the production and injection of such wells. Work is expected to start in the fourth quarter of 2022.</w:t>
      </w:r>
    </w:p>
    <w:p>
      <w:pPr>
        <w:spacing w:after="0" w:line="84" w:lineRule="exact"/>
        <w:rPr>
          <w:rFonts w:ascii="Arial" w:cs="Arial" w:eastAsia="Arial" w:hAnsi="Arial"/>
          <w:sz w:val="18"/>
          <w:szCs w:val="18"/>
          <w:color w:val="auto"/>
        </w:rPr>
      </w:pPr>
    </w:p>
    <w:p>
      <w:pPr>
        <w:ind w:left="424" w:right="40" w:hanging="424"/>
        <w:spacing w:after="0" w:line="242"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Abu Dhabi National Oil Company (ADNOC) has awarded Schlumberger a five-year framework agreement for drilling-related services, valued at $482 million. With an optional two-year extension, the scope of the award covers drill bits, directional drilling, and logging-while-drilling services. Supporting ADNOC in its drive to improve efficiency while delivering the lowest cost, lowest carbon intensity barrels, Schlumberger will provide advanced directional drilling and logging services to achieve high-quality wellbores with proven trajectory control, for accurate drilling of extended-reach horizontal and complex directional wells.</w:t>
      </w:r>
    </w:p>
    <w:p>
      <w:pPr>
        <w:spacing w:after="0" w:line="84"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Brazil, Petrobras awarded Schlumberger a contract for the latest-generation MaxFORTE* high-reliability electric submersible pump (ESP) system for the deepwater Jubarte Field. This award also includes a 10-year extension of in-country remote ESP surveillance, intervention, and domain expertise provided by Schlumberger. The first generations of the MaxFORTE ESP systems, developed for Petrobras’ subsea developments in the Campos Basin offshore Brazil, have so far delivered an excellent reliability above four years, despite dramatic pressure and temperature swings—while producing prolific volumes of heavy oil, emulsions, and gas. Run life of this duration is a result of stringent quality from manufacturing to installation, and the extended time between workovers for ESP replacement is a significant value for Petrobras.</w:t>
      </w:r>
    </w:p>
    <w:p>
      <w:pPr>
        <w:spacing w:after="0" w:line="90" w:lineRule="exact"/>
        <w:rPr>
          <w:rFonts w:ascii="Arial" w:cs="Arial" w:eastAsia="Arial" w:hAnsi="Arial"/>
          <w:sz w:val="18"/>
          <w:szCs w:val="18"/>
          <w:color w:val="auto"/>
        </w:rPr>
      </w:pPr>
    </w:p>
    <w:p>
      <w:pPr>
        <w:ind w:left="424" w:right="120" w:hanging="424"/>
        <w:spacing w:after="0" w:line="24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 Brazil, Enauta signed contracts with Schlumberger for the development of a holistic subsea production system in the Atlanta Field, Enauta’s main oil production asset in the Santos Basin. The award includes a range of subsea field-proven technologies, including a multiphase subsea boosting system and subsea trees. The agreement represents a robust solution that will integrate existing wells and support future development of the Atlanta Field.</w:t>
      </w:r>
    </w:p>
    <w:p>
      <w:pPr>
        <w:spacing w:after="0" w:line="79" w:lineRule="exact"/>
        <w:rPr>
          <w:rFonts w:ascii="Arial" w:cs="Arial" w:eastAsia="Arial" w:hAnsi="Arial"/>
          <w:sz w:val="18"/>
          <w:szCs w:val="18"/>
          <w:color w:val="auto"/>
        </w:rPr>
      </w:pPr>
    </w:p>
    <w:p>
      <w:pPr>
        <w:ind w:left="424" w:right="20"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Kazakhstan, Schlumberger was awarded a decarbonized production operations contract by Karachaganak Petroleum Operating B.V (KPO). The project will use technology that eliminates flaring—maximizing hydrocarbon monetization and avoiding an estimated 10,000 metric tons of CO</w:t>
      </w:r>
      <w:r>
        <w:rPr>
          <w:rFonts w:ascii="Arial" w:cs="Arial" w:eastAsia="Arial" w:hAnsi="Arial"/>
          <w:sz w:val="13"/>
          <w:szCs w:val="13"/>
          <w:color w:val="auto"/>
        </w:rPr>
        <w:t>2</w:t>
      </w:r>
      <w:r>
        <w:rPr>
          <w:rFonts w:ascii="Arial" w:cs="Arial" w:eastAsia="Arial" w:hAnsi="Arial"/>
          <w:sz w:val="18"/>
          <w:szCs w:val="18"/>
          <w:color w:val="auto"/>
        </w:rPr>
        <w:t>e per well. The production scope of the three-year contract—which also includes wireline—covers well cleanup, production boosting, and well bleedoff packages, which will be delivered using the Production ExPRESS* rapid production response solutions. Schlumberger will use the CleanPhase* well test separator in combination with Transition Technologies*—including the REDA Multiphase HPS* horizontal multistage surface pump, and Vx Spectra* surface multiphase flowmeter—to deliver this project scope with zero flaring.</w:t>
      </w:r>
    </w:p>
    <w:p>
      <w:pPr>
        <w:spacing w:after="0" w:line="90" w:lineRule="exact"/>
        <w:rPr>
          <w:rFonts w:ascii="Arial" w:cs="Arial" w:eastAsia="Arial" w:hAnsi="Arial"/>
          <w:sz w:val="18"/>
          <w:szCs w:val="18"/>
          <w:color w:val="auto"/>
        </w:rPr>
      </w:pPr>
    </w:p>
    <w:p>
      <w:pPr>
        <w:ind w:left="424" w:right="260"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Canada, BP Canada Energy Group ULC (bp) has awarded Schlumberger an integrated well construction and evaluation contract for its Ephesus deepwater exploration well. The contract is scheduled to commence in 2023 and includes well construction and reservoir evaluation products and services.</w:t>
      </w:r>
    </w:p>
    <w:p>
      <w:pPr>
        <w:spacing w:after="0" w:line="101"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44"/>
          </w:cols>
          <w:pgMar w:left="976" w:top="269" w:right="479" w:bottom="1440" w:gutter="0" w:footer="0" w:header="0"/>
        </w:sectPr>
      </w:pPr>
    </w:p>
    <w:bookmarkStart w:id="12" w:name="page13"/>
    <w:bookmarkEnd w:id="12"/>
    <w:p>
      <w:pPr>
        <w:ind w:left="960" w:right="140" w:hanging="424"/>
        <w:spacing w:after="0" w:line="242"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US, Schlumberger was awarded multiple scopes for an enhanced oil recovery pilot project by Denbury Onshore, LLC. The award covers downhole logging, coring and core laboratory analysis, downhole completions equipment, electric submersible REDA* pumps configured to handle a high concentration of CO</w:t>
      </w:r>
      <w:r>
        <w:rPr>
          <w:rFonts w:ascii="Arial" w:cs="Arial" w:eastAsia="Arial" w:hAnsi="Arial"/>
          <w:sz w:val="13"/>
          <w:szCs w:val="13"/>
          <w:color w:val="auto"/>
        </w:rPr>
        <w:t>2</w:t>
      </w:r>
      <w:r>
        <w:rPr>
          <w:rFonts w:ascii="Arial" w:cs="Arial" w:eastAsia="Arial" w:hAnsi="Arial"/>
          <w:sz w:val="18"/>
          <w:szCs w:val="18"/>
          <w:color w:val="auto"/>
        </w:rPr>
        <w:t xml:space="preserve"> in the produced fluids, and permanent distributed temperature and acoustic sensing using Optiq Schlumberger fiber-optic solutions. Optiq solutions will use Schlumberger intellectual property and differentiated expertise in distributed temperature and acoustic analysis to provide real-time operational surveillance and analysis that will optimize recovery and maintain operational integrity.</w:t>
      </w:r>
    </w:p>
    <w:p>
      <w:pPr>
        <w:spacing w:after="0" w:line="84" w:lineRule="exact"/>
        <w:rPr>
          <w:rFonts w:ascii="Arial" w:cs="Arial" w:eastAsia="Arial" w:hAnsi="Arial"/>
          <w:sz w:val="18"/>
          <w:szCs w:val="18"/>
          <w:color w:val="auto"/>
        </w:rPr>
      </w:pPr>
    </w:p>
    <w:p>
      <w:pPr>
        <w:ind w:left="960" w:right="30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BOE Exploration &amp; Production LLC awarded Schlumberger multiple contracts for work in the Gulf of Mexico for their contracted drillships. Schlumberger will provide deepwater experience, technical expertise, and leading technology to the projects in collaboration with BOE. The awards include contracts for the supply of services for drilling tools, cementing, mudlogging, and completions as well as contracts for equipment and products for drilling on BOE’s multiwell campaign, including development and exploration projects. The activity will commence in early 2023. Additionally, Schlumberger was awarded contracts for completions, landing string, tubing-conveyed perforating, surface well testing, and coiled-tubing and cased-hole wireline for the Shenandoah project to be executed in 2023-2024.</w:t>
      </w:r>
    </w:p>
    <w:p>
      <w:pPr>
        <w:spacing w:after="0" w:line="90" w:lineRule="exact"/>
        <w:rPr>
          <w:rFonts w:ascii="Arial" w:cs="Arial" w:eastAsia="Arial" w:hAnsi="Arial"/>
          <w:sz w:val="18"/>
          <w:szCs w:val="18"/>
          <w:color w:val="auto"/>
        </w:rPr>
      </w:pPr>
    </w:p>
    <w:p>
      <w:pPr>
        <w:ind w:left="960" w:hanging="424"/>
        <w:spacing w:after="0" w:line="226"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Kosmos Energy Gulf of Mexico Operations, LLC, has awarded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its alliance partner, Subsea 7, an engineering, procurement, construction, and installation (EPCI) contract for the Odd Job field in the Gulf of Mexico. OneSubsea, the subsea technologies, production, and processing systems business of Schlumberger, will supply a subsea multiphase boosting system, topside equipment, and a 16-mile integrated power and control umbilical. Project management, engineering, assembly, and testing will be performed by OneSubsea, and transport to the field and installation will be carried out by Subsea 7. The system will be tied back to the existing facility, thereby achieving significant cost and energy savings, as well as reducing CO</w:t>
      </w:r>
      <w:r>
        <w:rPr>
          <w:rFonts w:ascii="Arial" w:cs="Arial" w:eastAsia="Arial" w:hAnsi="Arial"/>
          <w:sz w:val="13"/>
          <w:szCs w:val="13"/>
          <w:color w:val="auto"/>
        </w:rPr>
        <w:t>2</w:t>
      </w:r>
      <w:r>
        <w:rPr>
          <w:rFonts w:ascii="Arial" w:cs="Arial" w:eastAsia="Arial" w:hAnsi="Arial"/>
          <w:sz w:val="18"/>
          <w:szCs w:val="18"/>
          <w:color w:val="auto"/>
        </w:rPr>
        <w:t xml:space="preserve"> emissions, all while improving Kosmos Energy’s ultimate recovery.</w:t>
      </w:r>
    </w:p>
    <w:p>
      <w:pPr>
        <w:spacing w:after="0" w:line="18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Schlumberger continuously seeks new applications for its technologies in adjacent industries, applying its domain expertise to solutions that support sustainable energy production:</w:t>
      </w:r>
    </w:p>
    <w:p>
      <w:pPr>
        <w:spacing w:after="0" w:line="59" w:lineRule="exact"/>
        <w:rPr>
          <w:sz w:val="20"/>
          <w:szCs w:val="20"/>
          <w:color w:val="auto"/>
        </w:rPr>
      </w:pPr>
    </w:p>
    <w:p>
      <w:pPr>
        <w:ind w:left="960" w:right="2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Zorlu Enerji, Turkey’s leading geothermal investor, has awarded Schlumberger a contract for 14 additional REDA Thermal* power-efficient geothermal electric submersible pumps (ESPs) to increase zero-carbon electricity generation at its Kızıldere geothermal power facility. The first high-volume and high-horsepower REDA Thermal pump was installed at the Kızıldere facility in July, and the initial boost attributable to the pump is over 1.7 megawatts (MW) of zero-carbon electricity. The award includes initiation of digital services for ESP monitoring and surveillance. The REDA Thermal pumps are designed specifically to meet the requirements of high-enthalpy geothermal wells. The technology was developed leveraging expertise from GeothermEx, a Schlumberger multidisciplinary geothermal consulting and services company.</w:t>
      </w:r>
    </w:p>
    <w:p>
      <w:pPr>
        <w:spacing w:after="0" w:line="185"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As customers continue to advance their digital transformation and apply digital solutions that improve efficiency and productivity, Schlumberger’s digital platform strategy is a key engine of growth. The Schlumberger Digital Forum 2022 brought together more than 1,250 industry leaders, domain experts, and digital professionals and showcased the power of Digital to accelerate the industry’s transformation, delivering higher value and lower carbon.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69" w:right="499" w:bottom="1440" w:gutter="0" w:footer="0" w:header="0"/>
        </w:sectPr>
      </w:pPr>
    </w:p>
    <w:bookmarkStart w:id="13" w:name="page14"/>
    <w:bookmarkEnd w:id="13"/>
    <w:p>
      <w:pPr>
        <w:ind w:left="424" w:right="100"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Schlumberger and Aramco have announced plans to collaborate and develop a digital platform that will provide sustainability solutions for hard-to-abate industrial sectors. The proposed platform will enable companies in industries such as oil and gas, chemicals, utilities, cement, and steel to collect, measure, report, and verify their emissions, while also evaluating different decarbonization pathways. Building on an open architecture, the platform will be extendable into other aspects of the industries’ sustainability efforts, both current and future, and will ultimately include workflows such as water sustainability and management, methane emissions measurement, flaring reduction and prevention, and carbon capture and storage.</w:t>
      </w:r>
    </w:p>
    <w:p>
      <w:pPr>
        <w:spacing w:after="0" w:line="84" w:lineRule="exact"/>
        <w:rPr>
          <w:rFonts w:ascii="Arial" w:cs="Arial" w:eastAsia="Arial" w:hAnsi="Arial"/>
          <w:sz w:val="18"/>
          <w:szCs w:val="18"/>
          <w:color w:val="auto"/>
        </w:rPr>
      </w:pPr>
    </w:p>
    <w:p>
      <w:pPr>
        <w:ind w:left="424" w:right="20" w:hanging="424"/>
        <w:spacing w:after="0" w:line="239"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Repsol has selected Schlumberger to deploy the DELFI* cognitive E&amp;P environment hosted on the Microsoft Azure cloud platform to further enhance its subsurface development capabilities. Repsol is implementing a strategy to transform the way its organization works by leveraging cloud capabilities, and the DELFI environment will streamline geological and geophysical (G&amp;G) workflows to optimize their performance. The DELFI Petrotechnical Suite and DELFI On Demand Reservoir Simulation will be deployed across Repsol’s organization to boost the work of field development teams. The open cloud-based platform will support collaboration among geoscience teams in worldwide locations using the same data for improved performance when running G&amp;G workflows. The processing requirements for reservoir engineering simulations will be scaled as needed and will enable integrating the DELFI Agile Reservoir Modeling workflow, when required. Additionally, Repsol´s developers can use the platform to deploy native solutions with AI and machine learning capabilities.</w:t>
      </w:r>
    </w:p>
    <w:p>
      <w:pPr>
        <w:spacing w:after="0" w:line="88" w:lineRule="exact"/>
        <w:rPr>
          <w:rFonts w:ascii="Arial" w:cs="Arial" w:eastAsia="Arial" w:hAnsi="Arial"/>
          <w:sz w:val="18"/>
          <w:szCs w:val="18"/>
          <w:color w:val="auto"/>
        </w:rPr>
      </w:pPr>
    </w:p>
    <w:p>
      <w:pPr>
        <w:ind w:left="424" w:right="20"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ENEVA S. A., an integrated energy company and the largest private natural gas operator in Brazil, has signed an agreement with Schlumberger that will unlock new technology through the DELFI cognitive E&amp;P environment, enabling new digital workflows. The agreement includes cross-domain petrotechnical access in the DELFI environment for exploration, production, and engineering as well as integrated reservoir modeling and transition expert services. This strategic partnership will be governed by a comprehensive digital roadmap that will gradually elevate ENEVA to the next level of digitalization by leveraging the capabilities within the DELFI environment to improve decision making and enhance performance through technical teams’ collaboration in an open environment.</w:t>
      </w:r>
    </w:p>
    <w:p>
      <w:pPr>
        <w:spacing w:after="0" w:line="90" w:lineRule="exact"/>
        <w:rPr>
          <w:rFonts w:ascii="Arial" w:cs="Arial" w:eastAsia="Arial" w:hAnsi="Arial"/>
          <w:sz w:val="18"/>
          <w:szCs w:val="18"/>
          <w:color w:val="auto"/>
        </w:rPr>
      </w:pPr>
    </w:p>
    <w:p>
      <w:pPr>
        <w:ind w:left="424" w:right="40"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Wintershall Dea has selected Schlumberger as its preferred partner on the acceleration of its Terra Nova subsurface transformation program. Working with Microsoft, Schlumberger was first to contribute the open-source code of its DELFI Data Ecosystem to the OSDU™—a single reference cloud-based data platform—which Wintershall Dea will leverage to accelerate the delivery of its subsurface data platform to support its business in making smarter decisions, faster. With the deployment of the OSDU Data Platform, Wintershall Dea aims to analyze data more efficiently, search and discover data more rapidly, and take advantage of new cloud-based applications and emerging digital innovations.</w:t>
      </w:r>
    </w:p>
    <w:p>
      <w:pPr>
        <w:spacing w:after="0" w:line="84"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Schlumberger released the Schlumberger Enterprise Data Solution*, which is powered by Microsoft Energy Data Services. Developed to deliver the most comprehensive capabilities for subsurface data—in alignment with the emerging requirements of the OSDU Technical Standard, a new open industry standard for energy data—the Enterprise Data Solution makes data accessible on an unprecedented scale for the global energy industry. This fully integrated cloud-native enterprise data solution enables end-to-end data-driven workflows scalable to customers’ organizations. Full upstream data capabilities will expand from subsurface to</w:t>
      </w:r>
    </w:p>
    <w:p>
      <w:pPr>
        <w:spacing w:after="0" w:line="111"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44"/>
          </w:cols>
          <w:pgMar w:left="976" w:top="269" w:right="479" w:bottom="1440" w:gutter="0" w:footer="0" w:header="0"/>
        </w:sectPr>
      </w:pPr>
    </w:p>
    <w:bookmarkStart w:id="14" w:name="page15"/>
    <w:bookmarkEnd w:id="14"/>
    <w:p>
      <w:pPr>
        <w:ind w:left="980" w:right="20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to well construction and welcome the transition to new and low-carbon energy sources. The Enterprise Data Solution will also accelerate advanced workflows to screen, assess, and design carbon capture, utilization, and storage (CCUS) projects to support rapidly growing demand for large-scale CO</w:t>
      </w:r>
      <w:r>
        <w:rPr>
          <w:rFonts w:ascii="Arial" w:cs="Arial" w:eastAsia="Arial" w:hAnsi="Arial"/>
          <w:sz w:val="13"/>
          <w:szCs w:val="13"/>
          <w:color w:val="auto"/>
        </w:rPr>
        <w:t>2</w:t>
      </w:r>
      <w:r>
        <w:rPr>
          <w:rFonts w:ascii="Arial" w:cs="Arial" w:eastAsia="Arial" w:hAnsi="Arial"/>
          <w:sz w:val="18"/>
          <w:szCs w:val="18"/>
          <w:color w:val="auto"/>
        </w:rPr>
        <w:t xml:space="preserve"> sequestration. Early adopters of these exciting new technologies include PETRONAS and Chevron.</w:t>
      </w:r>
    </w:p>
    <w:p>
      <w:pPr>
        <w:spacing w:after="0" w:line="79" w:lineRule="exact"/>
        <w:rPr>
          <w:sz w:val="20"/>
          <w:szCs w:val="20"/>
          <w:color w:val="auto"/>
        </w:rPr>
      </w:pPr>
    </w:p>
    <w:p>
      <w:pPr>
        <w:ind w:left="960" w:right="4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Schlumberger has launched its Digital Platform Partner Program, which will allow independent software vendors (ISVs) to leverage the openness and extensibility of Schlumberger’s digital platform to build new applications and software and offer them to the market. Schlumberger customers will access a broad range of interoperable digital solutions, enabling data-driven decision making across the energy value chain and rapidly accelerating the time to value from digital transformation, at global scale. At launch, nine ISVs are offering software solutions to Schlumberger customers, and the platform has been designed with an open framework to quickly onboard new partners. The solutions are built and deployed through the DELFI digital E&amp;P platform and integrate seamlessly with industry-standard data platforms. This enables unprecedented value creation due to the interoperability across workflows and organizations.</w:t>
      </w:r>
    </w:p>
    <w:p>
      <w:pPr>
        <w:spacing w:after="0" w:line="18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Customer adoption of Schlumberger technology is accelerating and continues to significantly impact performance in drilling, production, and integrated operations. Our innovative solutions contribute to making the exploration and development of oil and gas assets more resilient and more efficient, with lower carbon and less impact on the environment. Examples from the quarter include:</w:t>
      </w:r>
    </w:p>
    <w:p>
      <w:pPr>
        <w:spacing w:after="0" w:line="74" w:lineRule="exact"/>
        <w:rPr>
          <w:sz w:val="20"/>
          <w:szCs w:val="20"/>
          <w:color w:val="auto"/>
        </w:rPr>
      </w:pPr>
    </w:p>
    <w:p>
      <w:pPr>
        <w:ind w:left="960" w:right="60" w:hanging="424"/>
        <w:spacing w:after="0" w:line="242"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East Texas, KJ Energy drilled seven wells in the Cotton Valley Formation fully remotely using Schlumberger technology to continuously increase the drilling efficiency in the curve-lateral production section well over well. The longest single run lateral was drilled using the fit-for-basin bottomhole assembly that included the PowerDrive Orbit G2* rotary steerable system, xBolt G2* accelerated drilling service, and AxeBlade* ridged diamond element bit. Other firsts for the basin were the fastest lateral and the longest lateral drilled without motor assistance. This performance helped KJ Energy attain 50% higher drilling efficiency compared to the conventional motor assemblies utilized to drill curves in the past.</w:t>
      </w:r>
    </w:p>
    <w:p>
      <w:pPr>
        <w:spacing w:after="0" w:line="84"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Western Kazakhstan, Schlumberger technology helped Karachaganak Petroleum Operating B.V. (KPO) to avoid 1.3 million metric tons of CO</w:t>
      </w:r>
      <w:r>
        <w:rPr>
          <w:rFonts w:ascii="Arial" w:cs="Arial" w:eastAsia="Arial" w:hAnsi="Arial"/>
          <w:sz w:val="13"/>
          <w:szCs w:val="13"/>
          <w:color w:val="auto"/>
        </w:rPr>
        <w:t>2</w:t>
      </w:r>
      <w:r>
        <w:rPr>
          <w:rFonts w:ascii="Arial" w:cs="Arial" w:eastAsia="Arial" w:hAnsi="Arial"/>
          <w:sz w:val="18"/>
          <w:szCs w:val="18"/>
          <w:color w:val="auto"/>
        </w:rPr>
        <w:t>e emissions through zero-flaring techniques. Schlumberger deployed its surface pressure boosting package, a key part of its Production ExPRESS rapid production response solutions portfolio that requires no chemicals or well intervention. Conventional solutions often enable oil production while flaring the produced gas using methods that are both costly and result in increased emissions from flaring. Using technologies including the REDA Multiphase HPS horizontal multistage surface pump and the Vx Spectra surface multiphase flowmeter—both part of the Transition Technologies portfolio —flaring was completely eliminated, saving the gas instead for export. The integrated approach contributed to KPO being able to quickly bring wells back into production while commercializing gas that would have otherwise been flared.</w:t>
      </w:r>
    </w:p>
    <w:p>
      <w:pPr>
        <w:spacing w:after="0" w:line="85" w:lineRule="exact"/>
        <w:rPr>
          <w:rFonts w:ascii="Arial" w:cs="Arial" w:eastAsia="Arial" w:hAnsi="Arial"/>
          <w:sz w:val="18"/>
          <w:szCs w:val="18"/>
          <w:color w:val="auto"/>
        </w:rPr>
      </w:pPr>
    </w:p>
    <w:p>
      <w:pPr>
        <w:ind w:left="960" w:right="240" w:hanging="424"/>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Libya, Schlumberger conducted an intervention campaign with Mellitah Oil &amp; Gas that increased oil production by 4,000 bbl/d in the Bu Attifel Field. The success of this campaign led to the award of a 100-well production enhancement project. A joint team of Schlumberger and customer experts collaborated early in the intervention candidate selection process, increasing the likelihood of production and recovery increases through close collaboration, joint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69" w:right="459" w:bottom="1440" w:gutter="0" w:footer="0" w:header="0"/>
        </w:sectPr>
      </w:pPr>
    </w:p>
    <w:bookmarkStart w:id="15" w:name="page16"/>
    <w:bookmarkEnd w:id="15"/>
    <w:p>
      <w:pPr>
        <w:ind w:left="980" w:right="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planning, and tight alignment on objectives. The best shut-in candidate wells were selected for intervention, and Schlumberger performed production and integrity logs to determine where to strategically set water shutoff plugs and reperforate production zones for maximum benefit. The treatment resulted in a production uplift that helped Mellitah Oil &amp; Gas achieve its production goals.</w:t>
      </w:r>
    </w:p>
    <w:p>
      <w:pPr>
        <w:spacing w:after="0" w:line="79" w:lineRule="exact"/>
        <w:rPr>
          <w:sz w:val="20"/>
          <w:szCs w:val="20"/>
          <w:color w:val="auto"/>
        </w:rPr>
      </w:pPr>
    </w:p>
    <w:p>
      <w:pPr>
        <w:ind w:left="960" w:right="20" w:hanging="424"/>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Kuwait, Schlumberger applied a fit-for-purpose combination of technologies for Kuwait Oil Company that unlocked resource potential of the northern area in Burgan Field. A bespoke new workflow using unique technologies was created to deliver a thin-bed evaluation across these formations. Advanced high-resolution petrophysics evaluation successfully confirmed oil production, which was then validated through quality samples along with reservoir productivity understanding using the Saturn* 3D radial probe.</w:t>
      </w:r>
    </w:p>
    <w:p>
      <w:pPr>
        <w:spacing w:after="0" w:line="81" w:lineRule="exact"/>
        <w:rPr>
          <w:rFonts w:ascii="Arial" w:cs="Arial" w:eastAsia="Arial" w:hAnsi="Arial"/>
          <w:sz w:val="18"/>
          <w:szCs w:val="18"/>
          <w:color w:val="auto"/>
        </w:rPr>
      </w:pPr>
    </w:p>
    <w:p>
      <w:pPr>
        <w:ind w:left="960" w:right="60" w:hanging="424"/>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Indonesia, Schlumberger used its novel EverCRETE* CO</w:t>
      </w:r>
      <w:r>
        <w:rPr>
          <w:rFonts w:ascii="Arial" w:cs="Arial" w:eastAsia="Arial" w:hAnsi="Arial"/>
          <w:sz w:val="13"/>
          <w:szCs w:val="13"/>
          <w:color w:val="auto"/>
        </w:rPr>
        <w:t>2</w:t>
      </w:r>
      <w:r>
        <w:rPr>
          <w:rFonts w:ascii="Arial" w:cs="Arial" w:eastAsia="Arial" w:hAnsi="Arial"/>
          <w:sz w:val="18"/>
          <w:szCs w:val="18"/>
          <w:color w:val="auto"/>
        </w:rPr>
        <w:t>-resistant cement system for Harbour Energy to maintain long-term well integrity in a deepwater exploration well with high CO</w:t>
      </w:r>
      <w:r>
        <w:rPr>
          <w:rFonts w:ascii="Arial" w:cs="Arial" w:eastAsia="Arial" w:hAnsi="Arial"/>
          <w:sz w:val="13"/>
          <w:szCs w:val="13"/>
          <w:color w:val="auto"/>
        </w:rPr>
        <w:t>2</w:t>
      </w:r>
      <w:r>
        <w:rPr>
          <w:rFonts w:ascii="Arial" w:cs="Arial" w:eastAsia="Arial" w:hAnsi="Arial"/>
          <w:sz w:val="18"/>
          <w:szCs w:val="18"/>
          <w:color w:val="auto"/>
        </w:rPr>
        <w:t xml:space="preserve"> content at water depth of around 4,200 ft. With a self-healing matrix that is reactive to CO</w:t>
      </w:r>
      <w:r>
        <w:rPr>
          <w:rFonts w:ascii="Arial" w:cs="Arial" w:eastAsia="Arial" w:hAnsi="Arial"/>
          <w:sz w:val="13"/>
          <w:szCs w:val="13"/>
          <w:color w:val="auto"/>
        </w:rPr>
        <w:t>2</w:t>
      </w:r>
      <w:r>
        <w:rPr>
          <w:rFonts w:ascii="Arial" w:cs="Arial" w:eastAsia="Arial" w:hAnsi="Arial"/>
          <w:sz w:val="18"/>
          <w:szCs w:val="18"/>
          <w:color w:val="auto"/>
        </w:rPr>
        <w:t xml:space="preserve"> exposure, the EverCRETE system also reduces potential remedial work in the case of a leak path developing. The use of the system for Harbour Energy reduced the project’s CO</w:t>
      </w:r>
      <w:r>
        <w:rPr>
          <w:rFonts w:ascii="Arial" w:cs="Arial" w:eastAsia="Arial" w:hAnsi="Arial"/>
          <w:sz w:val="13"/>
          <w:szCs w:val="13"/>
          <w:color w:val="auto"/>
        </w:rPr>
        <w:t>2</w:t>
      </w:r>
      <w:r>
        <w:rPr>
          <w:rFonts w:ascii="Arial" w:cs="Arial" w:eastAsia="Arial" w:hAnsi="Arial"/>
          <w:sz w:val="18"/>
          <w:szCs w:val="18"/>
          <w:color w:val="auto"/>
        </w:rPr>
        <w:t xml:space="preserve"> footprint by 63% when compared with traditional cement systems.</w:t>
      </w:r>
    </w:p>
    <w:p>
      <w:pPr>
        <w:spacing w:after="0" w:line="176"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In new energy technologies, Schlumberger is uniquely positioned to apply its domain expertise and experience in technology industrialization to be a leader in the energy transition at large. We continue to build partnerships across various industries to develop clean energy solutions.</w:t>
      </w:r>
    </w:p>
    <w:p>
      <w:pPr>
        <w:spacing w:after="0" w:line="74" w:lineRule="exact"/>
        <w:rPr>
          <w:sz w:val="20"/>
          <w:szCs w:val="20"/>
          <w:color w:val="auto"/>
        </w:rPr>
      </w:pPr>
    </w:p>
    <w:p>
      <w:pPr>
        <w:ind w:left="960" w:hanging="424"/>
        <w:spacing w:after="0" w:line="24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Schlumberger New Energy business has secured an investment in ZEG Power to scale up the ZEG ICC™ technology for clean hydrogen production from hydrocarbon gas. The ZEG ICC technology is based on sorbent enhanced reforming and was originally developed at the Institute for Energy Technology (IFE) in Norway. The first commercial ZEG plant will be installed by year-end 2022 and put into operation in 2023 at CCB Energy Park at Kollsnes, Norway, adjacent to the planned Northern Lights CO</w:t>
      </w:r>
      <w:r>
        <w:rPr>
          <w:rFonts w:ascii="Arial" w:cs="Arial" w:eastAsia="Arial" w:hAnsi="Arial"/>
          <w:sz w:val="13"/>
          <w:szCs w:val="13"/>
          <w:color w:val="auto"/>
        </w:rPr>
        <w:t>2</w:t>
      </w:r>
      <w:r>
        <w:rPr>
          <w:rFonts w:ascii="Arial" w:cs="Arial" w:eastAsia="Arial" w:hAnsi="Arial"/>
          <w:sz w:val="18"/>
          <w:szCs w:val="18"/>
          <w:color w:val="auto"/>
        </w:rPr>
        <w:t xml:space="preserve"> storage infrastructure.</w:t>
      </w:r>
    </w:p>
    <w:p>
      <w:pPr>
        <w:spacing w:after="0" w:line="81" w:lineRule="exact"/>
        <w:rPr>
          <w:rFonts w:ascii="Arial" w:cs="Arial" w:eastAsia="Arial" w:hAnsi="Arial"/>
          <w:sz w:val="18"/>
          <w:szCs w:val="18"/>
          <w:color w:val="auto"/>
        </w:rPr>
      </w:pPr>
    </w:p>
    <w:p>
      <w:pPr>
        <w:ind w:left="960" w:right="10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its portfolio of CO</w:t>
      </w:r>
      <w:r>
        <w:rPr>
          <w:rFonts w:ascii="Arial" w:cs="Arial" w:eastAsia="Arial" w:hAnsi="Arial"/>
          <w:sz w:val="13"/>
          <w:szCs w:val="13"/>
          <w:color w:val="auto"/>
        </w:rPr>
        <w:t>2</w:t>
      </w:r>
      <w:r>
        <w:rPr>
          <w:rFonts w:ascii="Arial" w:cs="Arial" w:eastAsia="Arial" w:hAnsi="Arial"/>
          <w:sz w:val="18"/>
          <w:szCs w:val="18"/>
          <w:color w:val="auto"/>
        </w:rPr>
        <w:t xml:space="preserve"> capture technologies, Schlumberger’s New Energy business has entered into an agreement with RTI International to accelerate the industrialization and scale-up of its proprietary nonaqueous solvent (NAS) technology for CO</w:t>
      </w:r>
      <w:r>
        <w:rPr>
          <w:rFonts w:ascii="Arial" w:cs="Arial" w:eastAsia="Arial" w:hAnsi="Arial"/>
          <w:sz w:val="13"/>
          <w:szCs w:val="13"/>
          <w:color w:val="auto"/>
        </w:rPr>
        <w:t>2</w:t>
      </w:r>
      <w:r>
        <w:rPr>
          <w:rFonts w:ascii="Arial" w:cs="Arial" w:eastAsia="Arial" w:hAnsi="Arial"/>
          <w:sz w:val="18"/>
          <w:szCs w:val="18"/>
          <w:color w:val="auto"/>
        </w:rPr>
        <w:t xml:space="preserve"> capture. The NAS technology is applicable to a broad variety of industrial emissions, including the hard-to-abate emissions from steel and cement industries and emissions from power generation. This next-generation absorption technology enables higher carbon capture efficiency while consuming less energy compared to conventional solvents, resulting in a significant reduction in operating costs and enhancing CCUS project economics. RTI and Schlumberger will collaborate to develop models that enable fast design and process customization to achieve a step-change in CO</w:t>
      </w:r>
      <w:r>
        <w:rPr>
          <w:rFonts w:ascii="Arial" w:cs="Arial" w:eastAsia="Arial" w:hAnsi="Arial"/>
          <w:sz w:val="13"/>
          <w:szCs w:val="13"/>
          <w:color w:val="auto"/>
        </w:rPr>
        <w:t>2</w:t>
      </w:r>
      <w:r>
        <w:rPr>
          <w:rFonts w:ascii="Arial" w:cs="Arial" w:eastAsia="Arial" w:hAnsi="Arial"/>
          <w:sz w:val="18"/>
          <w:szCs w:val="18"/>
          <w:color w:val="auto"/>
        </w:rPr>
        <w:t xml:space="preserve"> capture operations while leveraging Schlumberger’s global footprint to expand market opportunities for the technology.</w:t>
      </w:r>
    </w:p>
    <w:p>
      <w:pPr>
        <w:spacing w:after="0" w:line="85" w:lineRule="exact"/>
        <w:rPr>
          <w:rFonts w:ascii="Arial" w:cs="Arial" w:eastAsia="Arial" w:hAnsi="Arial"/>
          <w:sz w:val="18"/>
          <w:szCs w:val="18"/>
          <w:color w:val="auto"/>
        </w:rPr>
      </w:pPr>
    </w:p>
    <w:p>
      <w:pPr>
        <w:ind w:left="960" w:right="20" w:hanging="424"/>
        <w:spacing w:after="0" w:line="23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mobilization of equipment began for the NeoLith Energy pilot plant in Clayton Valley, Nevada, Schlumberger’s New Energy business expanded its partnership with Gradiant, a global water solutions provider, to introduce a key sustainable technology into the production process for battery-grade lithium compounds. As part of Schlumberger’s NeoLith Energy direct lithium extraction and production flowsheet, Gradiant technology is used to concentrate the lithium solution and generate freshwater —a critical element in sustainable lithium production from brine. This collaboration will enable the lithium industry to meet surging mineral demand with a previously unattainable level of water utilization, by simultaneously lowering the consumption of freshwater and reducing wastewater. This technology integration can be applied to new lithium mineral extraction and production sites, opening opportunities to untapped lithium production regions, as well as existing lithium production operations.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69"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Condensed Consolidated Statement of Income</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000" w:type="dxa"/>
            <w:vAlign w:val="bottom"/>
            <w:gridSpan w:val="14"/>
          </w:tcPr>
          <w:p>
            <w:pPr>
              <w:ind w:lef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8020" w:type="dxa"/>
            <w:vAlign w:val="bottom"/>
            <w:gridSpan w:val="2"/>
            <w:vMerge w:val="restart"/>
          </w:tcPr>
          <w:p>
            <w:pPr>
              <w:spacing w:after="0"/>
              <w:rPr>
                <w:sz w:val="20"/>
                <w:szCs w:val="20"/>
                <w:color w:val="auto"/>
              </w:rPr>
            </w:pPr>
            <w:r>
              <w:rPr>
                <w:rFonts w:ascii="Arial" w:cs="Arial" w:eastAsia="Arial" w:hAnsi="Arial"/>
                <w:sz w:val="14"/>
                <w:szCs w:val="14"/>
                <w:color w:val="auto"/>
              </w:rPr>
              <w:t>Periods Ended September 30,</w:t>
            </w:r>
          </w:p>
        </w:tc>
        <w:tc>
          <w:tcPr>
            <w:tcW w:w="100" w:type="dxa"/>
            <w:vAlign w:val="bottom"/>
          </w:tcPr>
          <w:p>
            <w:pPr>
              <w:spacing w:after="0"/>
              <w:rPr>
                <w:sz w:val="14"/>
                <w:szCs w:val="14"/>
                <w:color w:val="auto"/>
              </w:rPr>
            </w:pPr>
          </w:p>
        </w:tc>
        <w:tc>
          <w:tcPr>
            <w:tcW w:w="1360" w:type="dxa"/>
            <w:vAlign w:val="bottom"/>
            <w:gridSpan w:val="6"/>
          </w:tcPr>
          <w:p>
            <w:pPr>
              <w:ind w:left="120"/>
              <w:spacing w:after="0"/>
              <w:rPr>
                <w:sz w:val="20"/>
                <w:szCs w:val="20"/>
                <w:color w:val="auto"/>
              </w:rPr>
            </w:pPr>
            <w:r>
              <w:rPr>
                <w:rFonts w:ascii="Arial" w:cs="Arial" w:eastAsia="Arial" w:hAnsi="Arial"/>
                <w:sz w:val="14"/>
                <w:szCs w:val="14"/>
                <w:color w:val="auto"/>
              </w:rPr>
              <w:t>Third Quarter</w:t>
            </w:r>
          </w:p>
        </w:tc>
        <w:tc>
          <w:tcPr>
            <w:tcW w:w="100" w:type="dxa"/>
            <w:vAlign w:val="bottom"/>
          </w:tcPr>
          <w:p>
            <w:pPr>
              <w:spacing w:after="0"/>
              <w:rPr>
                <w:sz w:val="14"/>
                <w:szCs w:val="14"/>
                <w:color w:val="auto"/>
              </w:rPr>
            </w:pPr>
          </w:p>
        </w:tc>
        <w:tc>
          <w:tcPr>
            <w:tcW w:w="1440" w:type="dxa"/>
            <w:vAlign w:val="bottom"/>
            <w:gridSpan w:val="6"/>
          </w:tcPr>
          <w:p>
            <w:pPr>
              <w:ind w:left="24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62"/>
        </w:trPr>
        <w:tc>
          <w:tcPr>
            <w:tcW w:w="8020" w:type="dxa"/>
            <w:vAlign w:val="bottom"/>
            <w:gridSpan w:val="2"/>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2021</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6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7,477</w:t>
            </w: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5,847</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20,213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16,704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6,042</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4,862</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16,623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14,135</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2"/>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122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215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Schlumberger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Schlumberger </w:t>
            </w:r>
            <w:r>
              <w:rPr>
                <w:rFonts w:ascii="Arial" w:cs="Arial" w:eastAsia="Arial" w:hAnsi="Arial"/>
                <w:sz w:val="22"/>
                <w:szCs w:val="22"/>
                <w:color w:val="auto"/>
                <w:vertAlign w:val="superscript"/>
              </w:rPr>
              <w:t>(1)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0.63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1.65</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90</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1,402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1,439</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1,424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Depreciation &amp; amortization included in expenses </w:t>
            </w:r>
            <w:r>
              <w:rPr>
                <w:rFonts w:ascii="Arial" w:cs="Arial" w:eastAsia="Arial" w:hAnsi="Arial"/>
                <w:sz w:val="24"/>
                <w:szCs w:val="24"/>
                <w:color w:val="auto"/>
                <w:vertAlign w:val="superscript"/>
              </w:rPr>
              <w:t>(2)</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right="580" w:hanging="424"/>
        <w:spacing w:after="0" w:line="196"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Includes depreciation of property, plant, and equipment and amortization of intangible assets, exploration data costs, and APS investments.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58" w:right="439" w:bottom="1440" w:gutter="0" w:footer="0" w:header="0"/>
        </w:sectPr>
      </w:pPr>
    </w:p>
    <w:bookmarkStart w:id="17" w:name="page18"/>
    <w:bookmarkEnd w:id="1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left="52"/>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540" w:type="dxa"/>
            <w:vAlign w:val="bottom"/>
            <w:vMerge w:val="restart"/>
          </w:tcPr>
          <w:p>
            <w:pPr>
              <w:spacing w:after="0"/>
              <w:rPr>
                <w:sz w:val="20"/>
                <w:szCs w:val="20"/>
                <w:color w:val="auto"/>
              </w:rPr>
            </w:pPr>
            <w:r>
              <w:rPr>
                <w:rFonts w:ascii="Arial" w:cs="Arial" w:eastAsia="Arial" w:hAnsi="Arial"/>
                <w:sz w:val="18"/>
                <w:szCs w:val="18"/>
                <w:color w:val="auto"/>
                <w:w w:val="96"/>
              </w:rPr>
              <w:t>Assets</w:t>
            </w:r>
          </w:p>
        </w:tc>
        <w:tc>
          <w:tcPr>
            <w:tcW w:w="4720" w:type="dxa"/>
            <w:vAlign w:val="bottom"/>
            <w:gridSpan w:val="2"/>
            <w:vMerge w:val="restart"/>
          </w:tcPr>
          <w:p>
            <w:pPr>
              <w:spacing w:after="0"/>
              <w:rPr>
                <w:sz w:val="14"/>
                <w:szCs w:val="14"/>
                <w:color w:val="auto"/>
              </w:rPr>
            </w:pPr>
          </w:p>
        </w:tc>
        <w:tc>
          <w:tcPr>
            <w:tcW w:w="42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720" w:type="dxa"/>
            <w:vAlign w:val="bottom"/>
            <w:gridSpan w:val="2"/>
            <w:vMerge w:val="continue"/>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2"/>
              <w:spacing w:after="0" w:line="158"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4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4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3,609</w:t>
            </w:r>
          </w:p>
        </w:tc>
        <w:tc>
          <w:tcPr>
            <w:tcW w:w="1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6,650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03"/>
        </w:trPr>
        <w:tc>
          <w:tcPr>
            <w:tcW w:w="52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Inventories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4,143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1,209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15,611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1,762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Fixed assets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6,407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12,990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12,990</w:t>
            </w: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3,043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4,280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44,093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Liabilities and Equity</w:t>
            </w:r>
          </w:p>
        </w:tc>
        <w:tc>
          <w:tcPr>
            <w:tcW w:w="3620" w:type="dxa"/>
            <w:vAlign w:val="bottom"/>
            <w:tcBorders>
              <w:bottom w:val="single" w:sz="8" w:color="CCEEFF"/>
            </w:tcBorders>
            <w:shd w:val="clear" w:color="auto" w:fill="CCEEFF"/>
          </w:tcPr>
          <w:p>
            <w:pPr>
              <w:spacing w:after="0"/>
              <w:rPr>
                <w:sz w:val="17"/>
                <w:szCs w:val="17"/>
                <w:color w:val="auto"/>
              </w:rPr>
            </w:pPr>
          </w:p>
        </w:tc>
        <w:tc>
          <w:tcPr>
            <w:tcW w:w="4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gridSpan w:val="3"/>
          </w:tcPr>
          <w:p>
            <w:pPr>
              <w:spacing w:after="0" w:line="196" w:lineRule="exact"/>
              <w:rPr>
                <w:sz w:val="20"/>
                <w:szCs w:val="20"/>
                <w:color w:val="auto"/>
              </w:rPr>
            </w:pPr>
            <w:r>
              <w:rPr>
                <w:rFonts w:ascii="Arial" w:cs="Arial" w:eastAsia="Arial" w:hAnsi="Arial"/>
                <w:sz w:val="18"/>
                <w:szCs w:val="18"/>
                <w:color w:val="auto"/>
              </w:rPr>
              <w:t>Current Liabilities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4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9,034</w:t>
            </w:r>
          </w:p>
        </w:tc>
        <w:tc>
          <w:tcPr>
            <w:tcW w:w="1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03"/>
        </w:trPr>
        <w:tc>
          <w:tcPr>
            <w:tcW w:w="52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938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899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9"/>
        </w:trPr>
        <w:tc>
          <w:tcPr>
            <w:tcW w:w="52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4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11,134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10,359</w:t>
            </w: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Long-term debt</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12,452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13,286</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9"/>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Other liabilities</w:t>
            </w:r>
          </w:p>
        </w:tc>
        <w:tc>
          <w:tcPr>
            <w:tcW w:w="4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2,763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26,582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26,225</w:t>
            </w:r>
          </w:p>
        </w:tc>
        <w:tc>
          <w:tcPr>
            <w:tcW w:w="0" w:type="dxa"/>
            <w:vAlign w:val="bottom"/>
          </w:tcPr>
          <w:p>
            <w:pPr>
              <w:spacing w:after="0"/>
              <w:rPr>
                <w:sz w:val="1"/>
                <w:szCs w:val="1"/>
                <w:color w:val="auto"/>
              </w:rPr>
            </w:pPr>
          </w:p>
        </w:tc>
      </w:tr>
      <w:tr>
        <w:trPr>
          <w:trHeight w:val="210"/>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Equity</w:t>
            </w:r>
          </w:p>
        </w:tc>
        <w:tc>
          <w:tcPr>
            <w:tcW w:w="4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8"/>
              </w:rPr>
              <w:t>17,511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44,093</w:t>
            </w:r>
          </w:p>
        </w:tc>
        <w:tc>
          <w:tcPr>
            <w:tcW w:w="1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9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41,511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20" w:type="dxa"/>
            <w:vAlign w:val="bottom"/>
            <w:vMerge w:val="restart"/>
          </w:tcPr>
          <w:p>
            <w:pPr>
              <w:jc w:val="right"/>
              <w:ind w:right="379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8"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8"/>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440" w:type="dxa"/>
            <w:vAlign w:val="bottom"/>
            <w:vMerge w:val="restart"/>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Components of Liquidity</w:t>
            </w:r>
          </w:p>
        </w:tc>
        <w:tc>
          <w:tcPr>
            <w:tcW w:w="4320" w:type="dxa"/>
            <w:vAlign w:val="bottom"/>
            <w:gridSpan w:val="2"/>
            <w:vMerge w:val="restart"/>
          </w:tcPr>
          <w:p>
            <w:pPr>
              <w:spacing w:after="0"/>
              <w:rPr>
                <w:sz w:val="14"/>
                <w:szCs w:val="14"/>
                <w:color w:val="auto"/>
              </w:rPr>
            </w:pPr>
          </w:p>
        </w:tc>
        <w:tc>
          <w:tcPr>
            <w:tcW w:w="880" w:type="dxa"/>
            <w:vAlign w:val="bottom"/>
            <w:gridSpan w:val="4"/>
          </w:tcPr>
          <w:p>
            <w:pPr>
              <w:jc w:val="right"/>
              <w:ind w:right="150"/>
              <w:spacing w:after="0"/>
              <w:rPr>
                <w:sz w:val="20"/>
                <w:szCs w:val="20"/>
                <w:color w:val="auto"/>
              </w:rPr>
            </w:pPr>
            <w:r>
              <w:rPr>
                <w:rFonts w:ascii="Arial" w:cs="Arial" w:eastAsia="Arial" w:hAnsi="Arial"/>
                <w:sz w:val="14"/>
                <w:szCs w:val="14"/>
                <w:color w:val="auto"/>
              </w:rPr>
              <w:t>Sept. 30,</w:t>
            </w:r>
          </w:p>
        </w:tc>
        <w:tc>
          <w:tcPr>
            <w:tcW w:w="24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Jun.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Sept.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5"/>
          </w:tcPr>
          <w:p>
            <w:pPr>
              <w:ind w:left="10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4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3"/>
              <w:spacing w:after="0" w:line="158" w:lineRule="exact"/>
              <w:rPr>
                <w:sz w:val="20"/>
                <w:szCs w:val="20"/>
                <w:color w:val="auto"/>
              </w:rPr>
            </w:pPr>
            <w:r>
              <w:rPr>
                <w:rFonts w:ascii="Arial" w:cs="Arial" w:eastAsia="Arial" w:hAnsi="Arial"/>
                <w:sz w:val="14"/>
                <w:szCs w:val="14"/>
                <w:color w:val="auto"/>
              </w:rPr>
              <w:t>2022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right"/>
              <w:ind w:right="200"/>
              <w:spacing w:after="0" w:line="158" w:lineRule="exact"/>
              <w:rPr>
                <w:sz w:val="20"/>
                <w:szCs w:val="20"/>
                <w:color w:val="auto"/>
              </w:rPr>
            </w:pPr>
            <w:r>
              <w:rPr>
                <w:rFonts w:ascii="Arial" w:cs="Arial" w:eastAsia="Arial" w:hAnsi="Arial"/>
                <w:sz w:val="14"/>
                <w:szCs w:val="14"/>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88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3,609</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2,816</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  2,942</w:t>
            </w: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3,139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880" w:type="dxa"/>
            <w:vAlign w:val="bottom"/>
            <w:gridSpan w:val="4"/>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7"/>
                <w:szCs w:val="17"/>
                <w:color w:val="auto"/>
              </w:rPr>
            </w:pPr>
          </w:p>
        </w:tc>
        <w:tc>
          <w:tcPr>
            <w:tcW w:w="780" w:type="dxa"/>
            <w:vAlign w:val="bottom"/>
            <w:gridSpan w:val="3"/>
          </w:tcPr>
          <w:p>
            <w:pPr>
              <w:jc w:val="right"/>
              <w:ind w:right="10"/>
              <w:spacing w:after="0" w:line="202" w:lineRule="exact"/>
              <w:rPr>
                <w:sz w:val="20"/>
                <w:szCs w:val="20"/>
                <w:color w:val="auto"/>
              </w:rPr>
            </w:pPr>
            <w:r>
              <w:rPr>
                <w:rFonts w:ascii="Arial" w:cs="Arial" w:eastAsia="Arial" w:hAnsi="Arial"/>
                <w:sz w:val="18"/>
                <w:szCs w:val="18"/>
                <w:b w:val="1"/>
                <w:bCs w:val="1"/>
                <w:color w:val="auto"/>
              </w:rPr>
              <w:t>(899)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(901)</w:t>
            </w:r>
          </w:p>
        </w:tc>
        <w:tc>
          <w:tcPr>
            <w:tcW w:w="10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(1,025)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8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w w:val="98"/>
              </w:rPr>
              <w:t>(12,452)</w:t>
            </w:r>
          </w:p>
        </w:tc>
        <w:tc>
          <w:tcPr>
            <w:tcW w:w="110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(12,946)</w:t>
            </w:r>
          </w:p>
        </w:tc>
        <w:tc>
          <w:tcPr>
            <w:tcW w:w="10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(14,370)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(13,286)</w:t>
            </w:r>
          </w:p>
        </w:tc>
        <w:tc>
          <w:tcPr>
            <w:tcW w:w="0" w:type="dxa"/>
            <w:vAlign w:val="bottom"/>
          </w:tcPr>
          <w:p>
            <w:pPr>
              <w:spacing w:after="0"/>
              <w:rPr>
                <w:sz w:val="1"/>
                <w:szCs w:val="1"/>
                <w:color w:val="auto"/>
              </w:rPr>
            </w:pPr>
          </w:p>
        </w:tc>
      </w:tr>
      <w:tr>
        <w:trPr>
          <w:trHeight w:val="210"/>
        </w:trPr>
        <w:tc>
          <w:tcPr>
            <w:tcW w:w="6320" w:type="dxa"/>
            <w:vAlign w:val="bottom"/>
            <w:gridSpan w:val="5"/>
          </w:tcPr>
          <w:p>
            <w:pPr>
              <w:ind w:left="440"/>
              <w:spacing w:after="0" w:line="21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(9,742</w:t>
            </w:r>
          </w:p>
        </w:tc>
        <w:tc>
          <w:tcPr>
            <w:tcW w:w="1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(11,031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(12,453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(11,056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20" w:type="dxa"/>
            <w:vAlign w:val="bottom"/>
            <w:gridSpan w:val="5"/>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32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Nine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w w:val="97"/>
              </w:rPr>
              <w:t>Nine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440" w:type="dxa"/>
            <w:vAlign w:val="bottom"/>
            <w:vMerge w:val="restart"/>
          </w:tcPr>
          <w:p>
            <w:pPr>
              <w:spacing w:after="0"/>
              <w:rPr>
                <w:sz w:val="15"/>
                <w:szCs w:val="15"/>
                <w:color w:val="auto"/>
              </w:rPr>
            </w:pPr>
          </w:p>
        </w:tc>
        <w:tc>
          <w:tcPr>
            <w:tcW w:w="1940" w:type="dxa"/>
            <w:vAlign w:val="bottom"/>
            <w:gridSpan w:val="2"/>
            <w:vMerge w:val="restart"/>
          </w:tcPr>
          <w:p>
            <w:pPr>
              <w:spacing w:after="0"/>
              <w:rPr>
                <w:sz w:val="20"/>
                <w:szCs w:val="20"/>
                <w:color w:val="auto"/>
              </w:rPr>
            </w:pPr>
            <w:r>
              <w:rPr>
                <w:rFonts w:ascii="Arial" w:cs="Arial" w:eastAsia="Arial" w:hAnsi="Arial"/>
                <w:sz w:val="14"/>
                <w:szCs w:val="14"/>
                <w:color w:val="auto"/>
              </w:rPr>
              <w:t>Periods Ended September 30,</w:t>
            </w:r>
          </w:p>
        </w:tc>
        <w:tc>
          <w:tcPr>
            <w:tcW w:w="35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6"/>
          </w:tcPr>
          <w:p>
            <w:pPr>
              <w:jc w:val="center"/>
              <w:ind w:right="581"/>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940" w:type="dxa"/>
            <w:vAlign w:val="bottom"/>
            <w:tcBorders>
              <w:bottom w:val="single" w:sz="8" w:color="auto"/>
            </w:tcBorders>
            <w:gridSpan w:val="2"/>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13"/>
              <w:spacing w:after="0" w:line="158"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center"/>
              <w:spacing w:after="0" w:line="158" w:lineRule="exact"/>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2,410</w:t>
            </w:r>
          </w:p>
        </w:tc>
        <w:tc>
          <w:tcPr>
            <w:tcW w:w="3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920</w:t>
            </w: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1,317</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320"/>
              <w:spacing w:after="0" w:line="202" w:lineRule="exact"/>
              <w:rPr>
                <w:sz w:val="20"/>
                <w:szCs w:val="20"/>
                <w:color w:val="auto"/>
              </w:rPr>
            </w:pPr>
            <w:r>
              <w:rPr>
                <w:rFonts w:ascii="Arial" w:cs="Arial" w:eastAsia="Arial" w:hAnsi="Arial"/>
                <w:sz w:val="18"/>
                <w:szCs w:val="18"/>
                <w:b w:val="1"/>
                <w:bCs w:val="1"/>
                <w:color w:val="auto"/>
              </w:rPr>
              <w:t>(265)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2,145</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920</w:t>
            </w:r>
          </w:p>
        </w:tc>
        <w:tc>
          <w:tcPr>
            <w:tcW w:w="3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1,598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533</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1,588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236</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w:t>
            </w:r>
          </w:p>
        </w:tc>
        <w:tc>
          <w:tcPr>
            <w:tcW w:w="3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right"/>
              <w:ind w:right="320"/>
              <w:spacing w:after="0" w:line="202" w:lineRule="exact"/>
              <w:rPr>
                <w:sz w:val="20"/>
                <w:szCs w:val="20"/>
                <w:color w:val="auto"/>
              </w:rPr>
            </w:pPr>
            <w:r>
              <w:rPr>
                <w:rFonts w:ascii="Arial" w:cs="Arial" w:eastAsia="Arial" w:hAnsi="Arial"/>
                <w:sz w:val="18"/>
                <w:szCs w:val="18"/>
                <w:b w:val="1"/>
                <w:bCs w:val="1"/>
                <w:color w:val="auto"/>
              </w:rPr>
              <w:t>(1,814)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(798)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US federal tax refund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320"/>
              <w:spacing w:after="0" w:line="202" w:lineRule="exact"/>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Cash flow from operations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2,106</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1,567</w:t>
            </w:r>
          </w:p>
        </w:tc>
        <w:tc>
          <w:tcPr>
            <w:tcW w:w="3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80" w:type="dxa"/>
            <w:vAlign w:val="bottom"/>
            <w:gridSpan w:val="4"/>
          </w:tcPr>
          <w:p>
            <w:pPr>
              <w:ind w:left="4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(1,046)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APS investments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(420)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(109)</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320"/>
              <w:spacing w:after="0" w:line="202" w:lineRule="exact"/>
              <w:rPr>
                <w:sz w:val="20"/>
                <w:szCs w:val="20"/>
                <w:color w:val="auto"/>
              </w:rPr>
            </w:pPr>
            <w:r>
              <w:rPr>
                <w:rFonts w:ascii="Arial" w:cs="Arial" w:eastAsia="Arial" w:hAnsi="Arial"/>
                <w:sz w:val="18"/>
                <w:szCs w:val="18"/>
                <w:b w:val="1"/>
                <w:bCs w:val="1"/>
                <w:color w:val="auto"/>
              </w:rPr>
              <w:t>(77)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563</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1,063</w:t>
            </w:r>
          </w:p>
        </w:tc>
        <w:tc>
          <w:tcPr>
            <w:tcW w:w="3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80" w:type="dxa"/>
            <w:vAlign w:val="bottom"/>
            <w:gridSpan w:val="4"/>
          </w:tcPr>
          <w:p>
            <w:pPr>
              <w:ind w:left="44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(600)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w:t>
            </w:r>
          </w:p>
        </w:tc>
        <w:tc>
          <w:tcPr>
            <w:tcW w:w="3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40" w:type="dxa"/>
            <w:vAlign w:val="bottom"/>
            <w:gridSpan w:val="3"/>
          </w:tcPr>
          <w:p>
            <w:pPr>
              <w:spacing w:after="0" w:line="183" w:lineRule="exact"/>
              <w:rPr>
                <w:sz w:val="20"/>
                <w:szCs w:val="20"/>
                <w:color w:val="auto"/>
              </w:rPr>
            </w:pPr>
            <w:r>
              <w:rPr>
                <w:rFonts w:ascii="Arial" w:cs="Arial" w:eastAsia="Arial" w:hAnsi="Arial"/>
                <w:sz w:val="18"/>
                <w:szCs w:val="18"/>
                <w:color w:val="auto"/>
              </w:rPr>
              <w:t>Business acquisitions and investments, net of cash acquired plus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40" w:type="dxa"/>
            <w:vAlign w:val="bottom"/>
            <w:gridSpan w:val="3"/>
          </w:tcPr>
          <w:p>
            <w:pPr>
              <w:ind w:left="180"/>
              <w:spacing w:after="0"/>
              <w:rPr>
                <w:sz w:val="20"/>
                <w:szCs w:val="20"/>
                <w:color w:val="auto"/>
              </w:rPr>
            </w:pPr>
            <w:r>
              <w:rPr>
                <w:rFonts w:ascii="Arial" w:cs="Arial" w:eastAsia="Arial" w:hAnsi="Arial"/>
                <w:sz w:val="18"/>
                <w:szCs w:val="18"/>
                <w:color w:val="auto"/>
              </w:rPr>
              <w:t>debt assumed</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513</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120</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(92)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320"/>
              <w:spacing w:after="0" w:line="202" w:lineRule="exact"/>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4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Decrease in net debt before impact of changes in foreign</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4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exchange rates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3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rPr>
              <w:t>802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472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Decrease in Net Debt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1,314</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1,289</w:t>
            </w:r>
          </w:p>
        </w:tc>
        <w:tc>
          <w:tcPr>
            <w:tcW w:w="3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3"/>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right"/>
              <w:ind w:right="320"/>
              <w:spacing w:after="0" w:line="202" w:lineRule="exact"/>
              <w:rPr>
                <w:sz w:val="20"/>
                <w:szCs w:val="20"/>
                <w:color w:val="auto"/>
              </w:rPr>
            </w:pPr>
            <w:r>
              <w:rPr>
                <w:rFonts w:ascii="Arial" w:cs="Arial" w:eastAsia="Arial" w:hAnsi="Arial"/>
                <w:sz w:val="18"/>
                <w:szCs w:val="18"/>
                <w:b w:val="1"/>
                <w:bCs w:val="1"/>
                <w:color w:val="auto"/>
                <w:w w:val="95"/>
              </w:rPr>
              <w:t>(11,056)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w w:val="95"/>
              </w:rPr>
              <w:t>(11,031)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w w:val="98"/>
              </w:rPr>
              <w:t>(13,880)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Debt, end of period</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(9,742)</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(9,742)</w:t>
            </w:r>
          </w:p>
        </w:tc>
        <w:tc>
          <w:tcPr>
            <w:tcW w:w="900" w:type="dxa"/>
            <w:vAlign w:val="bottom"/>
            <w:gridSpan w:val="6"/>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(12,453)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07"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24" w:hanging="424"/>
        <w:spacing w:after="0" w:line="183" w:lineRule="auto"/>
        <w:tabs>
          <w:tab w:leader="none" w:pos="424"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right="520" w:hanging="424"/>
        <w:spacing w:after="0" w:line="187"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Includes depreciation of property, plant, and equipment and amortization of intangible assets, exploration data costs, and APS investments.</w:t>
      </w:r>
    </w:p>
    <w:p>
      <w:pPr>
        <w:spacing w:after="0" w:line="1" w:lineRule="exact"/>
        <w:rPr>
          <w:rFonts w:ascii="Arial" w:cs="Arial" w:eastAsia="Arial" w:hAnsi="Arial"/>
          <w:sz w:val="27"/>
          <w:szCs w:val="27"/>
          <w:color w:val="auto"/>
          <w:vertAlign w:val="superscript"/>
        </w:rPr>
      </w:pPr>
    </w:p>
    <w:p>
      <w:pPr>
        <w:ind w:left="424" w:right="240" w:hanging="424"/>
        <w:spacing w:after="0" w:line="187"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Includes severance payments of $60 million and $22 million during the nine months and third quarter ended September 30, 2022, respectively; and $226 million and $42 million during the nine months and third quarter ended September 30, 2021, respectively.</w:t>
      </w:r>
    </w:p>
    <w:p>
      <w:pPr>
        <w:spacing w:after="0" w:line="1" w:lineRule="exact"/>
        <w:rPr>
          <w:rFonts w:ascii="Arial" w:cs="Arial" w:eastAsia="Arial" w:hAnsi="Arial"/>
          <w:sz w:val="27"/>
          <w:szCs w:val="27"/>
          <w:color w:val="auto"/>
          <w:vertAlign w:val="superscript"/>
        </w:rPr>
      </w:pPr>
    </w:p>
    <w:p>
      <w:pPr>
        <w:ind w:left="424" w:right="20" w:hanging="424"/>
        <w:spacing w:after="0" w:line="221"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58" w:right="499" w:bottom="1440" w:gutter="0" w:footer="0" w:header="0"/>
        </w:sectPr>
      </w:pPr>
    </w:p>
    <w:bookmarkStart w:id="19" w:name="page20"/>
    <w:bookmarkEnd w:id="19"/>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29" w:lineRule="exact"/>
        <w:rPr>
          <w:sz w:val="20"/>
          <w:szCs w:val="20"/>
          <w:color w:val="auto"/>
        </w:rPr>
      </w:pPr>
    </w:p>
    <w:p>
      <w:pPr>
        <w:ind w:left="4"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third-quarter 2022 earnings release also includes non-GAAP financial measures (as defined under the SEC’s Regulation G). In addition to the non-GAAP financial measures discussed under “Liquidity”, net income, excluding charges &amp; credits, as well as measures derived from it (including diluted EPS, excluding charges &amp; credits; Schlumberger net income, excluding charges &amp; credits; effective tax rate, excluding charges &amp; credits; and adjusted EBITDA)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“Supplemental Information” (Question 9).</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12"/>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5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4"/>
                <w:szCs w:val="14"/>
                <w:b w:val="1"/>
                <w:bCs w:val="1"/>
                <w:color w:val="auto"/>
              </w:rPr>
              <w:t>Second Quarter 2022</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gridSpan w:val="3"/>
          </w:tcPr>
          <w:p>
            <w:pPr>
              <w:jc w:val="right"/>
              <w:ind w:right="228"/>
              <w:spacing w:after="0"/>
              <w:rPr>
                <w:sz w:val="20"/>
                <w:szCs w:val="20"/>
                <w:color w:val="auto"/>
              </w:rPr>
            </w:pPr>
            <w:r>
              <w:rPr>
                <w:rFonts w:ascii="Arial" w:cs="Arial" w:eastAsia="Arial" w:hAnsi="Arial"/>
                <w:sz w:val="14"/>
                <w:szCs w:val="14"/>
                <w:color w:val="auto"/>
              </w:rPr>
              <w:t>Pretax</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Tax</w:t>
            </w:r>
          </w:p>
        </w:tc>
        <w:tc>
          <w:tcPr>
            <w:tcW w:w="66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Schlumberger net income (GAAP basis)</w:t>
            </w:r>
          </w:p>
        </w:tc>
        <w:tc>
          <w:tcPr>
            <w:tcW w:w="1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$1,152</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$182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959</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$ 0.67</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(1)</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(216)</w:t>
            </w: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(203)</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Gain on sale of real estate </w:t>
            </w:r>
            <w:r>
              <w:rPr>
                <w:rFonts w:ascii="Arial" w:cs="Arial" w:eastAsia="Arial" w:hAnsi="Arial"/>
                <w:sz w:val="23"/>
                <w:szCs w:val="23"/>
                <w:color w:val="auto"/>
                <w:vertAlign w:val="superscript"/>
              </w:rPr>
              <w:t>(1)</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(43)</w:t>
            </w: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$ 0.50</w:t>
            </w:r>
          </w:p>
        </w:tc>
        <w:tc>
          <w:tcPr>
            <w:tcW w:w="1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5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b w:val="1"/>
                <w:bCs w:val="1"/>
                <w:color w:val="auto"/>
              </w:rPr>
              <w:t>Nine Months 2022</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gridSpan w:val="3"/>
          </w:tcPr>
          <w:p>
            <w:pPr>
              <w:jc w:val="right"/>
              <w:ind w:right="228"/>
              <w:spacing w:after="0"/>
              <w:rPr>
                <w:sz w:val="20"/>
                <w:szCs w:val="20"/>
                <w:color w:val="auto"/>
              </w:rPr>
            </w:pPr>
            <w:r>
              <w:rPr>
                <w:rFonts w:ascii="Arial" w:cs="Arial" w:eastAsia="Arial" w:hAnsi="Arial"/>
                <w:sz w:val="14"/>
                <w:szCs w:val="14"/>
                <w:color w:val="auto"/>
              </w:rPr>
              <w:t>Pretax</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Tax</w:t>
            </w:r>
          </w:p>
        </w:tc>
        <w:tc>
          <w:tcPr>
            <w:tcW w:w="66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 *</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Schlumberger net income (GAAP basis)</w:t>
            </w:r>
          </w:p>
        </w:tc>
        <w:tc>
          <w:tcPr>
            <w:tcW w:w="1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$2,924</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$514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2,377</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$ 1.65</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(1)</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(242)</w:t>
            </w: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(225)</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(0.16)</w:t>
            </w: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Gain on sale of real estate </w:t>
            </w:r>
            <w:r>
              <w:rPr>
                <w:rFonts w:ascii="Arial" w:cs="Arial" w:eastAsia="Arial" w:hAnsi="Arial"/>
                <w:sz w:val="23"/>
                <w:szCs w:val="23"/>
                <w:color w:val="auto"/>
                <w:vertAlign w:val="superscript"/>
              </w:rPr>
              <w:t>(1)</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(43)</w:t>
            </w: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52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2,639</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495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2,111</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$ 1.47</w:t>
            </w:r>
          </w:p>
        </w:tc>
        <w:tc>
          <w:tcPr>
            <w:tcW w:w="1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5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4"/>
                <w:szCs w:val="14"/>
                <w:b w:val="1"/>
                <w:bCs w:val="1"/>
                <w:color w:val="auto"/>
              </w:rPr>
              <w:t>Third Quarter 2021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gridSpan w:val="3"/>
          </w:tcPr>
          <w:p>
            <w:pPr>
              <w:jc w:val="right"/>
              <w:ind w:right="228"/>
              <w:spacing w:after="0"/>
              <w:rPr>
                <w:sz w:val="20"/>
                <w:szCs w:val="20"/>
                <w:color w:val="auto"/>
              </w:rPr>
            </w:pPr>
            <w:r>
              <w:rPr>
                <w:rFonts w:ascii="Arial" w:cs="Arial" w:eastAsia="Arial" w:hAnsi="Arial"/>
                <w:sz w:val="14"/>
                <w:szCs w:val="14"/>
                <w:color w:val="auto"/>
              </w:rPr>
              <w:t>Pretax</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Tax</w:t>
            </w:r>
          </w:p>
        </w:tc>
        <w:tc>
          <w:tcPr>
            <w:tcW w:w="66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Schlumberger net income (GAAP basis)</w:t>
            </w:r>
          </w:p>
        </w:tc>
        <w:tc>
          <w:tcPr>
            <w:tcW w:w="1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550</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$ 0.39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Unrealized gain on marketable securities </w:t>
            </w:r>
            <w:r>
              <w:rPr>
                <w:rFonts w:ascii="Arial" w:cs="Arial" w:eastAsia="Arial" w:hAnsi="Arial"/>
                <w:sz w:val="23"/>
                <w:szCs w:val="23"/>
                <w:color w:val="auto"/>
                <w:vertAlign w:val="superscript"/>
              </w:rPr>
              <w:t>(1)</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(47)</w:t>
            </w: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7"/>
        </w:trPr>
        <w:tc>
          <w:tcPr>
            <w:tcW w:w="5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Schlumberger net income, excluding charges &amp; credits</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644</w:t>
            </w: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88"/>
              </w:rPr>
              <w:t>$ 118</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514</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$ 0.36</w:t>
            </w:r>
          </w:p>
        </w:tc>
      </w:tr>
      <w:tr>
        <w:trPr>
          <w:trHeight w:val="20"/>
        </w:trPr>
        <w:tc>
          <w:tcPr>
            <w:tcW w:w="5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5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b w:val="1"/>
                <w:bCs w:val="1"/>
                <w:color w:val="auto"/>
              </w:rPr>
              <w:t>Nine Months 2021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gridSpan w:val="3"/>
          </w:tcPr>
          <w:p>
            <w:pPr>
              <w:jc w:val="right"/>
              <w:ind w:right="228"/>
              <w:spacing w:after="0"/>
              <w:rPr>
                <w:sz w:val="20"/>
                <w:szCs w:val="20"/>
                <w:color w:val="auto"/>
              </w:rPr>
            </w:pPr>
            <w:r>
              <w:rPr>
                <w:rFonts w:ascii="Arial" w:cs="Arial" w:eastAsia="Arial" w:hAnsi="Arial"/>
                <w:sz w:val="14"/>
                <w:szCs w:val="14"/>
                <w:color w:val="auto"/>
              </w:rPr>
              <w:t>Pretax</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Tax</w:t>
            </w:r>
          </w:p>
        </w:tc>
        <w:tc>
          <w:tcPr>
            <w:tcW w:w="66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 *</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Schlumberger net income (GAAP basis)</w:t>
            </w:r>
          </w:p>
        </w:tc>
        <w:tc>
          <w:tcPr>
            <w:tcW w:w="1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$1,618</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$301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1,280</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$ 0.90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Unrealized gain on marketable securities </w:t>
            </w:r>
            <w:r>
              <w:rPr>
                <w:rFonts w:ascii="Arial" w:cs="Arial" w:eastAsia="Arial" w:hAnsi="Arial"/>
                <w:sz w:val="23"/>
                <w:szCs w:val="23"/>
                <w:color w:val="auto"/>
                <w:vertAlign w:val="superscript"/>
              </w:rPr>
              <w:t>(1)</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(47)</w:t>
            </w: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7"/>
        </w:trPr>
        <w:tc>
          <w:tcPr>
            <w:tcW w:w="5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Schlumberger net income, excluding charges &amp; credits</w:t>
            </w:r>
          </w:p>
        </w:tc>
        <w:tc>
          <w:tcPr>
            <w:tcW w:w="15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1,571</w:t>
            </w: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290</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1,244</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$ 0.88</w:t>
            </w:r>
          </w:p>
        </w:tc>
      </w:tr>
      <w:tr>
        <w:trPr>
          <w:trHeight w:val="20"/>
        </w:trPr>
        <w:tc>
          <w:tcPr>
            <w:tcW w:w="5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were no charges &amp; credits during the third quarter of 2022 or during the first six months of 2021.</w:t>
      </w:r>
    </w:p>
    <w:p>
      <w:pPr>
        <w:spacing w:after="0" w:line="239"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add due to rounding.</w:t>
      </w:r>
    </w:p>
    <w:p>
      <w:pPr>
        <w:spacing w:after="0" w:line="14" w:lineRule="exact"/>
        <w:rPr>
          <w:sz w:val="20"/>
          <w:szCs w:val="20"/>
          <w:color w:val="auto"/>
        </w:rPr>
      </w:pPr>
    </w:p>
    <w:p>
      <w:pPr>
        <w:ind w:left="5404" w:right="3440" w:hanging="5404"/>
        <w:spacing w:after="0" w:line="303" w:lineRule="auto"/>
        <w:tabs>
          <w:tab w:leader="none" w:pos="428"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 xml:space="preserve"> 17</w:t>
      </w:r>
    </w:p>
    <w:p>
      <w:pPr>
        <w:sectPr>
          <w:pgSz w:w="11900" w:h="16838" w:orient="portrait"/>
          <w:cols w:equalWidth="0" w:num="1">
            <w:col w:w="11024"/>
          </w:cols>
          <w:pgMar w:left="436" w:top="258" w:right="439" w:bottom="1440" w:gutter="0" w:footer="0" w:header="0"/>
        </w:sectPr>
      </w:pPr>
    </w:p>
    <w:bookmarkStart w:id="20" w:name="page21"/>
    <w:bookmarkEnd w:id="20"/>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10"/>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10"/>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480" w:type="dxa"/>
            <w:vAlign w:val="bottom"/>
            <w:gridSpan w:val="7"/>
          </w:tcPr>
          <w:p>
            <w:pPr>
              <w:jc w:val="right"/>
              <w:ind w:right="300"/>
              <w:spacing w:after="0" w:line="155" w:lineRule="exact"/>
              <w:rPr>
                <w:sz w:val="20"/>
                <w:szCs w:val="20"/>
                <w:color w:val="auto"/>
              </w:rPr>
            </w:pPr>
            <w:r>
              <w:rPr>
                <w:rFonts w:ascii="Arial" w:cs="Arial" w:eastAsia="Arial" w:hAnsi="Arial"/>
                <w:sz w:val="14"/>
                <w:szCs w:val="14"/>
                <w:b w:val="1"/>
                <w:bCs w:val="1"/>
                <w:color w:val="auto"/>
              </w:rPr>
              <w:t>Sept. 30, 2022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8"/>
          </w:tcPr>
          <w:p>
            <w:pPr>
              <w:jc w:val="right"/>
              <w:ind w:right="480"/>
              <w:spacing w:after="0" w:line="155" w:lineRule="exact"/>
              <w:rPr>
                <w:sz w:val="20"/>
                <w:szCs w:val="20"/>
                <w:color w:val="auto"/>
              </w:rPr>
            </w:pPr>
            <w:r>
              <w:rPr>
                <w:rFonts w:ascii="Arial" w:cs="Arial" w:eastAsia="Arial" w:hAnsi="Arial"/>
                <w:sz w:val="14"/>
                <w:szCs w:val="14"/>
                <w:color w:val="auto"/>
              </w:rPr>
              <w:t>Jun. 30, 2022</w:t>
            </w:r>
          </w:p>
        </w:tc>
        <w:tc>
          <w:tcPr>
            <w:tcW w:w="1300" w:type="dxa"/>
            <w:vAlign w:val="bottom"/>
            <w:gridSpan w:val="5"/>
          </w:tcPr>
          <w:p>
            <w:pPr>
              <w:jc w:val="right"/>
              <w:ind w:right="180"/>
              <w:spacing w:after="0" w:line="155" w:lineRule="exact"/>
              <w:rPr>
                <w:sz w:val="20"/>
                <w:szCs w:val="20"/>
                <w:color w:val="auto"/>
              </w:rPr>
            </w:pPr>
            <w:r>
              <w:rPr>
                <w:rFonts w:ascii="Arial" w:cs="Arial" w:eastAsia="Arial" w:hAnsi="Arial"/>
                <w:sz w:val="14"/>
                <w:szCs w:val="14"/>
                <w:color w:val="auto"/>
              </w:rPr>
              <w:t>Sept. 30, 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Before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4"/>
                <w:szCs w:val="14"/>
                <w:color w:val="auto"/>
              </w:rPr>
            </w:pPr>
          </w:p>
        </w:tc>
        <w:tc>
          <w:tcPr>
            <w:tcW w:w="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Taxes</w:t>
            </w:r>
          </w:p>
        </w:tc>
        <w:tc>
          <w:tcPr>
            <w:tcW w:w="16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color w:val="auto"/>
              </w:rPr>
              <w:t>Taxes</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w w:val="99"/>
              </w:rPr>
              <w:t>Revenue</w:t>
            </w:r>
          </w:p>
        </w:tc>
        <w:tc>
          <w:tcPr>
            <w:tcW w:w="580" w:type="dxa"/>
            <w:vAlign w:val="bottom"/>
            <w:gridSpan w:val="3"/>
          </w:tcPr>
          <w:p>
            <w:pPr>
              <w:jc w:val="center"/>
              <w:ind w:right="16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6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900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305</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955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812</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$ 284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spacing w:after="0" w:line="202" w:lineRule="exact"/>
              <w:rPr>
                <w:sz w:val="20"/>
                <w:szCs w:val="20"/>
                <w:color w:val="auto"/>
              </w:rPr>
            </w:pPr>
            <w:r>
              <w:rPr>
                <w:rFonts w:ascii="Arial" w:cs="Arial" w:eastAsia="Arial" w:hAnsi="Arial"/>
                <w:sz w:val="18"/>
                <w:szCs w:val="18"/>
                <w:color w:val="auto"/>
              </w:rPr>
              <w:t>Reservoir Performance</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1,456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1,333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w:t>
            </w:r>
          </w:p>
        </w:tc>
        <w:tc>
          <w:tcPr>
            <w:tcW w:w="120" w:type="dxa"/>
            <w:vAlign w:val="bottom"/>
          </w:tcPr>
          <w:p>
            <w:pPr>
              <w:spacing w:after="0"/>
              <w:rPr>
                <w:sz w:val="17"/>
                <w:szCs w:val="17"/>
                <w:color w:val="auto"/>
              </w:rPr>
            </w:pPr>
          </w:p>
        </w:tc>
        <w:tc>
          <w:tcPr>
            <w:tcW w:w="8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1,192</w:t>
            </w: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3,084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664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2,273</w:t>
            </w: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3"/>
        </w:trPr>
        <w:tc>
          <w:tcPr>
            <w:tcW w:w="6360" w:type="dxa"/>
            <w:vAlign w:val="bottom"/>
            <w:gridSpan w:val="3"/>
          </w:tcPr>
          <w:p>
            <w:pPr>
              <w:spacing w:after="0" w:line="202" w:lineRule="exact"/>
              <w:rPr>
                <w:sz w:val="20"/>
                <w:szCs w:val="20"/>
                <w:color w:val="auto"/>
              </w:rPr>
            </w:pPr>
            <w:r>
              <w:rPr>
                <w:rFonts w:ascii="Arial" w:cs="Arial" w:eastAsia="Arial" w:hAnsi="Arial"/>
                <w:sz w:val="18"/>
                <w:szCs w:val="18"/>
                <w:color w:val="auto"/>
              </w:rPr>
              <w:t>Production Systems</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1,893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w:t>
            </w:r>
          </w:p>
        </w:tc>
        <w:tc>
          <w:tcPr>
            <w:tcW w:w="120" w:type="dxa"/>
            <w:vAlign w:val="bottom"/>
          </w:tcPr>
          <w:p>
            <w:pPr>
              <w:spacing w:after="0"/>
              <w:rPr>
                <w:sz w:val="17"/>
                <w:szCs w:val="17"/>
                <w:color w:val="auto"/>
              </w:rPr>
            </w:pPr>
          </w:p>
        </w:tc>
        <w:tc>
          <w:tcPr>
            <w:tcW w:w="8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1,674</w:t>
            </w: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840" w:type="dxa"/>
            <w:vAlign w:val="bottom"/>
            <w:gridSpan w:val="3"/>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(104)</w:t>
            </w: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100" w:type="dxa"/>
            <w:vAlign w:val="bottom"/>
            <w:gridSpan w:val="2"/>
          </w:tcPr>
          <w:p>
            <w:pPr>
              <w:ind w:left="100"/>
              <w:spacing w:after="0"/>
              <w:rPr>
                <w:sz w:val="20"/>
                <w:szCs w:val="20"/>
                <w:color w:val="auto"/>
              </w:rPr>
            </w:pPr>
            <w:r>
              <w:rPr>
                <w:rFonts w:ascii="Arial" w:cs="Arial" w:eastAsia="Arial" w:hAnsi="Arial"/>
                <w:sz w:val="18"/>
                <w:szCs w:val="18"/>
                <w:color w:val="auto"/>
              </w:rPr>
              <w:t>Pretax segment operating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1,400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636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636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$ 7,477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1,134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$ 6,773</w:t>
            </w:r>
          </w:p>
        </w:tc>
        <w:tc>
          <w:tcPr>
            <w:tcW w:w="76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1,152</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3"/>
              </w:rPr>
              <w:t>$ 5,847</w:t>
            </w: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$ 691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9"/>
          </w:tcPr>
          <w:p>
            <w:pPr>
              <w:jc w:val="right"/>
              <w:ind w:right="5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7"/>
          </w:tcPr>
          <w:p>
            <w:pPr>
              <w:ind w:left="140"/>
              <w:spacing w:after="0" w:line="155" w:lineRule="exact"/>
              <w:rPr>
                <w:sz w:val="20"/>
                <w:szCs w:val="20"/>
                <w:color w:val="auto"/>
              </w:rPr>
            </w:pPr>
            <w:r>
              <w:rPr>
                <w:rFonts w:ascii="Arial" w:cs="Arial" w:eastAsia="Arial" w:hAnsi="Arial"/>
                <w:sz w:val="14"/>
                <w:szCs w:val="14"/>
                <w:b w:val="1"/>
                <w:bCs w:val="1"/>
                <w:color w:val="auto"/>
              </w:rPr>
              <w:t>Sept. 30, 2022</w:t>
            </w: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340"/>
              <w:spacing w:after="0" w:line="155" w:lineRule="exact"/>
              <w:rPr>
                <w:sz w:val="20"/>
                <w:szCs w:val="20"/>
                <w:color w:val="auto"/>
              </w:rPr>
            </w:pPr>
            <w:r>
              <w:rPr>
                <w:rFonts w:ascii="Arial" w:cs="Arial" w:eastAsia="Arial" w:hAnsi="Arial"/>
                <w:sz w:val="14"/>
                <w:szCs w:val="14"/>
                <w:color w:val="auto"/>
              </w:rPr>
              <w:t>Sept. 30, 2021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Income</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color w:val="auto"/>
              </w:rPr>
              <w:t>Before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880" w:type="dxa"/>
            <w:vAlign w:val="bottom"/>
            <w:gridSpan w:val="5"/>
          </w:tcPr>
          <w:p>
            <w:pPr>
              <w:ind w:left="8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color w:val="auto"/>
              </w:rPr>
              <w:t>Revenue</w:t>
            </w:r>
          </w:p>
        </w:tc>
        <w:tc>
          <w:tcPr>
            <w:tcW w:w="28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color w:val="auto"/>
                <w:w w:val="94"/>
              </w:rPr>
              <w:t>Taxes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2,713</w:t>
            </w: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3"/>
              </w:rPr>
              <w:t>976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2,401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805</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4"/>
          </w:tcPr>
          <w:p>
            <w:pPr>
              <w:jc w:val="right"/>
              <w:ind w:right="250"/>
              <w:spacing w:after="0" w:line="202" w:lineRule="exact"/>
              <w:rPr>
                <w:sz w:val="20"/>
                <w:szCs w:val="20"/>
                <w:color w:val="auto"/>
              </w:rPr>
            </w:pPr>
            <w:r>
              <w:rPr>
                <w:rFonts w:ascii="Arial" w:cs="Arial" w:eastAsia="Arial" w:hAnsi="Arial"/>
                <w:sz w:val="18"/>
                <w:szCs w:val="18"/>
                <w:b w:val="1"/>
                <w:bCs w:val="1"/>
                <w:color w:val="auto"/>
                <w:w w:val="97"/>
              </w:rPr>
              <w:t>3,999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w w:val="93"/>
              </w:rPr>
              <w:t>598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3,312</w:t>
            </w:r>
          </w:p>
        </w:tc>
        <w:tc>
          <w:tcPr>
            <w:tcW w:w="960" w:type="dxa"/>
            <w:vAlign w:val="bottom"/>
            <w:gridSpan w:val="4"/>
          </w:tcPr>
          <w:p>
            <w:pPr>
              <w:jc w:val="right"/>
              <w:ind w:right="34"/>
              <w:spacing w:after="0" w:line="202" w:lineRule="exact"/>
              <w:rPr>
                <w:sz w:val="20"/>
                <w:szCs w:val="20"/>
                <w:color w:val="auto"/>
              </w:rPr>
            </w:pPr>
            <w:r>
              <w:rPr>
                <w:rFonts w:ascii="Arial" w:cs="Arial" w:eastAsia="Arial" w:hAnsi="Arial"/>
                <w:sz w:val="18"/>
                <w:szCs w:val="18"/>
                <w:color w:val="auto"/>
              </w:rPr>
              <w:t>448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w w:val="97"/>
              </w:rPr>
              <w:t>8,168</w:t>
            </w:r>
          </w:p>
        </w:tc>
        <w:tc>
          <w:tcPr>
            <w:tcW w:w="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1,522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6,319</w:t>
            </w:r>
          </w:p>
        </w:tc>
        <w:tc>
          <w:tcPr>
            <w:tcW w:w="960" w:type="dxa"/>
            <w:vAlign w:val="bottom"/>
            <w:gridSpan w:val="4"/>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827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4"/>
          </w:tcPr>
          <w:p>
            <w:pPr>
              <w:jc w:val="right"/>
              <w:ind w:right="250"/>
              <w:spacing w:after="0" w:line="202" w:lineRule="exact"/>
              <w:rPr>
                <w:sz w:val="20"/>
                <w:szCs w:val="20"/>
                <w:color w:val="auto"/>
              </w:rPr>
            </w:pPr>
            <w:r>
              <w:rPr>
                <w:rFonts w:ascii="Arial" w:cs="Arial" w:eastAsia="Arial" w:hAnsi="Arial"/>
                <w:sz w:val="18"/>
                <w:szCs w:val="18"/>
                <w:b w:val="1"/>
                <w:bCs w:val="1"/>
                <w:color w:val="auto"/>
                <w:w w:val="97"/>
              </w:rPr>
              <w:t>5,647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w w:val="93"/>
              </w:rPr>
              <w:t>509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4,946</w:t>
            </w:r>
          </w:p>
        </w:tc>
        <w:tc>
          <w:tcPr>
            <w:tcW w:w="960" w:type="dxa"/>
            <w:vAlign w:val="bottom"/>
            <w:gridSpan w:val="4"/>
          </w:tcPr>
          <w:p>
            <w:pPr>
              <w:jc w:val="right"/>
              <w:ind w:right="34"/>
              <w:spacing w:after="0" w:line="202" w:lineRule="exact"/>
              <w:rPr>
                <w:sz w:val="20"/>
                <w:szCs w:val="20"/>
                <w:color w:val="auto"/>
              </w:rPr>
            </w:pPr>
            <w:r>
              <w:rPr>
                <w:rFonts w:ascii="Arial" w:cs="Arial" w:eastAsia="Arial" w:hAnsi="Arial"/>
                <w:sz w:val="18"/>
                <w:szCs w:val="18"/>
                <w:color w:val="auto"/>
              </w:rPr>
              <w:t>475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(314)</w:t>
            </w:r>
          </w:p>
        </w:tc>
        <w:tc>
          <w:tcPr>
            <w:tcW w:w="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(274)</w:t>
            </w:r>
          </w:p>
        </w:tc>
        <w:tc>
          <w:tcPr>
            <w:tcW w:w="9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3,454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(468)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(434)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jc w:val="right"/>
              <w:ind w:right="34"/>
              <w:spacing w:after="0" w:line="202"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(360)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(391)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w w:val="93"/>
              </w:rPr>
              <w:t>285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jc w:val="right"/>
              <w:ind w:right="34"/>
              <w:spacing w:after="0" w:line="202" w:lineRule="exact"/>
              <w:rPr>
                <w:sz w:val="20"/>
                <w:szCs w:val="20"/>
                <w:color w:val="auto"/>
              </w:rPr>
            </w:pPr>
            <w:r>
              <w:rPr>
                <w:rFonts w:ascii="Arial" w:cs="Arial" w:eastAsia="Arial" w:hAnsi="Arial"/>
                <w:sz w:val="18"/>
                <w:szCs w:val="18"/>
                <w:color w:val="auto"/>
              </w:rPr>
              <w:t>47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420" w:type="dxa"/>
            <w:vAlign w:val="bottom"/>
            <w:gridSpan w:val="6"/>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20,213</w:t>
            </w:r>
          </w:p>
        </w:tc>
        <w:tc>
          <w:tcPr>
            <w:tcW w:w="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2,924</w:t>
            </w:r>
          </w:p>
        </w:tc>
        <w:tc>
          <w:tcPr>
            <w:tcW w:w="14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16,704</w:t>
            </w:r>
          </w:p>
        </w:tc>
        <w:tc>
          <w:tcPr>
            <w:tcW w:w="960" w:type="dxa"/>
            <w:vAlign w:val="bottom"/>
            <w:gridSpan w:val="4"/>
            <w:shd w:val="clear" w:color="auto" w:fill="CCEEFF"/>
          </w:tcPr>
          <w:p>
            <w:pPr>
              <w:jc w:val="right"/>
              <w:ind w:right="34"/>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3"/>
                <w:szCs w:val="13"/>
                <w:color w:val="auto"/>
              </w:rPr>
              <w:t>(1)</w:t>
            </w:r>
          </w:p>
        </w:tc>
        <w:tc>
          <w:tcPr>
            <w:tcW w:w="6100" w:type="dxa"/>
            <w:vAlign w:val="bottom"/>
            <w:gridSpan w:val="2"/>
            <w:vMerge w:val="restart"/>
          </w:tcPr>
          <w:p>
            <w:pPr>
              <w:ind w:left="160"/>
              <w:spacing w:after="0"/>
              <w:rPr>
                <w:sz w:val="20"/>
                <w:szCs w:val="20"/>
                <w:color w:val="auto"/>
              </w:rPr>
            </w:pPr>
            <w:r>
              <w:rPr>
                <w:rFonts w:ascii="Arial" w:cs="Arial" w:eastAsia="Arial" w:hAnsi="Arial"/>
                <w:sz w:val="18"/>
                <w:szCs w:val="18"/>
                <w:color w:val="auto"/>
              </w:rPr>
              <w:t>Excludes amounts which are included in the segments’ results.</w:t>
            </w: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60" w:type="dxa"/>
            <w:vAlign w:val="bottom"/>
            <w:vMerge w:val="continue"/>
          </w:tcPr>
          <w:p>
            <w:pPr>
              <w:spacing w:after="0"/>
              <w:rPr>
                <w:sz w:val="24"/>
                <w:szCs w:val="24"/>
                <w:color w:val="auto"/>
              </w:rPr>
            </w:pPr>
          </w:p>
        </w:tc>
        <w:tc>
          <w:tcPr>
            <w:tcW w:w="61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r>
              <w:rPr>
                <w:rFonts w:ascii="Arial" w:cs="Arial" w:eastAsia="Arial" w:hAnsi="Arial"/>
                <w:sz w:val="13"/>
                <w:szCs w:val="13"/>
                <w:color w:val="auto"/>
              </w:rPr>
              <w:t>(2)</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See section entitled “Charges &amp; Credits” for details.</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6100" w:type="dxa"/>
            <w:vAlign w:val="bottom"/>
            <w:gridSpan w:val="2"/>
          </w:tcPr>
          <w:p>
            <w:pPr>
              <w:jc w:val="right"/>
              <w:ind w:right="673"/>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8"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Frequently Asked Questions</w:t>
      </w:r>
    </w:p>
    <w:p>
      <w:pPr>
        <w:spacing w:after="0" w:line="143"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2022?</w:t>
      </w:r>
    </w:p>
    <w:p>
      <w:pPr>
        <w:spacing w:after="0" w:line="103"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(composed of capex, exploration data costs, and APS investments) for the full-year 2022 is expected to be approximately $2.2 billion.</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third quarter of 2022?</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third quarter of 2022 was $1.6 billion, and free cash flow was $1.1 billion.</w:t>
      </w:r>
    </w:p>
    <w:p>
      <w:pPr>
        <w:spacing w:after="0" w:line="360"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third quarter of 2022?</w:t>
      </w:r>
    </w:p>
    <w:p>
      <w:pPr>
        <w:spacing w:after="0" w:line="103" w:lineRule="exact"/>
        <w:rPr>
          <w:rFonts w:ascii="Arial" w:cs="Arial" w:eastAsia="Arial" w:hAnsi="Arial"/>
          <w:sz w:val="18"/>
          <w:szCs w:val="18"/>
          <w:b w:val="1"/>
          <w:bCs w:val="1"/>
          <w:color w:val="auto"/>
        </w:rPr>
      </w:pPr>
    </w:p>
    <w:p>
      <w:pPr>
        <w:ind w:left="444" w:right="7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third quarter of 2022 was $75 million. This consisted of interest income of $33 million and earnings of equity method investments of $42 million.</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2022?</w:t>
      </w:r>
    </w:p>
    <w:p>
      <w:pPr>
        <w:spacing w:after="0" w:line="103" w:lineRule="exact"/>
        <w:rPr>
          <w:rFonts w:ascii="Arial" w:cs="Arial" w:eastAsia="Arial" w:hAnsi="Arial"/>
          <w:sz w:val="18"/>
          <w:szCs w:val="18"/>
          <w:b w:val="1"/>
          <w:bCs w:val="1"/>
          <w:color w:val="auto"/>
        </w:rPr>
      </w:pPr>
    </w:p>
    <w:p>
      <w:pPr>
        <w:ind w:left="444" w:right="6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$33 million for the third quarter of 2022 increased $14 million sequentially. Interest expense of $122 million decreased $2 million sequentially.</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Schlumberger’s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3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2022?</w:t>
      </w:r>
    </w:p>
    <w:p>
      <w:pPr>
        <w:spacing w:after="0" w:line="103"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third quarter of 2022, calculated in accordance with GAAP, was 18.9% as compared to 15.8% for the second quarter of 2022. Excluding charges and credits, the ETR for the second quarter of 2022 was 18.6%. There were no charges and credits in the third quarter of 2022.</w:t>
      </w:r>
    </w:p>
    <w:p>
      <w:pPr>
        <w:spacing w:after="0" w:line="317" w:lineRule="exact"/>
        <w:rPr>
          <w:rFonts w:ascii="Arial" w:cs="Arial" w:eastAsia="Arial" w:hAnsi="Arial"/>
          <w:sz w:val="18"/>
          <w:szCs w:val="18"/>
          <w:b w:val="1"/>
          <w:bCs w:val="1"/>
          <w:color w:val="auto"/>
        </w:rPr>
      </w:pPr>
    </w:p>
    <w:p>
      <w:pPr>
        <w:ind w:left="424" w:right="200" w:hanging="424"/>
        <w:spacing w:after="0" w:line="281"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September 30, 2022,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1.418 billion shares of common stock outstanding as of September 30, 2022, and 1.414 billion shares outstanding as of June 30, 2022.</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June 30, 2022</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September 30, 2022</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jc w:val="right"/>
              <w:ind w:right="2310"/>
              <w:spacing w:after="0"/>
              <w:rPr>
                <w:sz w:val="20"/>
                <w:szCs w:val="20"/>
                <w:color w:val="auto"/>
              </w:rPr>
            </w:pPr>
            <w:r>
              <w:rPr>
                <w:rFonts w:ascii="Arial" w:cs="Arial" w:eastAsia="Arial" w:hAnsi="Arial"/>
                <w:sz w:val="18"/>
                <w:szCs w:val="18"/>
                <w:color w:val="auto"/>
              </w:rPr>
              <w:t>19</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2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58" w:right="459" w:bottom="1440" w:gutter="0" w:footer="0" w:header="0"/>
        </w:sectPr>
      </w:pPr>
    </w:p>
    <w:bookmarkStart w:id="22" w:name="page23"/>
    <w:bookmarkEnd w:id="22"/>
    <w:p>
      <w:pPr>
        <w:jc w:val="both"/>
        <w:ind w:left="424" w:hanging="424"/>
        <w:spacing w:after="0" w:line="257"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third quarter of 2022 and second quarter of 2022?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1.418 billion during the third quarter of 2022 and 1.414 billion during the second quarter of 2022.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66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Second Quarter</w:t>
            </w:r>
          </w:p>
        </w:tc>
      </w:tr>
      <w:tr>
        <w:trPr>
          <w:trHeight w:val="171"/>
        </w:trPr>
        <w:tc>
          <w:tcPr>
            <w:tcW w:w="5660" w:type="dxa"/>
            <w:vAlign w:val="bottom"/>
          </w:tcPr>
          <w:p>
            <w:pPr>
              <w:spacing w:after="0"/>
              <w:rPr>
                <w:sz w:val="14"/>
                <w:szCs w:val="14"/>
                <w:color w:val="auto"/>
              </w:rPr>
            </w:pP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460" w:type="dxa"/>
            <w:vAlign w:val="bottom"/>
            <w:gridSpan w:val="2"/>
          </w:tcPr>
          <w:p>
            <w:pPr>
              <w:jc w:val="right"/>
              <w:ind w:right="279"/>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4"/>
                <w:szCs w:val="14"/>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1,418</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1,414</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21</w:t>
            </w:r>
          </w:p>
        </w:tc>
        <w:tc>
          <w:tcPr>
            <w:tcW w:w="15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22</w:t>
            </w:r>
          </w:p>
        </w:tc>
      </w:tr>
      <w:tr>
        <w:trPr>
          <w:trHeight w:val="27"/>
        </w:trPr>
        <w:tc>
          <w:tcPr>
            <w:tcW w:w="5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1,439</w:t>
            </w:r>
          </w:p>
        </w:tc>
        <w:tc>
          <w:tcPr>
            <w:tcW w:w="15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1,436</w:t>
            </w:r>
          </w:p>
        </w:tc>
      </w:tr>
      <w:tr>
        <w:trPr>
          <w:trHeight w:val="20"/>
        </w:trPr>
        <w:tc>
          <w:tcPr>
            <w:tcW w:w="5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9" w:lineRule="exact"/>
        <w:rPr>
          <w:sz w:val="20"/>
          <w:szCs w:val="20"/>
          <w:color w:val="auto"/>
        </w:rPr>
      </w:pPr>
    </w:p>
    <w:p>
      <w:pPr>
        <w:ind w:left="424" w:right="40" w:hanging="424"/>
        <w:spacing w:after="0" w:line="281" w:lineRule="auto"/>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Schlumberger’s adjusted EBITDA in the third quarter of 2022, the second quarter of 2022, and the third quarter of 2021?</w:t>
      </w:r>
    </w:p>
    <w:p>
      <w:pPr>
        <w:spacing w:after="0" w:line="28" w:lineRule="exact"/>
        <w:rPr>
          <w:rFonts w:ascii="Arial" w:cs="Arial" w:eastAsia="Arial" w:hAnsi="Arial"/>
          <w:sz w:val="18"/>
          <w:szCs w:val="18"/>
          <w:b w:val="1"/>
          <w:bCs w:val="1"/>
          <w:color w:val="auto"/>
        </w:rPr>
      </w:pPr>
    </w:p>
    <w:p>
      <w:pPr>
        <w:ind w:left="444" w:right="2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Schlumberger’s adjusted EBITDA was $1.756 billion in the third quarter of 2022, $1.530 billion in the second quarter of 2022, and $1.296 billion in the third quarter of 2021,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tcPr>
          <w:p>
            <w:pPr>
              <w:jc w:val="right"/>
              <w:ind w:right="1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0" w:type="dxa"/>
            <w:vAlign w:val="bottom"/>
            <w:gridSpan w:val="4"/>
          </w:tcPr>
          <w:p>
            <w:pPr>
              <w:ind w:left="500"/>
              <w:spacing w:after="0"/>
              <w:rPr>
                <w:sz w:val="20"/>
                <w:szCs w:val="20"/>
                <w:color w:val="auto"/>
              </w:rPr>
            </w:pPr>
            <w:r>
              <w:rPr>
                <w:rFonts w:ascii="Arial" w:cs="Arial" w:eastAsia="Arial" w:hAnsi="Arial"/>
                <w:sz w:val="14"/>
                <w:szCs w:val="14"/>
                <w:b w:val="1"/>
                <w:bCs w:val="1"/>
                <w:color w:val="auto"/>
              </w:rPr>
              <w:t>Third Quarter</w:t>
            </w:r>
          </w:p>
        </w:tc>
        <w:tc>
          <w:tcPr>
            <w:tcW w:w="1540" w:type="dxa"/>
            <w:vAlign w:val="bottom"/>
            <w:gridSpan w:val="4"/>
          </w:tcPr>
          <w:p>
            <w:pPr>
              <w:ind w:left="300"/>
              <w:spacing w:after="0"/>
              <w:rPr>
                <w:sz w:val="20"/>
                <w:szCs w:val="20"/>
                <w:color w:val="auto"/>
              </w:rPr>
            </w:pPr>
            <w:r>
              <w:rPr>
                <w:rFonts w:ascii="Arial" w:cs="Arial" w:eastAsia="Arial" w:hAnsi="Arial"/>
                <w:sz w:val="14"/>
                <w:szCs w:val="14"/>
                <w:color w:val="auto"/>
              </w:rPr>
              <w:t>Second Quarter</w:t>
            </w:r>
          </w:p>
        </w:tc>
        <w:tc>
          <w:tcPr>
            <w:tcW w:w="1460" w:type="dxa"/>
            <w:vAlign w:val="bottom"/>
            <w:gridSpan w:val="4"/>
          </w:tcPr>
          <w:p>
            <w:pPr>
              <w:ind w:left="460"/>
              <w:spacing w:after="0"/>
              <w:rPr>
                <w:sz w:val="20"/>
                <w:szCs w:val="20"/>
                <w:color w:val="auto"/>
              </w:rPr>
            </w:pPr>
            <w:r>
              <w:rPr>
                <w:rFonts w:ascii="Arial" w:cs="Arial" w:eastAsia="Arial" w:hAnsi="Arial"/>
                <w:sz w:val="14"/>
                <w:szCs w:val="14"/>
                <w:color w:val="auto"/>
              </w:rPr>
              <w:t>Third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Schlumberger</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907</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5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215</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(259)</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7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1,756</w:t>
            </w:r>
          </w:p>
        </w:tc>
        <w:tc>
          <w:tcPr>
            <w:tcW w:w="3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69" w:right="459" w:bottom="1440" w:gutter="0" w:footer="0" w:header="0"/>
        </w:sectPr>
      </w:pPr>
    </w:p>
    <w:bookmarkStart w:id="23" w:name="page24"/>
    <w:bookmarkEnd w:id="23"/>
    <w:p>
      <w:pPr>
        <w:ind w:left="424" w:right="300" w:hanging="424"/>
        <w:spacing w:after="0" w:line="281" w:lineRule="auto"/>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third quarter of 2022, the second quarter of 2022, and the third quarter of 2021?</w:t>
      </w:r>
    </w:p>
    <w:p>
      <w:pPr>
        <w:spacing w:after="0" w:line="28" w:lineRule="exact"/>
        <w:rPr>
          <w:rFonts w:ascii="Arial" w:cs="Arial" w:eastAsia="Arial" w:hAnsi="Arial"/>
          <w:sz w:val="18"/>
          <w:szCs w:val="18"/>
          <w:b w:val="1"/>
          <w:bCs w:val="1"/>
          <w:color w:val="auto"/>
        </w:rPr>
      </w:pPr>
    </w:p>
    <w:p>
      <w:pPr>
        <w:ind w:left="444" w:right="3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third quarter of 2022, the second quarter of 2022, and the third quarter of 2021 were as follows:</w:t>
      </w:r>
    </w:p>
    <w:p>
      <w:pPr>
        <w:sectPr>
          <w:pgSz w:w="11900" w:h="16838" w:orient="portrait"/>
          <w:cols w:equalWidth="0" w:num="1">
            <w:col w:w="11004"/>
          </w:cols>
          <w:pgMar w:left="436" w:top="26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0" w:lineRule="exact"/>
        <w:rPr>
          <w:sz w:val="20"/>
          <w:szCs w:val="20"/>
          <w:color w:val="auto"/>
        </w:rPr>
      </w:pPr>
    </w:p>
    <w:p>
      <w:pPr>
        <w:spacing w:after="0" w:line="3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Schlumberger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740" w:type="dxa"/>
            <w:vAlign w:val="bottom"/>
            <w:gridSpan w:val="3"/>
          </w:tcPr>
          <w:p>
            <w:pPr>
              <w:ind w:left="720"/>
              <w:spacing w:after="0"/>
              <w:rPr>
                <w:sz w:val="20"/>
                <w:szCs w:val="20"/>
                <w:color w:val="auto"/>
              </w:rPr>
            </w:pPr>
            <w:r>
              <w:rPr>
                <w:rFonts w:ascii="Arial" w:cs="Arial" w:eastAsia="Arial" w:hAnsi="Arial"/>
                <w:sz w:val="14"/>
                <w:szCs w:val="14"/>
                <w:color w:val="auto"/>
              </w:rPr>
              <w:t>Second Quarter</w:t>
            </w:r>
          </w:p>
        </w:tc>
        <w:tc>
          <w:tcPr>
            <w:tcW w:w="1600" w:type="dxa"/>
            <w:vAlign w:val="bottom"/>
            <w:gridSpan w:val="3"/>
          </w:tcPr>
          <w:p>
            <w:pPr>
              <w:ind w:left="740"/>
              <w:spacing w:after="0"/>
              <w:rPr>
                <w:sz w:val="20"/>
                <w:szCs w:val="20"/>
                <w:color w:val="auto"/>
              </w:rPr>
            </w:pPr>
            <w:r>
              <w:rPr>
                <w:rFonts w:ascii="Arial" w:cs="Arial" w:eastAsia="Arial" w:hAnsi="Arial"/>
                <w:sz w:val="14"/>
                <w:szCs w:val="14"/>
                <w:color w:val="auto"/>
              </w:rPr>
              <w:t>Third Quarter</w:t>
            </w: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2022</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2021</w:t>
            </w:r>
          </w:p>
        </w:tc>
      </w:tr>
      <w:tr>
        <w:trPr>
          <w:trHeight w:val="177"/>
        </w:trPr>
        <w:tc>
          <w:tcPr>
            <w:tcW w:w="20" w:type="dxa"/>
            <w:vAlign w:val="bottom"/>
          </w:tcPr>
          <w:p>
            <w:pPr>
              <w:spacing w:after="0"/>
              <w:rPr>
                <w:sz w:val="15"/>
                <w:szCs w:val="15"/>
                <w:color w:val="auto"/>
              </w:rPr>
            </w:pPr>
          </w:p>
        </w:tc>
        <w:tc>
          <w:tcPr>
            <w:tcW w:w="18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343</w:t>
            </w:r>
          </w:p>
        </w:tc>
        <w:tc>
          <w:tcPr>
            <w:tcW w:w="720" w:type="dxa"/>
            <w:vAlign w:val="bottom"/>
          </w:tcPr>
          <w:p>
            <w:pPr>
              <w:spacing w:after="0"/>
              <w:rPr>
                <w:sz w:val="15"/>
                <w:szCs w:val="15"/>
                <w:color w:val="auto"/>
              </w:rPr>
            </w:pPr>
          </w:p>
        </w:tc>
        <w:tc>
          <w:tcPr>
            <w:tcW w:w="22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340</w:t>
            </w:r>
          </w:p>
        </w:tc>
        <w:tc>
          <w:tcPr>
            <w:tcW w:w="740" w:type="dxa"/>
            <w:vAlign w:val="bottom"/>
          </w:tcPr>
          <w:p>
            <w:pPr>
              <w:spacing w:after="0"/>
              <w:rPr>
                <w:sz w:val="15"/>
                <w:szCs w:val="15"/>
                <w:color w:val="auto"/>
              </w:rPr>
            </w:pPr>
          </w:p>
        </w:tc>
        <w:tc>
          <w:tcPr>
            <w:tcW w:w="18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350</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21"/>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7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-693420</wp:posOffset>
            </wp:positionV>
            <wp:extent cx="587184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-427990</wp:posOffset>
            </wp:positionV>
            <wp:extent cx="587184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-153670</wp:posOffset>
            </wp:positionV>
            <wp:extent cx="587184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5084" w:space="720"/>
            <w:col w:w="5200"/>
          </w:cols>
          <w:pgMar w:left="436" w:top="269" w:right="459" w:bottom="1440" w:gutter="0" w:footer="0" w:header="0"/>
          <w:type w:val="continuous"/>
        </w:sectPr>
      </w:pPr>
    </w:p>
    <w:p>
      <w:pPr>
        <w:ind w:left="4"/>
        <w:spacing w:after="0" w:line="247" w:lineRule="auto"/>
        <w:rPr>
          <w:sz w:val="20"/>
          <w:szCs w:val="20"/>
          <w:color w:val="auto"/>
        </w:rPr>
      </w:pPr>
      <w:r>
        <w:rPr>
          <w:rFonts w:ascii="Arial" w:cs="Arial" w:eastAsia="Arial" w:hAnsi="Arial"/>
          <w:sz w:val="18"/>
          <w:szCs w:val="18"/>
          <w:color w:val="auto"/>
        </w:rPr>
        <w:t>Schlumberger is a technology company that partners with customers to access energy. Our people, representing over 160 nationalities, are providing leading digital solutions and deploying innovative technologies to enable performance and sustainability for the global energy industry. With expertise in more than 120 countries, we collaborate to create technology that unlocks access to energy for the benefit of all.</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Find out more at www.slb.com</w:t>
      </w:r>
    </w:p>
    <w:p>
      <w:pPr>
        <w:spacing w:after="0" w:line="239" w:lineRule="exact"/>
        <w:rPr>
          <w:sz w:val="20"/>
          <w:szCs w:val="20"/>
          <w:color w:val="auto"/>
        </w:rPr>
      </w:pPr>
    </w:p>
    <w:p>
      <w:pPr>
        <w:ind w:left="424" w:right="820" w:hanging="424"/>
        <w:spacing w:after="0" w:line="271"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 of Schlumberger or a Schlumberger company. Other company, product, and service names are the properties of their respective owners.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ind w:left="4" w:right="100"/>
        <w:spacing w:after="0"/>
        <w:rPr>
          <w:sz w:val="20"/>
          <w:szCs w:val="20"/>
          <w:color w:val="auto"/>
        </w:rPr>
      </w:pPr>
      <w:r>
        <w:rPr>
          <w:rFonts w:ascii="Arial" w:cs="Arial" w:eastAsia="Arial" w:hAnsi="Arial"/>
          <w:sz w:val="18"/>
          <w:szCs w:val="18"/>
          <w:color w:val="auto"/>
        </w:rPr>
        <w:t>Schlumberger (NYSE: SLB) will hold a conference call to discuss the earnings press release and business outlook on Friday, October 21, 2022.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November 20, 2022, by dialing +1 (866) 207-1041 within North America, or +1 (402) 970-0847 outside North America, and providing the access code 1942759. The conference call will be webcast simultaneously at www.slb.com/irwebcast on a listen-only basis. A replay of the webcast will also be available at the same website until November 20, 2022.</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Relations Contacts:</w:t>
      </w:r>
    </w:p>
    <w:p>
      <w:pPr>
        <w:spacing w:after="0" w:line="104" w:lineRule="exact"/>
        <w:rPr>
          <w:sz w:val="20"/>
          <w:szCs w:val="20"/>
          <w:color w:val="auto"/>
        </w:rPr>
      </w:pPr>
    </w:p>
    <w:p>
      <w:pPr>
        <w:ind w:left="4" w:right="4320"/>
        <w:spacing w:after="0" w:line="241" w:lineRule="auto"/>
        <w:rPr>
          <w:sz w:val="20"/>
          <w:szCs w:val="20"/>
          <w:color w:val="auto"/>
        </w:rPr>
      </w:pPr>
      <w:r>
        <w:rPr>
          <w:rFonts w:ascii="Arial" w:cs="Arial" w:eastAsia="Arial" w:hAnsi="Arial"/>
          <w:sz w:val="18"/>
          <w:szCs w:val="18"/>
          <w:color w:val="auto"/>
        </w:rPr>
        <w:t>Ndubuisi Maduemezia – Vice President of Investor Relations, Schlumberger Limited Joy V. Domingo – Director of Investor Relations, Schlumberger Limited Office +1 (713) 375-3535</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investor-relations@slb.com</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Josh Byerly – Vice President of Communications, Schlumberger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Moira Duff – Director of External Communications, Schlumberger Limited</w:t>
      </w:r>
    </w:p>
    <w:p>
      <w:pPr>
        <w:ind w:left="4"/>
        <w:spacing w:after="0" w:line="234" w:lineRule="auto"/>
        <w:rPr>
          <w:sz w:val="20"/>
          <w:szCs w:val="20"/>
          <w:color w:val="auto"/>
        </w:rPr>
      </w:pPr>
      <w:r>
        <w:rPr>
          <w:rFonts w:ascii="Arial" w:cs="Arial" w:eastAsia="Arial" w:hAnsi="Arial"/>
          <w:sz w:val="18"/>
          <w:szCs w:val="18"/>
          <w:color w:val="auto"/>
        </w:rPr>
        <w:t>Office +1 (713) 375-3407</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media@slb.com</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69" w:right="459" w:bottom="1440" w:gutter="0" w:footer="0" w:header="0"/>
          <w:type w:val="continuous"/>
        </w:sectPr>
      </w:pPr>
    </w:p>
    <w:bookmarkStart w:id="24" w:name="page25"/>
    <w:bookmarkEnd w:id="24"/>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third-quarter 2022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Schlumberger and the oil and gas industry; our business strategies, including digital and “fit for basin,” as well as the strategies of our customers; our effective tax rate; our APS projects, joint ventures, and other alliances; our response to the COVID-19 pandemic and our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Schlumberger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Schlumberger disclaims any intention or obligation to update publicly or revise such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1"/>
      <w:numFmt w:val="decimal"/>
      <w:start w:val="99"/>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8"/>
    </w:lvl>
  </w:abstractNum>
  <w:abstractNum w:abstractNumId="20">
    <w:nsid w:val="721DA317"/>
    <w:multiLevelType w:val="hybridMultilevel"/>
    <w:lvl w:ilvl="0">
      <w:lvlJc w:val="left"/>
      <w:lvlText w:val="%1)"/>
      <w:numFmt w:val="decimal"/>
      <w:start w:val="9"/>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2022-10-21T06:14:13Z</dcterms:created>
  <dcterms:modified xsi:type="dcterms:W3CDTF">2022-10-21T06:14:13Z</dcterms:modified>
</cp:coreProperties>
</file>