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340" w:lineRule="exact"/>
        <w:rPr>
          <w:sz w:val="24"/>
          <w:szCs w:val="24"/>
          <w:color w:val="auto"/>
        </w:rPr>
      </w:pPr>
    </w:p>
    <w:p>
      <w:pPr>
        <w:ind w:left="1900"/>
        <w:spacing w:after="0"/>
        <w:rPr>
          <w:sz w:val="20"/>
          <w:szCs w:val="20"/>
          <w:color w:val="auto"/>
        </w:rPr>
      </w:pPr>
      <w:r>
        <w:rPr>
          <w:rFonts w:ascii="Arial" w:cs="Arial" w:eastAsia="Arial" w:hAnsi="Arial"/>
          <w:sz w:val="12"/>
          <w:szCs w:val="12"/>
          <w:b w:val="1"/>
          <w:bCs w:val="1"/>
          <w:color w:val="auto"/>
        </w:rPr>
        <w:t>For the quarterly period ended:</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Commission file No.:</w:t>
      </w:r>
    </w:p>
    <w:p>
      <w:pPr>
        <w:spacing w:after="0" w:line="36" w:lineRule="exact"/>
        <w:rPr>
          <w:sz w:val="24"/>
          <w:szCs w:val="24"/>
          <w:color w:val="auto"/>
        </w:rPr>
      </w:pPr>
    </w:p>
    <w:p>
      <w:pPr>
        <w:sectPr>
          <w:pgSz w:w="11900" w:h="16838" w:orient="portrait"/>
          <w:cols w:equalWidth="0" w:num="2">
            <w:col w:w="7420" w:space="720"/>
            <w:col w:w="3280"/>
          </w:cols>
          <w:pgMar w:left="240" w:top="230" w:right="239" w:bottom="1440" w:gutter="0" w:footer="0" w:header="0"/>
          <w:type w:val="continuous"/>
        </w:sectPr>
      </w:pPr>
    </w:p>
    <w:p>
      <w:pPr>
        <w:ind w:left="2080"/>
        <w:spacing w:after="0"/>
        <w:rPr>
          <w:sz w:val="20"/>
          <w:szCs w:val="20"/>
          <w:color w:val="auto"/>
        </w:rPr>
      </w:pPr>
      <w:r>
        <w:rPr>
          <w:rFonts w:ascii="Arial" w:cs="Arial" w:eastAsia="Arial" w:hAnsi="Arial"/>
          <w:sz w:val="15"/>
          <w:szCs w:val="15"/>
          <w:b w:val="1"/>
          <w:bCs w:val="1"/>
          <w:color w:val="auto"/>
        </w:rPr>
        <w:t>September 30, 2010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1-4601</w:t>
      </w:r>
    </w:p>
    <w:p>
      <w:pPr>
        <w:spacing w:after="0" w:line="151" w:lineRule="exact"/>
        <w:rPr>
          <w:sz w:val="24"/>
          <w:szCs w:val="24"/>
          <w:color w:val="auto"/>
        </w:rPr>
      </w:pPr>
    </w:p>
    <w:p>
      <w:pPr>
        <w:sectPr>
          <w:pgSz w:w="11900" w:h="16838" w:orient="portrait"/>
          <w:cols w:equalWidth="0" w:num="2">
            <w:col w:w="7780" w:space="720"/>
            <w:col w:w="29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32"/>
          <w:szCs w:val="32"/>
          <w:b w:val="1"/>
          <w:bCs w:val="1"/>
          <w:color w:val="auto"/>
        </w:rPr>
        <w:t>SCHLUMBERGER N.V.</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580" w:type="dxa"/>
        <w:tblCellMar>
          <w:top w:w="0" w:type="dxa"/>
          <w:left w:w="0" w:type="dxa"/>
          <w:bottom w:w="0" w:type="dxa"/>
          <w:right w:w="0" w:type="dxa"/>
        </w:tblCellMar>
      </w:tblPr>
      <w:tr>
        <w:trPr>
          <w:trHeight w:val="21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7"/>
              </w:rPr>
              <w:t>CURACAO</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540" w:type="dxa"/>
            <w:vAlign w:val="bottom"/>
          </w:tcPr>
          <w:p>
            <w:pPr>
              <w:jc w:val="center"/>
              <w:ind w:right="1998"/>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140" w:type="dxa"/>
            <w:vAlign w:val="bottom"/>
          </w:tcPr>
          <w:p>
            <w:pPr>
              <w:jc w:val="center"/>
              <w:ind w:left="2021"/>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47"/>
        </w:trPr>
        <w:tc>
          <w:tcPr>
            <w:tcW w:w="4540" w:type="dxa"/>
            <w:vAlign w:val="bottom"/>
          </w:tcPr>
          <w:p>
            <w:pPr>
              <w:jc w:val="center"/>
              <w:ind w:right="1998"/>
              <w:spacing w:after="0" w:line="147" w:lineRule="exact"/>
              <w:rPr>
                <w:sz w:val="20"/>
                <w:szCs w:val="20"/>
                <w:color w:val="auto"/>
              </w:rPr>
            </w:pPr>
            <w:r>
              <w:rPr>
                <w:rFonts w:ascii="Arial" w:cs="Arial" w:eastAsia="Arial" w:hAnsi="Arial"/>
                <w:sz w:val="14"/>
                <w:szCs w:val="14"/>
                <w:b w:val="1"/>
                <w:bCs w:val="1"/>
                <w:color w:val="auto"/>
                <w:w w:val="89"/>
              </w:rPr>
              <w:t>incorporation or organization)</w:t>
            </w:r>
          </w:p>
        </w:tc>
        <w:tc>
          <w:tcPr>
            <w:tcW w:w="3140" w:type="dxa"/>
            <w:vAlign w:val="bottom"/>
          </w:tcPr>
          <w:p>
            <w:pPr>
              <w:jc w:val="center"/>
              <w:ind w:left="2021"/>
              <w:spacing w:after="0" w:line="147" w:lineRule="exact"/>
              <w:rPr>
                <w:sz w:val="20"/>
                <w:szCs w:val="20"/>
                <w:color w:val="auto"/>
              </w:rPr>
            </w:pPr>
            <w:r>
              <w:rPr>
                <w:rFonts w:ascii="Arial" w:cs="Arial" w:eastAsia="Arial" w:hAnsi="Arial"/>
                <w:sz w:val="14"/>
                <w:szCs w:val="14"/>
                <w:b w:val="1"/>
                <w:bCs w:val="1"/>
                <w:color w:val="auto"/>
                <w:w w:val="87"/>
              </w:rPr>
              <w:t>Identification No.)</w:t>
            </w:r>
          </w:p>
        </w:tc>
      </w:tr>
      <w:tr>
        <w:trPr>
          <w:trHeight w:val="216"/>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9"/>
              </w:rPr>
              <w:t>42 RUE SAINT-DOMINIQUE</w:t>
            </w:r>
          </w:p>
        </w:tc>
        <w:tc>
          <w:tcPr>
            <w:tcW w:w="3140" w:type="dxa"/>
            <w:vAlign w:val="bottom"/>
          </w:tcPr>
          <w:p>
            <w:pPr>
              <w:spacing w:after="0"/>
              <w:rPr>
                <w:sz w:val="18"/>
                <w:szCs w:val="18"/>
                <w:color w:val="auto"/>
              </w:rPr>
            </w:pPr>
          </w:p>
        </w:tc>
      </w:tr>
      <w:tr>
        <w:trPr>
          <w:trHeight w:val="216"/>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5"/>
              </w:rPr>
              <w:t>PARIS, FRANCE</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75007</w:t>
            </w:r>
          </w:p>
        </w:tc>
      </w:tr>
      <w:tr>
        <w:trPr>
          <w:trHeight w:val="216"/>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4"/>
              </w:rPr>
              <w:t>5599 SAN FELIPE, 17</w:t>
            </w:r>
            <w:r>
              <w:rPr>
                <w:rFonts w:ascii="Arial" w:cs="Arial" w:eastAsia="Arial" w:hAnsi="Arial"/>
                <w:sz w:val="11"/>
                <w:szCs w:val="11"/>
                <w:b w:val="1"/>
                <w:bCs w:val="1"/>
                <w:color w:val="auto"/>
                <w:w w:val="94"/>
              </w:rPr>
              <w:t>th</w:t>
            </w:r>
            <w:r>
              <w:rPr>
                <w:rFonts w:ascii="Arial" w:cs="Arial" w:eastAsia="Arial" w:hAnsi="Arial"/>
                <w:sz w:val="18"/>
                <w:szCs w:val="18"/>
                <w:b w:val="1"/>
                <w:bCs w:val="1"/>
                <w:color w:val="auto"/>
                <w:w w:val="94"/>
              </w:rPr>
              <w:t xml:space="preserve"> FLOOR</w:t>
            </w:r>
          </w:p>
        </w:tc>
        <w:tc>
          <w:tcPr>
            <w:tcW w:w="3140" w:type="dxa"/>
            <w:vAlign w:val="bottom"/>
          </w:tcPr>
          <w:p>
            <w:pPr>
              <w:spacing w:after="0"/>
              <w:rPr>
                <w:sz w:val="18"/>
                <w:szCs w:val="18"/>
                <w:color w:val="auto"/>
              </w:rPr>
            </w:pPr>
          </w:p>
        </w:tc>
      </w:tr>
      <w:tr>
        <w:trPr>
          <w:trHeight w:val="216"/>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4"/>
              </w:rPr>
              <w:t>HOUSTON, TEXAS, U.S.A.</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77056</w:t>
            </w:r>
          </w:p>
        </w:tc>
      </w:tr>
      <w:tr>
        <w:trPr>
          <w:trHeight w:val="216"/>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5"/>
              </w:rPr>
              <w:t>PARKSTRAAT 83</w:t>
            </w:r>
          </w:p>
        </w:tc>
        <w:tc>
          <w:tcPr>
            <w:tcW w:w="3140" w:type="dxa"/>
            <w:vAlign w:val="bottom"/>
          </w:tcPr>
          <w:p>
            <w:pPr>
              <w:spacing w:after="0"/>
              <w:rPr>
                <w:sz w:val="18"/>
                <w:szCs w:val="18"/>
                <w:color w:val="auto"/>
              </w:rPr>
            </w:pPr>
          </w:p>
        </w:tc>
      </w:tr>
      <w:tr>
        <w:trPr>
          <w:trHeight w:val="216"/>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9"/>
              </w:rPr>
              <w:t>THE HAGUE,</w:t>
            </w:r>
          </w:p>
        </w:tc>
        <w:tc>
          <w:tcPr>
            <w:tcW w:w="3140" w:type="dxa"/>
            <w:vAlign w:val="bottom"/>
          </w:tcPr>
          <w:p>
            <w:pPr>
              <w:spacing w:after="0"/>
              <w:rPr>
                <w:sz w:val="18"/>
                <w:szCs w:val="18"/>
                <w:color w:val="auto"/>
              </w:rPr>
            </w:pPr>
          </w:p>
        </w:tc>
      </w:tr>
      <w:tr>
        <w:trPr>
          <w:trHeight w:val="21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8"/>
              </w:rPr>
              <w:t>THE NETHERLANDS</w:t>
            </w:r>
          </w:p>
        </w:tc>
        <w:tc>
          <w:tcPr>
            <w:tcW w:w="3140" w:type="dxa"/>
            <w:vAlign w:val="bottom"/>
          </w:tcPr>
          <w:p>
            <w:pPr>
              <w:jc w:val="center"/>
              <w:ind w:left="200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540" w:type="dxa"/>
            <w:vAlign w:val="bottom"/>
          </w:tcPr>
          <w:p>
            <w:pPr>
              <w:jc w:val="center"/>
              <w:ind w:right="1998"/>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140" w:type="dxa"/>
            <w:vAlign w:val="bottom"/>
          </w:tcPr>
          <w:p>
            <w:pPr>
              <w:jc w:val="center"/>
              <w:ind w:left="2021"/>
              <w:spacing w:after="0"/>
              <w:rPr>
                <w:sz w:val="20"/>
                <w:szCs w:val="20"/>
                <w:color w:val="auto"/>
              </w:rPr>
            </w:pPr>
            <w:r>
              <w:rPr>
                <w:rFonts w:ascii="Arial" w:cs="Arial" w:eastAsia="Arial" w:hAnsi="Arial"/>
                <w:sz w:val="14"/>
                <w:szCs w:val="14"/>
                <w:b w:val="1"/>
                <w:bCs w:val="1"/>
                <w:color w:val="auto"/>
                <w:w w:val="88"/>
              </w:rPr>
              <w:t>(Zip Codes)</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(713) 513-2000</w:t>
      </w:r>
    </w:p>
    <w:p>
      <w:pPr>
        <w:spacing w:after="0" w:line="96"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8" w:lineRule="exact"/>
        <w:rPr>
          <w:sz w:val="24"/>
          <w:szCs w:val="24"/>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7" w:lineRule="exact"/>
        <w:rPr>
          <w:sz w:val="24"/>
          <w:szCs w:val="24"/>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p>
      <w:pPr>
        <w:spacing w:after="0" w:line="207" w:lineRule="exact"/>
        <w:tabs>
          <w:tab w:leader="none" w:pos="2740" w:val="left"/>
          <w:tab w:leader="none" w:pos="5380" w:val="left"/>
          <w:tab w:leader="none" w:pos="82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jc w:val="center"/>
              <w:ind w:right="542"/>
              <w:spacing w:after="0"/>
              <w:rPr>
                <w:sz w:val="20"/>
                <w:szCs w:val="20"/>
                <w:color w:val="auto"/>
              </w:rPr>
            </w:pPr>
            <w:r>
              <w:rPr>
                <w:rFonts w:ascii="Arial" w:cs="Arial" w:eastAsia="Arial" w:hAnsi="Arial"/>
                <w:sz w:val="14"/>
                <w:szCs w:val="14"/>
                <w:b w:val="1"/>
                <w:bCs w:val="1"/>
                <w:color w:val="auto"/>
                <w:w w:val="80"/>
              </w:rPr>
              <w:t>Class</w:t>
            </w:r>
          </w:p>
        </w:tc>
        <w:tc>
          <w:tcPr>
            <w:tcW w:w="5180" w:type="dxa"/>
            <w:vAlign w:val="bottom"/>
          </w:tcPr>
          <w:p>
            <w:pPr>
              <w:jc w:val="center"/>
              <w:ind w:right="102"/>
              <w:spacing w:after="0"/>
              <w:rPr>
                <w:sz w:val="20"/>
                <w:szCs w:val="20"/>
                <w:color w:val="auto"/>
              </w:rPr>
            </w:pPr>
            <w:r>
              <w:rPr>
                <w:rFonts w:ascii="Arial" w:cs="Arial" w:eastAsia="Arial" w:hAnsi="Arial"/>
                <w:sz w:val="14"/>
                <w:szCs w:val="14"/>
                <w:b w:val="1"/>
                <w:bCs w:val="1"/>
                <w:color w:val="auto"/>
                <w:w w:val="87"/>
              </w:rPr>
              <w:t>Outstanding at September 30, 2010</w:t>
            </w:r>
          </w:p>
        </w:tc>
      </w:tr>
      <w:tr>
        <w:trPr>
          <w:trHeight w:val="222"/>
        </w:trPr>
        <w:tc>
          <w:tcPr>
            <w:tcW w:w="6240" w:type="dxa"/>
            <w:vAlign w:val="bottom"/>
          </w:tcPr>
          <w:p>
            <w:pPr>
              <w:jc w:val="center"/>
              <w:ind w:right="522"/>
              <w:spacing w:after="0"/>
              <w:rPr>
                <w:sz w:val="20"/>
                <w:szCs w:val="20"/>
                <w:color w:val="auto"/>
              </w:rPr>
            </w:pPr>
            <w:r>
              <w:rPr>
                <w:rFonts w:ascii="Arial" w:cs="Arial" w:eastAsia="Arial" w:hAnsi="Arial"/>
                <w:sz w:val="18"/>
                <w:szCs w:val="18"/>
                <w:color w:val="auto"/>
                <w:w w:val="92"/>
              </w:rPr>
              <w:t>COMMON STOCK, $0.01 PAR VALUE PER SHARE</w:t>
            </w:r>
          </w:p>
        </w:tc>
        <w:tc>
          <w:tcPr>
            <w:tcW w:w="5180" w:type="dxa"/>
            <w:vAlign w:val="bottom"/>
          </w:tcPr>
          <w:p>
            <w:pPr>
              <w:jc w:val="right"/>
              <w:ind w:right="2102"/>
              <w:spacing w:after="0"/>
              <w:rPr>
                <w:sz w:val="20"/>
                <w:szCs w:val="20"/>
                <w:color w:val="auto"/>
              </w:rPr>
            </w:pPr>
            <w:r>
              <w:rPr>
                <w:rFonts w:ascii="Arial" w:cs="Arial" w:eastAsia="Arial" w:hAnsi="Arial"/>
                <w:sz w:val="18"/>
                <w:szCs w:val="18"/>
                <w:color w:val="auto"/>
              </w:rPr>
              <w:t>1,364,379,732</w:t>
            </w:r>
          </w:p>
        </w:tc>
      </w:tr>
      <w:tr>
        <w:trPr>
          <w:trHeight w:val="83"/>
        </w:trPr>
        <w:tc>
          <w:tcPr>
            <w:tcW w:w="6240" w:type="dxa"/>
            <w:vAlign w:val="bottom"/>
            <w:tcBorders>
              <w:bottom w:val="single" w:sz="8" w:color="auto"/>
            </w:tcBorders>
          </w:tcPr>
          <w:p>
            <w:pPr>
              <w:spacing w:after="0"/>
              <w:rPr>
                <w:sz w:val="7"/>
                <w:szCs w:val="7"/>
                <w:color w:val="auto"/>
              </w:rPr>
            </w:pPr>
          </w:p>
        </w:tc>
        <w:tc>
          <w:tcPr>
            <w:tcW w:w="5180" w:type="dxa"/>
            <w:vAlign w:val="bottom"/>
            <w:tcBorders>
              <w:bottom w:val="single" w:sz="8" w:color="auto"/>
            </w:tcBorders>
          </w:tcPr>
          <w:p>
            <w:pPr>
              <w:spacing w:after="0"/>
              <w:rPr>
                <w:sz w:val="7"/>
                <w:szCs w:val="7"/>
                <w:color w:val="auto"/>
              </w:rPr>
            </w:pPr>
          </w:p>
        </w:tc>
      </w:tr>
      <w:tr>
        <w:trPr>
          <w:trHeight w:val="21"/>
        </w:trPr>
        <w:tc>
          <w:tcPr>
            <w:tcW w:w="624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Third Quarter 2010 Form 10-Q</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w w:val="94"/>
              </w:rPr>
              <w:t>PART I</w:t>
            </w:r>
          </w:p>
        </w:tc>
        <w:tc>
          <w:tcPr>
            <w:tcW w:w="540" w:type="dxa"/>
            <w:vAlign w:val="bottom"/>
            <w:gridSpan w:val="2"/>
            <w:vMerge w:val="restart"/>
          </w:tcPr>
          <w:p>
            <w:pPr>
              <w:spacing w:after="0"/>
              <w:rPr>
                <w:sz w:val="14"/>
                <w:szCs w:val="14"/>
                <w:color w:val="auto"/>
              </w:rPr>
            </w:pPr>
          </w:p>
        </w:tc>
        <w:tc>
          <w:tcPr>
            <w:tcW w:w="1660" w:type="dxa"/>
            <w:vAlign w:val="bottom"/>
            <w:gridSpan w:val="7"/>
            <w:vMerge w:val="restart"/>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Financial Information</w:t>
              </w:r>
            </w:hyperlink>
          </w:p>
        </w:tc>
        <w:tc>
          <w:tcPr>
            <w:tcW w:w="8260" w:type="dxa"/>
            <w:vAlign w:val="bottom"/>
            <w:gridSpan w:val="7"/>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580" w:type="dxa"/>
            <w:vAlign w:val="bottom"/>
            <w:tcBorders>
              <w:bottom w:val="single" w:sz="8" w:color="auto"/>
            </w:tcBorders>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660" w:type="dxa"/>
            <w:vAlign w:val="bottom"/>
            <w:tcBorders>
              <w:bottom w:val="single" w:sz="8" w:color="0000EE"/>
            </w:tcBorders>
            <w:gridSpan w:val="7"/>
            <w:vMerge w:val="continue"/>
          </w:tcPr>
          <w:p>
            <w:pPr>
              <w:spacing w:after="0"/>
              <w:rPr>
                <w:sz w:val="14"/>
                <w:szCs w:val="14"/>
                <w:color w:val="auto"/>
              </w:rPr>
            </w:pPr>
          </w:p>
        </w:tc>
        <w:tc>
          <w:tcPr>
            <w:tcW w:w="826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Management’s Discussion and Analysis of Financial Condition and Results of Operations</w:t>
              </w:r>
            </w:hyperlink>
          </w:p>
        </w:tc>
        <w:tc>
          <w:tcPr>
            <w:tcW w:w="36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Quantitative and Qualitative Disclosures about Market Risk</w:t>
              </w:r>
            </w:hyperlink>
          </w:p>
        </w:tc>
        <w:tc>
          <w:tcPr>
            <w:tcW w:w="57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920" w:type="dxa"/>
            <w:vAlign w:val="bottom"/>
            <w:gridSpan w:val="1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72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Other Information</w:t>
              </w:r>
            </w:hyperlink>
          </w:p>
        </w:tc>
        <w:tc>
          <w:tcPr>
            <w:tcW w:w="820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Item 1.</w:t>
            </w:r>
          </w:p>
        </w:tc>
        <w:tc>
          <w:tcPr>
            <w:tcW w:w="48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Legal Proceedings</w:t>
              </w:r>
            </w:hyperlink>
          </w:p>
        </w:tc>
        <w:tc>
          <w:tcPr>
            <w:tcW w:w="160" w:type="dxa"/>
            <w:vAlign w:val="bottom"/>
            <w:tcBorders>
              <w:top w:val="single" w:sz="8" w:color="0000EE"/>
            </w:tcBorders>
          </w:tcPr>
          <w:p>
            <w:pPr>
              <w:spacing w:after="0"/>
              <w:rPr>
                <w:sz w:val="24"/>
                <w:szCs w:val="24"/>
                <w:color w:val="auto"/>
              </w:rPr>
            </w:pPr>
          </w:p>
        </w:tc>
        <w:tc>
          <w:tcPr>
            <w:tcW w:w="84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Risk Factors</w:t>
              </w:r>
            </w:hyperlink>
          </w:p>
        </w:tc>
        <w:tc>
          <w:tcPr>
            <w:tcW w:w="904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40">
              <w:r>
                <w:rPr>
                  <w:rFonts w:ascii="Arial" w:cs="Arial" w:eastAsia="Arial" w:hAnsi="Arial"/>
                  <w:sz w:val="18"/>
                  <w:szCs w:val="18"/>
                  <w:color w:val="0000EE"/>
                  <w:w w:val="86"/>
                </w:rPr>
                <w:t>Unregistered Sales of Equity Securities and Use of Proceeds</w:t>
              </w:r>
            </w:hyperlink>
          </w:p>
        </w:tc>
        <w:tc>
          <w:tcPr>
            <w:tcW w:w="56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920" w:type="dxa"/>
            <w:vAlign w:val="bottom"/>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6"/>
              </w:rPr>
            </w:pPr>
            <w:hyperlink w:anchor="page41">
              <w:r>
                <w:rPr>
                  <w:rFonts w:ascii="Arial" w:cs="Arial" w:eastAsia="Arial" w:hAnsi="Arial"/>
                  <w:sz w:val="18"/>
                  <w:szCs w:val="18"/>
                  <w:color w:val="0000EE"/>
                  <w:w w:val="86"/>
                </w:rPr>
                <w:t>[Removed and Reserved]</w:t>
              </w:r>
            </w:hyperlink>
          </w:p>
        </w:tc>
        <w:tc>
          <w:tcPr>
            <w:tcW w:w="480" w:type="dxa"/>
            <w:vAlign w:val="bottom"/>
            <w:tcBorders>
              <w:top w:val="single" w:sz="8" w:color="0000EE"/>
            </w:tcBorders>
          </w:tcPr>
          <w:p>
            <w:pPr>
              <w:spacing w:after="0"/>
              <w:rPr>
                <w:sz w:val="24"/>
                <w:szCs w:val="24"/>
                <w:color w:val="auto"/>
              </w:rPr>
            </w:pPr>
          </w:p>
        </w:tc>
        <w:tc>
          <w:tcPr>
            <w:tcW w:w="76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Other Information</w:t>
              </w:r>
            </w:hyperlink>
          </w:p>
        </w:tc>
        <w:tc>
          <w:tcPr>
            <w:tcW w:w="86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96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Certifications</w:t>
            </w:r>
          </w:p>
        </w:tc>
        <w:tc>
          <w:tcPr>
            <w:tcW w:w="8960" w:type="dxa"/>
            <w:vAlign w:val="bottom"/>
            <w:gridSpan w:val="11"/>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00" w:type="dxa"/>
            <w:vAlign w:val="bottom"/>
            <w:gridSpan w:val="13"/>
          </w:tcPr>
          <w:p>
            <w:pPr>
              <w:ind w:left="4560"/>
              <w:spacing w:after="0"/>
              <w:rPr>
                <w:sz w:val="20"/>
                <w:szCs w:val="20"/>
                <w:color w:val="auto"/>
              </w:rPr>
            </w:pPr>
            <w:r>
              <w:rPr>
                <w:rFonts w:ascii="Arial" w:cs="Arial" w:eastAsia="Arial" w:hAnsi="Arial"/>
                <w:sz w:val="18"/>
                <w:szCs w:val="18"/>
                <w:color w:val="auto"/>
              </w:rPr>
              <w:t>2</w:t>
            </w:r>
          </w:p>
        </w:tc>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PART I.</w:t>
      </w:r>
      <w:r>
        <w:rPr>
          <w:sz w:val="20"/>
          <w:szCs w:val="20"/>
          <w:color w:val="auto"/>
        </w:rPr>
        <w:tab/>
      </w:r>
      <w:r>
        <w:rPr>
          <w:rFonts w:ascii="Arial" w:cs="Arial" w:eastAsia="Arial" w:hAnsi="Arial"/>
          <w:sz w:val="18"/>
          <w:szCs w:val="18"/>
          <w:b w:val="1"/>
          <w:bCs w:val="1"/>
          <w:u w:val="single" w:color="auto"/>
          <w:color w:val="auto"/>
        </w:rPr>
        <w:t>FINANCIAL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Financial Statements.</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92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20" w:type="dxa"/>
            <w:vAlign w:val="bottom"/>
            <w:gridSpan w:val="10"/>
          </w:tcPr>
          <w:p>
            <w:pPr>
              <w:jc w:val="right"/>
              <w:ind w:right="100"/>
              <w:spacing w:after="0"/>
              <w:rPr>
                <w:sz w:val="20"/>
                <w:szCs w:val="20"/>
                <w:color w:val="auto"/>
              </w:rPr>
            </w:pPr>
            <w:r>
              <w:rPr>
                <w:rFonts w:ascii="Arial" w:cs="Arial" w:eastAsia="Arial" w:hAnsi="Arial"/>
                <w:sz w:val="14"/>
                <w:szCs w:val="14"/>
                <w:i w:val="1"/>
                <w:iCs w:val="1"/>
                <w:color w:val="auto"/>
                <w:w w:val="87"/>
              </w:rPr>
              <w:t>(Stated in millions, except per share amounts)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Third Quarter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2010</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2009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6,845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5,430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7"/>
              </w:rPr>
              <w:t>18,379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i w:val="1"/>
                <w:iCs w:val="1"/>
                <w:color w:val="auto"/>
              </w:rPr>
              <w:t>Interest &amp; other income, net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169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Gain on investment in M-I SWACO</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1,270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5,379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7"/>
              </w:rPr>
              <w:t>14,297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Research &amp; engineering</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662</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456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Merger &amp; integration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136</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&amp; 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299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before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1,940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3,822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Taxes on income</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600</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1,731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3,222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Net loss (income) attributable to noncontrolling interests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1,734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3,224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2.66</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1,249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1,212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Assuming dilution</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1,258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1,227</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4"/>
                <w:szCs w:val="14"/>
                <w:i w:val="1"/>
                <w:iCs w:val="1"/>
                <w:color w:val="auto"/>
                <w:w w:val="90"/>
              </w:rPr>
              <w:t>(Stated in millions)</w:t>
            </w:r>
          </w:p>
        </w:tc>
      </w:tr>
      <w:tr>
        <w:trPr>
          <w:trHeight w:val="149"/>
        </w:trPr>
        <w:tc>
          <w:tcPr>
            <w:tcW w:w="9280" w:type="dxa"/>
            <w:vAlign w:val="bottom"/>
          </w:tcPr>
          <w:p>
            <w:pPr>
              <w:spacing w:after="0"/>
              <w:rPr>
                <w:sz w:val="12"/>
                <w:szCs w:val="12"/>
                <w:color w:val="auto"/>
              </w:rPr>
            </w:pPr>
          </w:p>
        </w:tc>
        <w:tc>
          <w:tcPr>
            <w:tcW w:w="9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7"/>
              </w:rPr>
              <w:t>Sept. 30, 2010</w:t>
            </w:r>
          </w:p>
        </w:tc>
        <w:tc>
          <w:tcPr>
            <w:tcW w:w="540" w:type="dxa"/>
            <w:vAlign w:val="bottom"/>
          </w:tcPr>
          <w:p>
            <w:pPr>
              <w:spacing w:after="0"/>
              <w:rPr>
                <w:sz w:val="12"/>
                <w:szCs w:val="12"/>
                <w:color w:val="auto"/>
              </w:rPr>
            </w:pPr>
          </w:p>
        </w:tc>
        <w:tc>
          <w:tcPr>
            <w:tcW w:w="6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Dec. 31,</w:t>
            </w:r>
          </w:p>
        </w:tc>
      </w:tr>
      <w:tr>
        <w:trPr>
          <w:trHeight w:val="161"/>
        </w:trPr>
        <w:tc>
          <w:tcPr>
            <w:tcW w:w="9280" w:type="dxa"/>
            <w:vAlign w:val="bottom"/>
          </w:tcPr>
          <w:p>
            <w:pPr>
              <w:spacing w:after="0"/>
              <w:rPr>
                <w:sz w:val="14"/>
                <w:szCs w:val="14"/>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1,114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1,511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3,999</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Receivables less allowance for doubtful accounts (2010—$156; 2009—$160)</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8,600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6,088</w:t>
            </w: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3,941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1,866</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taxes</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16,446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13,650</w:t>
            </w:r>
          </w:p>
        </w:tc>
      </w:tr>
      <w:tr>
        <w:trPr>
          <w:trHeight w:val="216"/>
        </w:trPr>
        <w:tc>
          <w:tcPr>
            <w:tcW w:w="928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w:t>
            </w:r>
          </w:p>
        </w:tc>
      </w:tr>
      <w:tr>
        <w:trPr>
          <w:trHeight w:val="216"/>
        </w:trPr>
        <w:tc>
          <w:tcPr>
            <w:tcW w:w="928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11,900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9,660</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r>
      <w:tr>
        <w:trPr>
          <w:trHeight w:val="216"/>
        </w:trPr>
        <w:tc>
          <w:tcPr>
            <w:tcW w:w="928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13,671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5,305</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Intangible Assets</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5,248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r>
      <w:tr>
        <w:trPr>
          <w:trHeight w:val="216"/>
        </w:trPr>
        <w:tc>
          <w:tcPr>
            <w:tcW w:w="928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2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r>
      <w:tr>
        <w:trPr>
          <w:trHeight w:val="223"/>
        </w:trPr>
        <w:tc>
          <w:tcPr>
            <w:tcW w:w="92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49,854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center"/>
              <w:ind w:left="456"/>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33,465</w:t>
            </w:r>
          </w:p>
        </w:tc>
      </w:tr>
      <w:tr>
        <w:trPr>
          <w:trHeight w:val="20"/>
        </w:trPr>
        <w:tc>
          <w:tcPr>
            <w:tcW w:w="9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6,308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5,003</w:t>
            </w: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Estimated liability for taxes on income</w:t>
            </w: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1,217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 payable</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Long-term debt—current portion</w:t>
            </w: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1,470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446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Convertible debentures</w:t>
            </w:r>
          </w:p>
        </w:tc>
        <w:tc>
          <w:tcPr>
            <w:tcW w:w="2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taxes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9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10,061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7,259</w:t>
            </w:r>
          </w:p>
        </w:tc>
      </w:tr>
      <w:tr>
        <w:trPr>
          <w:trHeight w:val="217"/>
        </w:trPr>
        <w:tc>
          <w:tcPr>
            <w:tcW w:w="9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Debt</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4,820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4,355</w:t>
            </w:r>
          </w:p>
        </w:tc>
      </w:tr>
      <w:tr>
        <w:trPr>
          <w:trHeight w:val="216"/>
        </w:trPr>
        <w:tc>
          <w:tcPr>
            <w:tcW w:w="928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1,192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1,660</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Deferred Taxes</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1,557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9280" w:type="dxa"/>
            <w:vAlign w:val="bottom"/>
          </w:tcPr>
          <w:p>
            <w:pPr>
              <w:spacing w:after="0"/>
              <w:rPr>
                <w:sz w:val="20"/>
                <w:szCs w:val="20"/>
                <w:color w:val="auto"/>
              </w:rPr>
            </w:pPr>
            <w:r>
              <w:rPr>
                <w:rFonts w:ascii="Arial" w:cs="Arial" w:eastAsia="Arial" w:hAnsi="Arial"/>
                <w:sz w:val="18"/>
                <w:szCs w:val="18"/>
                <w:i w:val="1"/>
                <w:iCs w:val="1"/>
                <w:color w:val="auto"/>
              </w:rPr>
              <w:t>Other Liabilities</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18,738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14,236</w:t>
            </w:r>
          </w:p>
        </w:tc>
      </w:tr>
      <w:tr>
        <w:trPr>
          <w:trHeight w:val="222"/>
        </w:trPr>
        <w:tc>
          <w:tcPr>
            <w:tcW w:w="9280" w:type="dxa"/>
            <w:vAlign w:val="bottom"/>
          </w:tcPr>
          <w:p>
            <w:pPr>
              <w:spacing w:after="0"/>
              <w:rPr>
                <w:sz w:val="20"/>
                <w:szCs w:val="20"/>
                <w:color w:val="auto"/>
              </w:rPr>
            </w:pPr>
            <w:r>
              <w:rPr>
                <w:rFonts w:ascii="Arial" w:cs="Arial" w:eastAsia="Arial" w:hAnsi="Arial"/>
                <w:sz w:val="18"/>
                <w:szCs w:val="18"/>
                <w:i w:val="1"/>
                <w:iCs w:val="1"/>
                <w:color w:val="auto"/>
              </w:rPr>
              <w:t>Equity</w:t>
            </w: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11,874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4,777</w:t>
            </w: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Treasury stock</w:t>
            </w:r>
          </w:p>
        </w:tc>
        <w:tc>
          <w:tcPr>
            <w:tcW w:w="2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(2,803)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(5,002)</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24,454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22,019</w:t>
            </w: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(2,627)</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(2,674)</w:t>
            </w: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Schlumberger stockholders’ equity</w:t>
            </w: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19,120</w:t>
            </w:r>
          </w:p>
        </w:tc>
        <w:tc>
          <w:tcPr>
            <w:tcW w:w="100" w:type="dxa"/>
            <w:vAlign w:val="bottom"/>
            <w:shd w:val="clear" w:color="auto" w:fill="CCEEFF"/>
          </w:tcPr>
          <w:p>
            <w:pPr>
              <w:spacing w:after="0"/>
              <w:rPr>
                <w:sz w:val="18"/>
                <w:szCs w:val="18"/>
                <w:color w:val="auto"/>
              </w:rPr>
            </w:pP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19,229</w:t>
            </w:r>
          </w:p>
        </w:tc>
        <w:tc>
          <w:tcPr>
            <w:tcW w:w="100" w:type="dxa"/>
            <w:vAlign w:val="bottom"/>
            <w:shd w:val="clear" w:color="auto" w:fill="CCEEFF"/>
          </w:tcPr>
          <w:p>
            <w:pPr>
              <w:spacing w:after="0"/>
              <w:rPr>
                <w:sz w:val="18"/>
                <w:szCs w:val="18"/>
                <w:color w:val="auto"/>
              </w:rPr>
            </w:pPr>
          </w:p>
        </w:tc>
      </w:tr>
      <w:tr>
        <w:trPr>
          <w:trHeight w:val="223"/>
        </w:trPr>
        <w:tc>
          <w:tcPr>
            <w:tcW w:w="92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49,854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center"/>
              <w:ind w:left="456"/>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33,465</w:t>
            </w:r>
          </w:p>
        </w:tc>
      </w:tr>
      <w:tr>
        <w:trPr>
          <w:trHeight w:val="20"/>
        </w:trPr>
        <w:tc>
          <w:tcPr>
            <w:tcW w:w="9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center"/>
              <w:ind w:left="274"/>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274"/>
              <w:spacing w:after="0"/>
              <w:rPr>
                <w:sz w:val="20"/>
                <w:szCs w:val="20"/>
                <w:color w:val="auto"/>
              </w:rPr>
            </w:pPr>
            <w:r>
              <w:rPr>
                <w:rFonts w:ascii="Arial" w:cs="Arial" w:eastAsia="Arial" w:hAnsi="Arial"/>
                <w:sz w:val="14"/>
                <w:szCs w:val="14"/>
                <w:b w:val="1"/>
                <w:bCs w:val="1"/>
                <w:color w:val="auto"/>
                <w:w w:val="83"/>
              </w:rPr>
              <w:t>Sept.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20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3,222</w:t>
            </w:r>
          </w:p>
        </w:tc>
        <w:tc>
          <w:tcPr>
            <w:tcW w:w="300" w:type="dxa"/>
            <w:vAlign w:val="bottom"/>
            <w:gridSpan w:val="2"/>
          </w:tcPr>
          <w:p>
            <w:pPr>
              <w:jc w:val="center"/>
              <w:ind w:left="92"/>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tcPr>
          <w:p>
            <w:pPr>
              <w:ind w:left="60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1,951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Gain on investment in M-I SWACO</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(1,238)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tcPr>
          <w:p>
            <w:pPr>
              <w:ind w:left="600"/>
              <w:spacing w:after="0"/>
              <w:rPr>
                <w:sz w:val="20"/>
                <w:szCs w:val="20"/>
                <w:color w:val="auto"/>
              </w:rPr>
            </w:pPr>
            <w:r>
              <w:rPr>
                <w:rFonts w:ascii="Arial" w:cs="Arial" w:eastAsia="Arial" w:hAnsi="Arial"/>
                <w:sz w:val="18"/>
                <w:szCs w:val="18"/>
                <w:color w:val="auto"/>
              </w:rPr>
              <w:t>Non-cash charges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Earnings of companies carried at equity, less dividends received</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tcPr>
          <w:p>
            <w:pPr>
              <w:ind w:left="600"/>
              <w:spacing w:after="0"/>
              <w:rPr>
                <w:sz w:val="20"/>
                <w:szCs w:val="20"/>
                <w:color w:val="auto"/>
              </w:rPr>
            </w:pPr>
            <w:r>
              <w:rPr>
                <w:rFonts w:ascii="Arial" w:cs="Arial" w:eastAsia="Arial" w:hAnsi="Arial"/>
                <w:sz w:val="18"/>
                <w:szCs w:val="18"/>
                <w:color w:val="auto"/>
              </w:rPr>
              <w:t>Deferred income taxes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Stock-based compensation expense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tcPr>
          <w:p>
            <w:pPr>
              <w:ind w:left="600"/>
              <w:spacing w:after="0"/>
              <w:rPr>
                <w:sz w:val="20"/>
                <w:szCs w:val="20"/>
                <w:color w:val="auto"/>
              </w:rPr>
            </w:pPr>
            <w:r>
              <w:rPr>
                <w:rFonts w:ascii="Arial" w:cs="Arial" w:eastAsia="Arial" w:hAnsi="Arial"/>
                <w:sz w:val="18"/>
                <w:szCs w:val="18"/>
                <w:color w:val="auto"/>
              </w:rPr>
              <w:t>Pension and other postretirement benefits curtailment charge</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Pension and other postretirement benefits expense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tcPr>
          <w:p>
            <w:pPr>
              <w:ind w:left="600"/>
              <w:spacing w:after="0"/>
              <w:rPr>
                <w:sz w:val="20"/>
                <w:szCs w:val="20"/>
                <w:color w:val="auto"/>
              </w:rPr>
            </w:pPr>
            <w:r>
              <w:rPr>
                <w:rFonts w:ascii="Arial" w:cs="Arial" w:eastAsia="Arial" w:hAnsi="Arial"/>
                <w:sz w:val="18"/>
                <w:szCs w:val="18"/>
                <w:color w:val="auto"/>
              </w:rPr>
              <w:t>Pension and other postretirement benefits funding</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Other non-cash items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 xml:space="preserve">Change in assets and liabilities: </w:t>
            </w:r>
            <w:r>
              <w:rPr>
                <w:rFonts w:ascii="Arial" w:cs="Arial" w:eastAsia="Arial" w:hAnsi="Arial"/>
                <w:sz w:val="11"/>
                <w:szCs w:val="11"/>
                <w:color w:val="auto"/>
              </w:rPr>
              <w:t>(2)</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(Increase) decrease in receivables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tcPr>
          <w:p>
            <w:pPr>
              <w:ind w:left="600"/>
              <w:spacing w:after="0"/>
              <w:rPr>
                <w:sz w:val="20"/>
                <w:szCs w:val="20"/>
                <w:color w:val="auto"/>
              </w:rPr>
            </w:pPr>
            <w:r>
              <w:rPr>
                <w:rFonts w:ascii="Arial" w:cs="Arial" w:eastAsia="Arial" w:hAnsi="Arial"/>
                <w:sz w:val="18"/>
                <w:szCs w:val="18"/>
                <w:color w:val="auto"/>
              </w:rPr>
              <w:t>Increase in inventories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Increase in other current assets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tcPr>
          <w:p>
            <w:pPr>
              <w:ind w:left="600"/>
              <w:spacing w:after="0"/>
              <w:rPr>
                <w:sz w:val="20"/>
                <w:szCs w:val="20"/>
                <w:color w:val="auto"/>
              </w:rPr>
            </w:pPr>
            <w:r>
              <w:rPr>
                <w:rFonts w:ascii="Arial" w:cs="Arial" w:eastAsia="Arial" w:hAnsi="Arial"/>
                <w:sz w:val="18"/>
                <w:szCs w:val="18"/>
                <w:color w:val="auto"/>
              </w:rPr>
              <w:t>Decrease in accounts payable and accrued liabilities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Increase (decrease) in estimated liability for taxes on income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tcPr>
          <w:p>
            <w:pPr>
              <w:ind w:left="600"/>
              <w:spacing w:after="0"/>
              <w:rPr>
                <w:sz w:val="20"/>
                <w:szCs w:val="20"/>
                <w:color w:val="auto"/>
              </w:rPr>
            </w:pPr>
            <w:r>
              <w:rPr>
                <w:rFonts w:ascii="Arial" w:cs="Arial" w:eastAsia="Arial" w:hAnsi="Arial"/>
                <w:sz w:val="18"/>
                <w:szCs w:val="18"/>
                <w:color w:val="auto"/>
              </w:rPr>
              <w:t>Decrease in other liabilities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Other—net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800" w:type="dxa"/>
            <w:vAlign w:val="bottom"/>
            <w:gridSpan w:val="4"/>
          </w:tcPr>
          <w:p>
            <w:pPr>
              <w:spacing w:after="0"/>
              <w:rPr>
                <w:sz w:val="20"/>
                <w:szCs w:val="20"/>
                <w:color w:val="auto"/>
              </w:rPr>
            </w:pPr>
            <w:r>
              <w:rPr>
                <w:rFonts w:ascii="Arial" w:cs="Arial" w:eastAsia="Arial" w:hAnsi="Arial"/>
                <w:sz w:val="18"/>
                <w:szCs w:val="18"/>
                <w:color w:val="auto"/>
              </w:rPr>
              <w:t>NET CASH PROVIDED BY OPERATING ACTIVITIES</w:t>
            </w:r>
          </w:p>
        </w:tc>
        <w:tc>
          <w:tcPr>
            <w:tcW w:w="19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3,096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3,344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Capital expenditures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(1,907)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Multiclient seismic data capitalized</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Cash acquired in merger with Smith International, Inc.</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Acquisition of Geoservices, net of cash acquired</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Other business acquisitions and investments, net of cash acquired</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 (purchase) of investments, net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2,620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(2,977)</w:t>
            </w:r>
          </w:p>
        </w:tc>
        <w:tc>
          <w:tcPr>
            <w:tcW w:w="0" w:type="dxa"/>
            <w:vAlign w:val="bottom"/>
          </w:tcPr>
          <w:p>
            <w:pPr>
              <w:spacing w:after="0"/>
              <w:rPr>
                <w:sz w:val="1"/>
                <w:szCs w:val="1"/>
                <w:color w:val="auto"/>
              </w:rPr>
            </w:pPr>
          </w:p>
        </w:tc>
      </w:tr>
      <w:tr>
        <w:trPr>
          <w:trHeight w:val="222"/>
        </w:trPr>
        <w:tc>
          <w:tcPr>
            <w:tcW w:w="7800" w:type="dxa"/>
            <w:vAlign w:val="bottom"/>
            <w:gridSpan w:val="4"/>
          </w:tcPr>
          <w:p>
            <w:pPr>
              <w:spacing w:after="0"/>
              <w:rPr>
                <w:sz w:val="20"/>
                <w:szCs w:val="20"/>
                <w:color w:val="auto"/>
              </w:rPr>
            </w:pPr>
            <w:r>
              <w:rPr>
                <w:rFonts w:ascii="Arial" w:cs="Arial" w:eastAsia="Arial" w:hAnsi="Arial"/>
                <w:sz w:val="18"/>
                <w:szCs w:val="18"/>
                <w:color w:val="auto"/>
              </w:rPr>
              <w:t>Cash flows from financing activities:</w:t>
            </w:r>
          </w:p>
        </w:tc>
        <w:tc>
          <w:tcPr>
            <w:tcW w:w="19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Tax benefits on stock options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 repurchase program</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(1,268)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Repayment of long-term debt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(1,267)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Net decrease in short-term borrowings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(2,342)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0"/>
        </w:trPr>
        <w:tc>
          <w:tcPr>
            <w:tcW w:w="7800" w:type="dxa"/>
            <w:vAlign w:val="bottom"/>
            <w:gridSpan w:val="4"/>
            <w:vMerge w:val="restart"/>
          </w:tcPr>
          <w:p>
            <w:pPr>
              <w:spacing w:after="0"/>
              <w:rPr>
                <w:sz w:val="20"/>
                <w:szCs w:val="20"/>
                <w:color w:val="auto"/>
              </w:rPr>
            </w:pPr>
            <w:r>
              <w:rPr>
                <w:rFonts w:ascii="Arial" w:cs="Arial" w:eastAsia="Arial" w:hAnsi="Arial"/>
                <w:sz w:val="18"/>
                <w:szCs w:val="18"/>
                <w:color w:val="auto"/>
              </w:rPr>
              <w:t>Net increase (decrease) in cash before translation effect</w:t>
            </w: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0" w:type="dxa"/>
            <w:vAlign w:val="bottom"/>
            <w:gridSpan w:val="4"/>
            <w:vMerge w:val="continue"/>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498</w:t>
            </w:r>
          </w:p>
        </w:tc>
        <w:tc>
          <w:tcPr>
            <w:tcW w:w="2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 effect on cash</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Cash, beginning of period</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1,114</w:t>
            </w:r>
          </w:p>
        </w:tc>
        <w:tc>
          <w:tcPr>
            <w:tcW w:w="3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6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60" w:type="dxa"/>
            <w:vAlign w:val="bottom"/>
          </w:tcPr>
          <w:p>
            <w:pPr>
              <w:spacing w:after="0"/>
              <w:rPr>
                <w:sz w:val="20"/>
                <w:szCs w:val="20"/>
                <w:color w:val="auto"/>
              </w:rPr>
            </w:pPr>
            <w:r>
              <w:rPr>
                <w:rFonts w:ascii="Arial" w:cs="Arial" w:eastAsia="Arial" w:hAnsi="Arial"/>
                <w:sz w:val="11"/>
                <w:szCs w:val="11"/>
                <w:color w:val="auto"/>
              </w:rPr>
              <w:t>(1)</w:t>
            </w:r>
          </w:p>
        </w:tc>
        <w:tc>
          <w:tcPr>
            <w:tcW w:w="7520" w:type="dxa"/>
            <w:vAlign w:val="bottom"/>
            <w:gridSpan w:val="2"/>
            <w:vMerge w:val="restart"/>
          </w:tcPr>
          <w:p>
            <w:pPr>
              <w:ind w:left="180"/>
              <w:spacing w:after="0" w:line="190" w:lineRule="exact"/>
              <w:rPr>
                <w:sz w:val="20"/>
                <w:szCs w:val="20"/>
                <w:color w:val="auto"/>
              </w:rPr>
            </w:pPr>
            <w:r>
              <w:rPr>
                <w:rFonts w:ascii="Arial" w:cs="Arial" w:eastAsia="Arial" w:hAnsi="Arial"/>
                <w:sz w:val="18"/>
                <w:szCs w:val="18"/>
                <w:color w:val="auto"/>
              </w:rPr>
              <w:t>Includes multiclient seismic data costs.</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520" w:type="dxa"/>
            <w:vAlign w:val="bottom"/>
            <w:gridSpan w:val="2"/>
            <w:vMerge w:val="continue"/>
          </w:tcPr>
          <w:p>
            <w:pPr>
              <w:spacing w:after="0"/>
              <w:rPr>
                <w:sz w:val="4"/>
                <w:szCs w:val="4"/>
                <w:color w:val="auto"/>
              </w:rPr>
            </w:pPr>
          </w:p>
        </w:tc>
        <w:tc>
          <w:tcPr>
            <w:tcW w:w="19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(2)</w:t>
            </w:r>
          </w:p>
        </w:tc>
        <w:tc>
          <w:tcPr>
            <w:tcW w:w="7100" w:type="dxa"/>
            <w:vAlign w:val="bottom"/>
            <w:vMerge w:val="restart"/>
          </w:tcPr>
          <w:p>
            <w:pPr>
              <w:ind w:left="160"/>
              <w:spacing w:after="0"/>
              <w:rPr>
                <w:sz w:val="20"/>
                <w:szCs w:val="20"/>
                <w:color w:val="auto"/>
              </w:rPr>
            </w:pPr>
            <w:r>
              <w:rPr>
                <w:rFonts w:ascii="Arial" w:cs="Arial" w:eastAsia="Arial" w:hAnsi="Arial"/>
                <w:sz w:val="18"/>
                <w:szCs w:val="18"/>
                <w:color w:val="auto"/>
              </w:rPr>
              <w:t>Net of the effect of business acquisitions.</w:t>
            </w:r>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7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00" w:type="dxa"/>
            <w:vAlign w:val="bottom"/>
          </w:tcPr>
          <w:p>
            <w:pPr>
              <w:spacing w:after="0"/>
              <w:rPr>
                <w:sz w:val="24"/>
                <w:szCs w:val="24"/>
                <w:color w:val="auto"/>
              </w:rPr>
            </w:pPr>
          </w:p>
        </w:tc>
        <w:tc>
          <w:tcPr>
            <w:tcW w:w="7100" w:type="dxa"/>
            <w:vAlign w:val="bottom"/>
          </w:tcPr>
          <w:p>
            <w:pPr>
              <w:ind w:left="3720"/>
              <w:spacing w:after="0"/>
              <w:rPr>
                <w:sz w:val="20"/>
                <w:szCs w:val="20"/>
                <w:color w:val="auto"/>
              </w:rPr>
            </w:pPr>
            <w:r>
              <w:rPr>
                <w:rFonts w:ascii="Arial" w:cs="Arial" w:eastAsia="Arial" w:hAnsi="Arial"/>
                <w:sz w:val="18"/>
                <w:szCs w:val="18"/>
                <w:color w:val="auto"/>
                <w:w w:val="86"/>
              </w:rPr>
              <w:t>See Notes to Consolidated Financial Statements</w:t>
            </w: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6"/>
            <w:vMerge w:val="restart"/>
          </w:tcPr>
          <w:p>
            <w:pPr>
              <w:jc w:val="right"/>
              <w:ind w:right="6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7"/>
              </w:rPr>
              <w:t>Retained</w:t>
            </w:r>
          </w:p>
        </w:tc>
        <w:tc>
          <w:tcPr>
            <w:tcW w:w="114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40" w:type="dxa"/>
            <w:vAlign w:val="bottom"/>
            <w:gridSpan w:val="3"/>
          </w:tcPr>
          <w:p>
            <w:pPr>
              <w:spacing w:after="0"/>
              <w:rPr>
                <w:sz w:val="20"/>
                <w:szCs w:val="20"/>
                <w:color w:val="auto"/>
              </w:rPr>
            </w:pPr>
            <w:r>
              <w:rPr>
                <w:rFonts w:ascii="Arial" w:cs="Arial" w:eastAsia="Arial" w:hAnsi="Arial"/>
                <w:sz w:val="14"/>
                <w:szCs w:val="14"/>
                <w:b w:val="1"/>
                <w:bCs w:val="1"/>
                <w:color w:val="auto"/>
              </w:rPr>
              <w:t>January 1, 2009—September 30, 2009</w:t>
            </w:r>
          </w:p>
        </w:tc>
        <w:tc>
          <w:tcPr>
            <w:tcW w:w="10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Issued</w:t>
            </w:r>
          </w:p>
        </w:tc>
        <w:tc>
          <w:tcPr>
            <w:tcW w:w="1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 Treasury</w:t>
            </w:r>
          </w:p>
        </w:tc>
        <w:tc>
          <w:tcPr>
            <w:tcW w:w="18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6"/>
              </w:rPr>
              <w:t>Earnings</w:t>
            </w:r>
          </w:p>
        </w:tc>
        <w:tc>
          <w:tcPr>
            <w:tcW w:w="18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2"/>
              </w:rPr>
              <w:t>Interests</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(4,796)</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$19,891</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2,338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Currency translation adjustments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Changes in fair value of derivatives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Deferred employee benefits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Shares sold to optionees, less shares exchanged</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Vesting of restricted stock</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under employee stock purchase plan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Stock-based compensation cost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noncontrolling interests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($0.63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(754)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Tax benefits on stock options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(4,568)</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21,475</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6"/>
            <w:vMerge w:val="restart"/>
          </w:tcPr>
          <w:p>
            <w:pPr>
              <w:jc w:val="right"/>
              <w:ind w:right="6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7"/>
              </w:rPr>
              <w:t>Retained</w:t>
            </w:r>
          </w:p>
        </w:tc>
        <w:tc>
          <w:tcPr>
            <w:tcW w:w="114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40" w:type="dxa"/>
            <w:vAlign w:val="bottom"/>
            <w:gridSpan w:val="3"/>
          </w:tcPr>
          <w:p>
            <w:pPr>
              <w:spacing w:after="0"/>
              <w:rPr>
                <w:sz w:val="20"/>
                <w:szCs w:val="20"/>
                <w:color w:val="auto"/>
              </w:rPr>
            </w:pPr>
            <w:r>
              <w:rPr>
                <w:rFonts w:ascii="Arial" w:cs="Arial" w:eastAsia="Arial" w:hAnsi="Arial"/>
                <w:sz w:val="14"/>
                <w:szCs w:val="14"/>
                <w:b w:val="1"/>
                <w:bCs w:val="1"/>
                <w:color w:val="auto"/>
              </w:rPr>
              <w:t>January 1, 2010—September 30, 2010</w:t>
            </w:r>
          </w:p>
        </w:tc>
        <w:tc>
          <w:tcPr>
            <w:tcW w:w="10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Issued</w:t>
            </w:r>
          </w:p>
        </w:tc>
        <w:tc>
          <w:tcPr>
            <w:tcW w:w="1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 Treasury</w:t>
            </w:r>
          </w:p>
        </w:tc>
        <w:tc>
          <w:tcPr>
            <w:tcW w:w="18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6"/>
              </w:rPr>
              <w:t>Earnings</w:t>
            </w:r>
          </w:p>
        </w:tc>
        <w:tc>
          <w:tcPr>
            <w:tcW w:w="18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2"/>
              </w:rPr>
              <w:t>Interests</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(5,002)</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$22,019</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3,224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Currency translation adjustments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Changes in fair value of derivatives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Deferred employee benefits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Shares sold to optionees, less shares exchanged</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Vesting of restricted stock</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under employee stock purchase plan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(1,268)</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cost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Shares issued on conversion of debentures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Smith International Inc.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Acquisition of noncontrolling interests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Dividends declared ($0.63 per share)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(789)</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benefits on stock options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gridSpan w:val="3"/>
          </w:tcPr>
          <w:p>
            <w:pPr>
              <w:spacing w:after="0"/>
              <w:rPr>
                <w:sz w:val="20"/>
                <w:szCs w:val="20"/>
                <w:color w:val="auto"/>
              </w:rPr>
            </w:pPr>
            <w:r>
              <w:rPr>
                <w:rFonts w:ascii="Arial" w:cs="Arial" w:eastAsia="Arial" w:hAnsi="Arial"/>
                <w:sz w:val="18"/>
                <w:szCs w:val="18"/>
                <w:color w:val="auto"/>
              </w:rPr>
              <w:t>Balance, September 30, 2010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11,874</w:t>
            </w:r>
          </w:p>
        </w:tc>
        <w:tc>
          <w:tcPr>
            <w:tcW w:w="22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(2,803)</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24,454</w:t>
            </w: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(2,627)</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218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right"/>
        <w:ind w:righ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4440"/>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9"/>
        </w:trPr>
        <w:tc>
          <w:tcPr>
            <w:tcW w:w="8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1"/>
        </w:trPr>
        <w:tc>
          <w:tcPr>
            <w:tcW w:w="8200" w:type="dxa"/>
            <w:vAlign w:val="bottom"/>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Issued</w:t>
            </w:r>
          </w:p>
        </w:tc>
        <w:tc>
          <w:tcPr>
            <w:tcW w:w="62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In Treasury</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Outstanding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1,334</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Acquisition of Smith International Inc.</w:t>
            </w:r>
          </w:p>
        </w:tc>
        <w:tc>
          <w:tcPr>
            <w:tcW w:w="460" w:type="dxa"/>
            <w:vAlign w:val="bottom"/>
          </w:tcPr>
          <w:p>
            <w:pPr>
              <w:ind w:left="180"/>
              <w:spacing w:after="0"/>
              <w:rPr>
                <w:sz w:val="20"/>
                <w:szCs w:val="20"/>
                <w:color w:val="auto"/>
              </w:rPr>
            </w:pPr>
            <w:r>
              <w:rPr>
                <w:rFonts w:ascii="Arial" w:cs="Arial" w:eastAsia="Arial" w:hAnsi="Arial"/>
                <w:sz w:val="18"/>
                <w:szCs w:val="18"/>
                <w:color w:val="auto"/>
                <w:w w:val="86"/>
              </w:rPr>
              <w:t>100</w:t>
            </w:r>
          </w:p>
        </w:tc>
        <w:tc>
          <w:tcPr>
            <w:tcW w:w="6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76</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Shares sold to optionees, less shares exchanged</w:t>
            </w: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Shares issued on conversion of debebtures</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color w:val="auto"/>
              </w:rPr>
              <w:t>Balance, September 30, 2010</w:t>
            </w: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0" w:type="dxa"/>
            <w:vAlign w:val="bottom"/>
            <w:vMerge w:val="continue"/>
          </w:tcPr>
          <w:p>
            <w:pPr>
              <w:spacing w:after="0"/>
              <w:rPr>
                <w:sz w:val="19"/>
                <w:szCs w:val="19"/>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84"/>
              </w:rPr>
              <w:t>1,434</w:t>
            </w:r>
          </w:p>
        </w:tc>
        <w:tc>
          <w:tcPr>
            <w:tcW w:w="6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which include the accounts of Schlumberger Limited and its subsidiaries (“Schlumberger”),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nine month period ended September 30, 2010 are not necessarily indicative of the results that may be expected for the full year ending December 31, 2010. The December 31, 2009 balance sheet information has been derived from the audited 2009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2009, filed with the Securities and Exchange Commission on February 5, 2010.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the prior year have been reclassified to conform to the current year presentation.</w:t>
      </w:r>
    </w:p>
    <w:p>
      <w:pPr>
        <w:spacing w:after="0" w:line="246"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during the first nine months of 2010 and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2010:</w:t>
      </w:r>
    </w:p>
    <w:p>
      <w:pPr>
        <w:spacing w:after="0" w:line="90" w:lineRule="exact"/>
        <w:rPr>
          <w:sz w:val="20"/>
          <w:szCs w:val="20"/>
          <w:color w:val="auto"/>
        </w:rPr>
      </w:pPr>
    </w:p>
    <w:p>
      <w:pPr>
        <w:ind w:left="900" w:right="1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result of the decision to rationalize support costs across the organization as well as to restructure the North America land operations to provide greater operating efficiency, Schlumberger recorded a pretax charge of $90 million ($77 million after-tax).</w:t>
      </w:r>
    </w:p>
    <w:p>
      <w:pPr>
        <w:spacing w:after="0" w:line="50"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Following the recent successful introduction of UniQ, a new generation single-sensor land acquisition system, Schlumberger recorded a $78 million pretax charge ($71 million after-tax), related to the impairment of WesternGeco’s first generation Q-Land system assets.</w:t>
      </w:r>
    </w:p>
    <w:p>
      <w:pPr>
        <w:spacing w:after="0" w:line="4" w:lineRule="exact"/>
        <w:rPr>
          <w:rFonts w:ascii="Arial" w:cs="Arial" w:eastAsia="Arial" w:hAnsi="Arial"/>
          <w:sz w:val="16"/>
          <w:szCs w:val="16"/>
          <w:color w:val="auto"/>
        </w:rPr>
      </w:pPr>
    </w:p>
    <w:p>
      <w:pPr>
        <w:ind w:left="900" w:right="1000" w:hanging="446"/>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A pretax and after-tax charge of $63 million primarily relating to the early termination of a vessel lease associated with WesternGeco’s electromagnetic service offering as well as related assets, including a $30 million impairment related to an equity-method investment.</w:t>
      </w:r>
    </w:p>
    <w:p>
      <w:pPr>
        <w:ind w:left="900" w:right="100" w:hanging="446"/>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In connection with the Schlumberger’s merger with Smith International, Inc. (“Smith”) (see Note 4— </w:t>
      </w:r>
      <w:r>
        <w:rPr>
          <w:rFonts w:ascii="Arial" w:cs="Arial" w:eastAsia="Arial" w:hAnsi="Arial"/>
          <w:sz w:val="16"/>
          <w:szCs w:val="16"/>
          <w:i w:val="1"/>
          <w:iCs w:val="1"/>
          <w:color w:val="auto"/>
        </w:rPr>
        <w:t>Acquisitions</w:t>
      </w:r>
      <w:r>
        <w:rPr>
          <w:rFonts w:ascii="Arial" w:cs="Arial" w:eastAsia="Arial" w:hAnsi="Arial"/>
          <w:sz w:val="16"/>
          <w:szCs w:val="16"/>
          <w:color w:val="auto"/>
        </w:rPr>
        <w:t>), Schlumberger recorded the following pretax charges: $56 million ($55 million after-tax) of merger-related transaction costs including advisory and legal fees, $41 million ($35 million after-tax) relating to employee benefits for change in control payments and retention bonuses and $38 million pretax ($24 million after-tax) for the amortization of purchase accounting adjustments associated with the write-up of acquired inventory to its estimated fair value.</w:t>
      </w:r>
    </w:p>
    <w:p>
      <w:pPr>
        <w:spacing w:after="0" w:line="31" w:lineRule="exact"/>
        <w:rPr>
          <w:rFonts w:ascii="Arial" w:cs="Arial" w:eastAsia="Arial" w:hAnsi="Arial"/>
          <w:sz w:val="16"/>
          <w:szCs w:val="16"/>
          <w:color w:val="auto"/>
        </w:rPr>
      </w:pPr>
    </w:p>
    <w:p>
      <w:pPr>
        <w:ind w:left="900" w:right="4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$40 million pretax ($36 million after-tax) for the early termination of rig contracts and workforce reductions in Mexico due to the slowdown of project activity.</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Schlumberger repurchased $352 million of its $650 million 6.50% Notes due 2012 and, as a result, incurred a pretax charge of $28 million ($18 million after-tax).</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Schlumberger recorded a pretax gain of $1.27 billion ($1.24 billion after-tax) as a result of remeasuring its previously held 40% equity interest in the M-I SWACO joint venture. Refer to Note 4—</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further details.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these charges and credits: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center"/>
              <w:ind w:right="220"/>
              <w:spacing w:after="0"/>
              <w:rPr>
                <w:sz w:val="20"/>
                <w:szCs w:val="20"/>
                <w:color w:val="auto"/>
              </w:rPr>
            </w:pPr>
            <w:r>
              <w:rPr>
                <w:rFonts w:ascii="Arial" w:cs="Arial" w:eastAsia="Arial" w:hAnsi="Arial"/>
                <w:sz w:val="14"/>
                <w:szCs w:val="14"/>
                <w:i w:val="1"/>
                <w:iCs w:val="1"/>
                <w:color w:val="auto"/>
                <w:w w:val="90"/>
              </w:rPr>
              <w:t>(Stated in millions)</w:t>
            </w: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Pretax</w:t>
            </w:r>
          </w:p>
        </w:tc>
        <w:tc>
          <w:tcPr>
            <w:tcW w:w="140" w:type="dxa"/>
            <w:vAlign w:val="bottom"/>
          </w:tcPr>
          <w:p>
            <w:pPr>
              <w:spacing w:after="0"/>
              <w:rPr>
                <w:sz w:val="14"/>
                <w:szCs w:val="14"/>
                <w:color w:val="auto"/>
              </w:rPr>
            </w:pPr>
          </w:p>
        </w:tc>
        <w:tc>
          <w:tcPr>
            <w:tcW w:w="6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14"/>
                <w:szCs w:val="14"/>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2720" w:type="dxa"/>
            <w:vAlign w:val="bottom"/>
            <w:gridSpan w:val="2"/>
          </w:tcPr>
          <w:p>
            <w:pPr>
              <w:ind w:left="38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Restructuring and Merger-related Charges:</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Severance and other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2720" w:type="dxa"/>
            <w:vAlign w:val="bottom"/>
            <w:gridSpan w:val="2"/>
          </w:tcPr>
          <w:p>
            <w:pPr>
              <w:ind w:left="6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Impairment relating to WesternGeco’s first generation Q-Land acquisition</w:t>
            </w:r>
          </w:p>
        </w:tc>
        <w:tc>
          <w:tcPr>
            <w:tcW w:w="8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272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system</w:t>
            </w:r>
          </w:p>
        </w:tc>
        <w:tc>
          <w:tcPr>
            <w:tcW w:w="8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Other WesternGeco-related charges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2720" w:type="dxa"/>
            <w:vAlign w:val="bottom"/>
            <w:gridSpan w:val="2"/>
          </w:tcPr>
          <w:p>
            <w:pPr>
              <w:ind w:left="6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fees and other</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Merger-related employee benefits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2720" w:type="dxa"/>
            <w:vAlign w:val="bottom"/>
            <w:gridSpan w:val="2"/>
          </w:tcPr>
          <w:p>
            <w:pPr>
              <w:ind w:left="6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 fair value adjustments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Mexico restructuring</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2720" w:type="dxa"/>
            <w:vAlign w:val="bottom"/>
            <w:gridSpan w:val="2"/>
          </w:tcPr>
          <w:p>
            <w:pPr>
              <w:ind w:left="6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bonds</w:t>
            </w: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860"/>
              <w:spacing w:after="0"/>
              <w:rPr>
                <w:sz w:val="20"/>
                <w:szCs w:val="20"/>
                <w:color w:val="auto"/>
              </w:rPr>
            </w:pPr>
            <w:r>
              <w:rPr>
                <w:rFonts w:ascii="Arial" w:cs="Arial" w:eastAsia="Arial" w:hAnsi="Arial"/>
                <w:sz w:val="18"/>
                <w:szCs w:val="18"/>
                <w:i w:val="1"/>
                <w:iCs w:val="1"/>
                <w:color w:val="auto"/>
              </w:rPr>
              <w:t>Total restructuring and merger-related charge</w:t>
            </w:r>
            <w:r>
              <w:rPr>
                <w:rFonts w:ascii="Arial" w:cs="Arial" w:eastAsia="Arial" w:hAnsi="Arial"/>
                <w:sz w:val="18"/>
                <w:szCs w:val="18"/>
                <w:color w:val="auto"/>
              </w:rPr>
              <w:t>s</w:t>
            </w: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3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Gain on investment in M-I SWACO</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(1,270)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(32)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(1,238)</w:t>
            </w:r>
          </w:p>
        </w:tc>
        <w:tc>
          <w:tcPr>
            <w:tcW w:w="27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w w:val="94"/>
              </w:rPr>
              <w:t>Gain on Investment in M-I SWACO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(859)</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Approximately $144 million of the $434 million of restructuring and merger-related charges described above represent non-cash charges. The vast majority of the balance of the charges are expected to be paid within the next six months.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2010:</w:t>
      </w:r>
    </w:p>
    <w:p>
      <w:pPr>
        <w:spacing w:after="0" w:line="90" w:lineRule="exact"/>
        <w:rPr>
          <w:sz w:val="20"/>
          <w:szCs w:val="20"/>
          <w:color w:val="auto"/>
        </w:rPr>
      </w:pPr>
    </w:p>
    <w:p>
      <w:pPr>
        <w:ind w:left="900" w:right="2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Schlumberger incurred $35 million of merger-related costs in connection with the Smith and Geoservices transactions (see Note 4—</w:t>
      </w:r>
      <w:r>
        <w:rPr>
          <w:rFonts w:ascii="Arial" w:cs="Arial" w:eastAsia="Arial" w:hAnsi="Arial"/>
          <w:sz w:val="18"/>
          <w:szCs w:val="18"/>
          <w:i w:val="1"/>
          <w:iCs w:val="1"/>
          <w:color w:val="auto"/>
        </w:rPr>
        <w:t>Acquisitions</w:t>
      </w:r>
      <w:r>
        <w:rPr>
          <w:rFonts w:ascii="Arial" w:cs="Arial" w:eastAsia="Arial" w:hAnsi="Arial"/>
          <w:sz w:val="18"/>
          <w:szCs w:val="18"/>
          <w:color w:val="auto"/>
        </w:rPr>
        <w:t>). These costs primarily consist of advisory and legal fees.</w:t>
      </w:r>
    </w:p>
    <w:p>
      <w:pPr>
        <w:spacing w:after="0" w:line="50" w:lineRule="exact"/>
        <w:rPr>
          <w:rFonts w:ascii="Arial" w:cs="Arial" w:eastAsia="Arial" w:hAnsi="Arial"/>
          <w:sz w:val="18"/>
          <w:szCs w:val="18"/>
          <w:color w:val="auto"/>
        </w:rPr>
      </w:pPr>
    </w:p>
    <w:p>
      <w:pPr>
        <w:ind w:left="900" w:right="280" w:hanging="446"/>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March 2010, the Patient Protection and Affordable Care Act (PPACA) was signed into law in the United States. Among other things, the PPACA eliminates the tax deductibility of retiree prescription drug benefits to the extent of the Medicare Part D subsidy that companies, such as Schlumberger, receive. As a result of this change in law, Schlumberger recorded a $40 million charge to adjust its deferred tax assets to reflect the loss of this future tax deduction.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these charges: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5"/>
          </w:tcPr>
          <w:p>
            <w:pPr>
              <w:ind w:left="20"/>
              <w:spacing w:after="0"/>
              <w:rPr>
                <w:sz w:val="20"/>
                <w:szCs w:val="20"/>
                <w:color w:val="auto"/>
              </w:rPr>
            </w:pPr>
            <w:r>
              <w:rPr>
                <w:rFonts w:ascii="Arial" w:cs="Arial" w:eastAsia="Arial" w:hAnsi="Arial"/>
                <w:sz w:val="14"/>
                <w:szCs w:val="14"/>
                <w:i w:val="1"/>
                <w:iCs w:val="1"/>
                <w:color w:val="auto"/>
              </w:rPr>
              <w:t>(Stated in millions)</w:t>
            </w:r>
          </w:p>
        </w:tc>
        <w:tc>
          <w:tcPr>
            <w:tcW w:w="140" w:type="dxa"/>
            <w:vAlign w:val="bottom"/>
          </w:tcPr>
          <w:p>
            <w:pPr>
              <w:spacing w:after="0"/>
              <w:rPr>
                <w:sz w:val="14"/>
                <w:szCs w:val="14"/>
                <w:color w:val="auto"/>
              </w:rPr>
            </w:pPr>
          </w:p>
        </w:tc>
        <w:tc>
          <w:tcPr>
            <w:tcW w:w="344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Pretax</w:t>
            </w:r>
          </w:p>
        </w:tc>
        <w:tc>
          <w:tcPr>
            <w:tcW w:w="2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Tax</w:t>
            </w:r>
          </w:p>
        </w:tc>
        <w:tc>
          <w:tcPr>
            <w:tcW w:w="400" w:type="dxa"/>
            <w:vAlign w:val="bottom"/>
          </w:tcPr>
          <w:p>
            <w:pPr>
              <w:spacing w:after="0"/>
              <w:rPr>
                <w:sz w:val="14"/>
                <w:szCs w:val="14"/>
                <w:color w:val="auto"/>
              </w:rPr>
            </w:pPr>
          </w:p>
        </w:tc>
        <w:tc>
          <w:tcPr>
            <w:tcW w:w="440" w:type="dxa"/>
            <w:vAlign w:val="bottom"/>
            <w:gridSpan w:val="2"/>
          </w:tcPr>
          <w:p>
            <w:pPr>
              <w:ind w:left="4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4"/>
                <w:szCs w:val="14"/>
                <w:color w:val="auto"/>
              </w:rPr>
            </w:pPr>
          </w:p>
        </w:tc>
        <w:tc>
          <w:tcPr>
            <w:tcW w:w="3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Merger-related transaction costs</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w w:val="94"/>
              </w:rPr>
              <w:t>Impact of elimination of tax deduction related to Medicare Part D subsidy</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3580" w:type="dxa"/>
            <w:vAlign w:val="bottom"/>
            <w:gridSpan w:val="2"/>
          </w:tcPr>
          <w:p>
            <w:pPr>
              <w:ind w:left="140"/>
              <w:spacing w:after="0"/>
              <w:rPr>
                <w:sz w:val="20"/>
                <w:szCs w:val="20"/>
                <w:color w:val="auto"/>
              </w:rPr>
            </w:pPr>
            <w:r>
              <w:rPr>
                <w:rFonts w:ascii="Arial" w:cs="Arial" w:eastAsia="Arial" w:hAnsi="Arial"/>
                <w:sz w:val="18"/>
                <w:szCs w:val="18"/>
                <w:i w:val="1"/>
                <w:iCs w:val="1"/>
                <w:color w:val="auto"/>
              </w:rPr>
              <w:t>Taxes on income</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00" w:type="dxa"/>
            <w:vAlign w:val="bottom"/>
          </w:tcPr>
          <w:p>
            <w:pPr>
              <w:spacing w:after="0"/>
              <w:rPr>
                <w:sz w:val="20"/>
                <w:szCs w:val="20"/>
                <w:color w:val="auto"/>
              </w:rPr>
            </w:pPr>
            <w:r>
              <w:rPr>
                <w:rFonts w:ascii="Arial" w:cs="Arial" w:eastAsia="Arial" w:hAnsi="Arial"/>
                <w:sz w:val="18"/>
                <w:szCs w:val="18"/>
                <w:color w:val="auto"/>
              </w:rPr>
              <w:t>Second quarter of 2009: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900" w:right="180" w:hanging="446"/>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Schlumberger reduced its global workforce as a result of the slowdown in oil and gas exploration and production spending and its effect on activity in the oilfield services sector. As a result of these actions, Schlumberger recorded a pretax charge of $102 million ($85 million after-tax).</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right="40" w:hanging="446"/>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Schlumberger experienced a significant reduction in the expected aggregate years of future service of its employees in certain of its pension plans and its postretirement medical plan as a consequence of the above mentioned workforce reductions. Accordingly, Schlumberger recorded pretax non-cash pension and other postretirement benefit curtailment charges of $136 million ($122 million after-tax). The curtailment charge included recognition of the change in benefit obligations as well as a portion of the previously unrecognized prior service costs, reflecting the reduction in expected future service for the impacted plans.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these charges: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6"/>
          </w:tcPr>
          <w:p>
            <w:pPr>
              <w:ind w:left="340"/>
              <w:spacing w:after="0"/>
              <w:rPr>
                <w:sz w:val="20"/>
                <w:szCs w:val="20"/>
                <w:color w:val="auto"/>
              </w:rPr>
            </w:pPr>
            <w:r>
              <w:rPr>
                <w:rFonts w:ascii="Arial" w:cs="Arial" w:eastAsia="Arial" w:hAnsi="Arial"/>
                <w:sz w:val="14"/>
                <w:szCs w:val="14"/>
                <w:i w:val="1"/>
                <w:iCs w:val="1"/>
                <w:color w:val="auto"/>
              </w:rPr>
              <w:t>(Stated in millions)</w:t>
            </w: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4"/>
              </w:rPr>
              <w:t>Pretax</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Arial" w:cs="Arial" w:eastAsia="Arial" w:hAnsi="Arial"/>
                <w:sz w:val="14"/>
                <w:szCs w:val="14"/>
                <w:b w:val="1"/>
                <w:bCs w:val="1"/>
                <w:color w:val="auto"/>
                <w:w w:val="99"/>
              </w:rPr>
              <w:t>Tax</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w:t>
            </w:r>
          </w:p>
        </w:tc>
        <w:tc>
          <w:tcPr>
            <w:tcW w:w="640" w:type="dxa"/>
            <w:vAlign w:val="bottom"/>
          </w:tcPr>
          <w:p>
            <w:pPr>
              <w:spacing w:after="0"/>
              <w:rPr>
                <w:sz w:val="14"/>
                <w:szCs w:val="14"/>
                <w:color w:val="auto"/>
              </w:rPr>
            </w:pPr>
          </w:p>
        </w:tc>
        <w:tc>
          <w:tcPr>
            <w:tcW w:w="1960" w:type="dxa"/>
            <w:vAlign w:val="bottom"/>
            <w:gridSpan w:val="2"/>
          </w:tcPr>
          <w:p>
            <w:pPr>
              <w:spacing w:after="0"/>
              <w:rPr>
                <w:sz w:val="20"/>
                <w:szCs w:val="20"/>
                <w:color w:val="auto"/>
              </w:rPr>
            </w:pPr>
            <w:r>
              <w:rPr>
                <w:rFonts w:ascii="Arial" w:cs="Arial" w:eastAsia="Arial" w:hAnsi="Arial"/>
                <w:sz w:val="14"/>
                <w:szCs w:val="14"/>
                <w:b w:val="1"/>
                <w:bCs w:val="1"/>
                <w:color w:val="auto"/>
                <w:w w:val="90"/>
              </w:rPr>
              <w:t>Income Statement Classification</w:t>
            </w:r>
          </w:p>
        </w:tc>
      </w:tr>
      <w:tr>
        <w:trPr>
          <w:trHeight w:val="20"/>
        </w:trPr>
        <w:tc>
          <w:tcPr>
            <w:tcW w:w="4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Workforce reductions</w:t>
            </w:r>
          </w:p>
        </w:tc>
        <w:tc>
          <w:tcPr>
            <w:tcW w:w="19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$ 102</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Restructuring &amp; other</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Postretirement benefits curtailment</w:t>
            </w:r>
          </w:p>
        </w:tc>
        <w:tc>
          <w:tcPr>
            <w:tcW w:w="1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122</w:t>
            </w:r>
          </w:p>
        </w:tc>
        <w:tc>
          <w:tcPr>
            <w:tcW w:w="640" w:type="dxa"/>
            <w:vAlign w:val="bottom"/>
          </w:tcPr>
          <w:p>
            <w:pPr>
              <w:spacing w:after="0"/>
              <w:rPr>
                <w:sz w:val="18"/>
                <w:szCs w:val="18"/>
                <w:color w:val="auto"/>
              </w:rPr>
            </w:pPr>
          </w:p>
        </w:tc>
        <w:tc>
          <w:tcPr>
            <w:tcW w:w="1960" w:type="dxa"/>
            <w:vAlign w:val="bottom"/>
            <w:gridSpan w:val="2"/>
          </w:tcPr>
          <w:p>
            <w:pPr>
              <w:ind w:left="60"/>
              <w:spacing w:after="0"/>
              <w:rPr>
                <w:sz w:val="20"/>
                <w:szCs w:val="20"/>
                <w:color w:val="auto"/>
              </w:rPr>
            </w:pPr>
            <w:r>
              <w:rPr>
                <w:rFonts w:ascii="Arial" w:cs="Arial" w:eastAsia="Arial" w:hAnsi="Arial"/>
                <w:sz w:val="18"/>
                <w:szCs w:val="18"/>
                <w:i w:val="1"/>
                <w:iCs w:val="1"/>
                <w:color w:val="auto"/>
              </w:rPr>
              <w:t>Restructuring &amp; other</w:t>
            </w:r>
          </w:p>
        </w:tc>
      </w:tr>
      <w:tr>
        <w:trPr>
          <w:trHeight w:val="27"/>
        </w:trPr>
        <w:tc>
          <w:tcPr>
            <w:tcW w:w="4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$ 238</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w:t>
            </w:r>
          </w:p>
        </w:tc>
        <w:tc>
          <w:tcPr>
            <w:tcW w:w="6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of Schlumberger to diluted earnings per share of Schlumberger: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6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86"/>
              <w:spacing w:after="0"/>
              <w:rPr>
                <w:sz w:val="20"/>
                <w:szCs w:val="20"/>
                <w:color w:val="auto"/>
              </w:rPr>
            </w:pPr>
            <w:r>
              <w:rPr>
                <w:rFonts w:ascii="Arial" w:cs="Arial" w:eastAsia="Arial" w:hAnsi="Arial"/>
                <w:sz w:val="14"/>
                <w:szCs w:val="14"/>
                <w:b w:val="1"/>
                <w:bCs w:val="1"/>
                <w:color w:val="auto"/>
              </w:rPr>
              <w:t>2010</w:t>
            </w: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87"/>
              <w:spacing w:after="0"/>
              <w:rPr>
                <w:sz w:val="20"/>
                <w:szCs w:val="20"/>
                <w:color w:val="auto"/>
              </w:rPr>
            </w:pPr>
            <w:r>
              <w:rPr>
                <w:rFonts w:ascii="Arial" w:cs="Arial" w:eastAsia="Arial" w:hAnsi="Arial"/>
                <w:sz w:val="14"/>
                <w:szCs w:val="14"/>
                <w:b w:val="1"/>
                <w:bCs w:val="1"/>
                <w:color w:val="auto"/>
              </w:rPr>
              <w:t>2009</w:t>
            </w: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Average</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Average</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Schlumberger</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Earnings</w:t>
            </w:r>
          </w:p>
        </w:tc>
        <w:tc>
          <w:tcPr>
            <w:tcW w:w="28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Schlumberger</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161"/>
        </w:trPr>
        <w:tc>
          <w:tcPr>
            <w:tcW w:w="3400" w:type="dxa"/>
            <w:vAlign w:val="bottom"/>
            <w:gridSpan w:val="4"/>
          </w:tcPr>
          <w:p>
            <w:pPr>
              <w:spacing w:after="0"/>
              <w:rPr>
                <w:sz w:val="20"/>
                <w:szCs w:val="20"/>
                <w:color w:val="auto"/>
              </w:rPr>
            </w:pPr>
            <w:r>
              <w:rPr>
                <w:rFonts w:ascii="Arial" w:cs="Arial" w:eastAsia="Arial" w:hAnsi="Arial"/>
                <w:sz w:val="14"/>
                <w:szCs w:val="14"/>
                <w:b w:val="1"/>
                <w:bCs w:val="1"/>
                <w:color w:val="auto"/>
              </w:rPr>
              <w:t>Third Quarter</w:t>
            </w:r>
          </w:p>
        </w:tc>
        <w:tc>
          <w:tcPr>
            <w:tcW w:w="9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Net Income</w:t>
            </w:r>
          </w:p>
        </w:tc>
        <w:tc>
          <w:tcPr>
            <w:tcW w:w="5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Net Income</w:t>
            </w:r>
          </w:p>
        </w:tc>
        <w:tc>
          <w:tcPr>
            <w:tcW w:w="5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9"/>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1,249</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1.39</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4"/>
            <w:vMerge w:val="restart"/>
          </w:tcPr>
          <w:p>
            <w:pPr>
              <w:spacing w:after="0"/>
              <w:rPr>
                <w:sz w:val="20"/>
                <w:szCs w:val="20"/>
                <w:color w:val="auto"/>
              </w:rPr>
            </w:pPr>
            <w:r>
              <w:rPr>
                <w:rFonts w:ascii="Arial" w:cs="Arial" w:eastAsia="Arial" w:hAnsi="Arial"/>
                <w:sz w:val="18"/>
                <w:szCs w:val="18"/>
                <w:color w:val="auto"/>
              </w:rPr>
              <w:t>Assumed conversion of debentures</w:t>
            </w: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line="20" w:lineRule="exact"/>
              <w:rPr>
                <w:sz w:val="1"/>
                <w:szCs w:val="1"/>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8</w:t>
            </w: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400" w:type="dxa"/>
            <w:vAlign w:val="bottom"/>
            <w:gridSpan w:val="4"/>
            <w:vMerge w:val="continue"/>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Unvested restricted stock</w:t>
            </w:r>
          </w:p>
        </w:tc>
        <w:tc>
          <w:tcPr>
            <w:tcW w:w="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118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1,258</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1.38</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Schlumberger</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Earnings</w:t>
            </w:r>
          </w:p>
        </w:tc>
        <w:tc>
          <w:tcPr>
            <w:tcW w:w="28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Schlumberger</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161"/>
        </w:trPr>
        <w:tc>
          <w:tcPr>
            <w:tcW w:w="3400" w:type="dxa"/>
            <w:vAlign w:val="bottom"/>
            <w:gridSpan w:val="4"/>
          </w:tcPr>
          <w:p>
            <w:pPr>
              <w:spacing w:after="0"/>
              <w:rPr>
                <w:sz w:val="20"/>
                <w:szCs w:val="20"/>
                <w:color w:val="auto"/>
              </w:rPr>
            </w:pPr>
            <w:r>
              <w:rPr>
                <w:rFonts w:ascii="Arial" w:cs="Arial" w:eastAsia="Arial" w:hAnsi="Arial"/>
                <w:sz w:val="14"/>
                <w:szCs w:val="14"/>
                <w:b w:val="1"/>
                <w:bCs w:val="1"/>
                <w:color w:val="auto"/>
              </w:rPr>
              <w:t>Nine Months</w:t>
            </w:r>
          </w:p>
        </w:tc>
        <w:tc>
          <w:tcPr>
            <w:tcW w:w="9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Net Income</w:t>
            </w:r>
          </w:p>
        </w:tc>
        <w:tc>
          <w:tcPr>
            <w:tcW w:w="5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Net Income</w:t>
            </w:r>
          </w:p>
        </w:tc>
        <w:tc>
          <w:tcPr>
            <w:tcW w:w="5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9"/>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60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1,212</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2.66</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4"/>
            <w:vMerge w:val="restart"/>
          </w:tcPr>
          <w:p>
            <w:pPr>
              <w:spacing w:after="0"/>
              <w:rPr>
                <w:sz w:val="20"/>
                <w:szCs w:val="20"/>
                <w:color w:val="auto"/>
              </w:rPr>
            </w:pPr>
            <w:r>
              <w:rPr>
                <w:rFonts w:ascii="Arial" w:cs="Arial" w:eastAsia="Arial" w:hAnsi="Arial"/>
                <w:sz w:val="18"/>
                <w:szCs w:val="18"/>
                <w:color w:val="auto"/>
              </w:rPr>
              <w:t>Assumed conversion of debentures</w:t>
            </w: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8</w:t>
            </w: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400" w:type="dxa"/>
            <w:vAlign w:val="bottom"/>
            <w:gridSpan w:val="4"/>
            <w:vMerge w:val="continue"/>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Unvested restricted stock</w:t>
            </w:r>
          </w:p>
        </w:tc>
        <w:tc>
          <w:tcPr>
            <w:tcW w:w="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118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1,227</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2.63</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were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i w:val="1"/>
                <w:iCs w:val="1"/>
                <w:color w:val="auto"/>
                <w:w w:val="95"/>
              </w:rPr>
              <w:t>(Stated in millions)</w:t>
            </w:r>
          </w:p>
        </w:tc>
      </w:tr>
      <w:tr>
        <w:trPr>
          <w:trHeight w:val="161"/>
        </w:trPr>
        <w:tc>
          <w:tcPr>
            <w:tcW w:w="28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28"/>
        </w:trPr>
        <w:tc>
          <w:tcPr>
            <w:tcW w:w="2840" w:type="dxa"/>
            <w:vAlign w:val="bottom"/>
          </w:tcPr>
          <w:p>
            <w:pPr>
              <w:spacing w:after="0"/>
              <w:rPr>
                <w:sz w:val="20"/>
                <w:szCs w:val="20"/>
                <w:color w:val="auto"/>
              </w:rPr>
            </w:pPr>
            <w:r>
              <w:rPr>
                <w:rFonts w:ascii="Arial" w:cs="Arial" w:eastAsia="Arial" w:hAnsi="Arial"/>
                <w:sz w:val="18"/>
                <w:szCs w:val="18"/>
                <w:color w:val="auto"/>
              </w:rPr>
              <w:t>Nine Months</w:t>
            </w:r>
          </w:p>
        </w:tc>
        <w:tc>
          <w:tcPr>
            <w:tcW w:w="55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r>
      <w:tr>
        <w:trPr>
          <w:trHeight w:val="350"/>
        </w:trPr>
        <w:tc>
          <w:tcPr>
            <w:tcW w:w="2840" w:type="dxa"/>
            <w:vAlign w:val="bottom"/>
          </w:tcPr>
          <w:p>
            <w:pPr>
              <w:spacing w:after="0"/>
              <w:rPr>
                <w:sz w:val="24"/>
                <w:szCs w:val="24"/>
                <w:color w:val="auto"/>
              </w:rPr>
            </w:pPr>
          </w:p>
        </w:tc>
        <w:tc>
          <w:tcPr>
            <w:tcW w:w="5060" w:type="dxa"/>
            <w:vAlign w:val="bottom"/>
          </w:tcPr>
          <w:p>
            <w:pPr>
              <w:jc w:val="right"/>
              <w:ind w:right="2932"/>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Smith International, Inc.</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On August 27, 2010, Schlumberger acquired all of the outstanding shares of Smith, a leading supplier of premium products and services to the oil and gas exploration and production industry. The merger brings together the complementary drilling and measurements technologies and expertise of Schlumberger and Smith in order to facilitate the engineering of complete drilling systems which optimize all of the components of the drill string. Such systems will enable Schlumberger’s customers to achieve improved drilling efficiency, better well placement and increased wellbore assurance as they face increasingly more challenging environments. In addition, Schlumberger’s geographic footprint will facilitate the extension of joint offerings on a worldwide basis.</w:t>
      </w:r>
    </w:p>
    <w:p>
      <w:pPr>
        <w:spacing w:after="0" w:line="1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Under the terms of the merger agreement, Smith became a wholly-owned subsidiary of Schlumberger. Each share of Smith common stock issued and outstanding immediately prior to the effective time of the merger was converted into the right to receive 0.6966 shares of Schlumberger common stock, with cash paid in lieu of fractional shares.</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the effective time of the merger, each outstanding option to purchase Smith common stock was converted pursuant to the merger agreement into a stock option to acquire shares of Schlumberger common stock on the same terms and conditions as were in effect immediately prior to the completion of the merger. The number of shares of Schlumberger common stock underlying each converted Smith stock option was determined by multiplying the number of Smith stock options by the 0.6966 exchange ratio, and rounding down to the nearest whole share. The exercise price per share of each converted Smith stock option was determined by dividing the per share exercise price of such stock option by the 0.6966 exchange ratio, and rounded up to the nearest whole cent. Smith stock options, whether or not then vested and exercisable, became fully vested and exercisable and assumed by Schlumberger at the effective date of the merger in accordance with preexisting change-in-control provisions. Smith stock options were converted into 0.6 million of Schlumberger stock options.</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the effective time of the merger, Smith restricted stock units, whether or not then vested, became fully vested (except for grants between the date of the merger agreement and closing, which were not significant and did not automatically vest) and were converted into shares of Schlumberger common stock in connection with the merger, determined by multiplying the number of shares of Smith common stock subject to each award by the 0.6966 exchange ratio, rounded to the nearest whole share (assuming, in the case of performance-based Smith restricted stock unit awards, the deemed attainment of the performance goals under the award at the target level).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Calculation of Consideration Transferred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the fair value of the consideration transferred to effect the merger with Smith.</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4040" w:type="dxa"/>
            <w:vAlign w:val="bottom"/>
            <w:gridSpan w:val="4"/>
          </w:tcPr>
          <w:p>
            <w:pPr>
              <w:ind w:left="380"/>
              <w:spacing w:after="0"/>
              <w:rPr>
                <w:sz w:val="20"/>
                <w:szCs w:val="20"/>
                <w:color w:val="auto"/>
              </w:rPr>
            </w:pPr>
            <w:r>
              <w:rPr>
                <w:rFonts w:ascii="Arial" w:cs="Arial" w:eastAsia="Arial" w:hAnsi="Arial"/>
                <w:sz w:val="14"/>
                <w:szCs w:val="14"/>
                <w:i w:val="1"/>
                <w:iCs w:val="1"/>
                <w:color w:val="auto"/>
                <w:w w:val="89"/>
              </w:rPr>
              <w:t>(Stated in millions, except exchange ratio and per share amounts)</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of Smith common stock outstanding as of the acquisition date</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w w:val="93"/>
              </w:rPr>
              <w:t>Number of Smith unvested restricted stock units outstanding as of the acquisition date</w:t>
            </w:r>
          </w:p>
        </w:tc>
        <w:tc>
          <w:tcPr>
            <w:tcW w:w="3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Multiplied by the exchange ratio</w:t>
            </w:r>
          </w:p>
        </w:tc>
        <w:tc>
          <w:tcPr>
            <w:tcW w:w="3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0.6966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Equivalent new Schlumberger shares of common stock issued</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Schlumberger closing stock price on August 27, 2010</w:t>
            </w:r>
          </w:p>
        </w:tc>
        <w:tc>
          <w:tcPr>
            <w:tcW w:w="3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equity consideration</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Fair value of Schlumberger equivalent stock options issued</w:t>
            </w:r>
          </w:p>
        </w:tc>
        <w:tc>
          <w:tcPr>
            <w:tcW w:w="3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of the consideration transferred</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amounts may reflect rounding adjustments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Allocation of Consideration Transferred to Net Assets Acquired</w:t>
      </w:r>
    </w:p>
    <w:p>
      <w:pPr>
        <w:spacing w:after="0" w:line="90"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The following amounts represent the preliminary estimates of the fair value of identifiable assets acquired and liabilities assumed in the merger. The final determination of fair value for certain assets and liabilities will be completed as soon as the information necessary to complete the analysis is obtained. These amounts will be finalized as soon as possible, but no later than one year from the acquisition date.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540" w:type="dxa"/>
            <w:vAlign w:val="bottom"/>
            <w:gridSpan w:val="4"/>
          </w:tcPr>
          <w:p>
            <w:pPr>
              <w:jc w:val="center"/>
              <w:ind w:left="2216"/>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980" w:type="dxa"/>
            <w:vAlign w:val="bottom"/>
            <w:gridSpan w:val="2"/>
            <w:shd w:val="clear" w:color="auto" w:fill="CCEEFF"/>
          </w:tcPr>
          <w:p>
            <w:pPr>
              <w:jc w:val="center"/>
              <w:ind w:left="277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Inventory </w:t>
            </w:r>
            <w:r>
              <w:rPr>
                <w:rFonts w:ascii="Arial" w:cs="Arial" w:eastAsia="Arial" w:hAnsi="Arial"/>
                <w:sz w:val="11"/>
                <w:szCs w:val="11"/>
                <w:color w:val="auto"/>
              </w:rPr>
              <w:t>(1)</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2,049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tcPr>
          <w:p>
            <w:pPr>
              <w:ind w:left="440"/>
              <w:spacing w:after="0"/>
              <w:rPr>
                <w:sz w:val="20"/>
                <w:szCs w:val="20"/>
                <w:color w:val="auto"/>
              </w:rPr>
            </w:pPr>
            <w:r>
              <w:rPr>
                <w:rFonts w:ascii="Arial" w:cs="Arial" w:eastAsia="Arial" w:hAnsi="Arial"/>
                <w:sz w:val="18"/>
                <w:szCs w:val="18"/>
                <w:color w:val="auto"/>
              </w:rPr>
              <w:t>Tradenames (weighted-average life of 25 years)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1,560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Technology (weighted-average life of 16 years)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1,170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tcPr>
          <w:p>
            <w:pPr>
              <w:ind w:left="440"/>
              <w:spacing w:after="0"/>
              <w:rPr>
                <w:sz w:val="20"/>
                <w:szCs w:val="20"/>
                <w:color w:val="auto"/>
              </w:rPr>
            </w:pPr>
            <w:r>
              <w:rPr>
                <w:rFonts w:ascii="Arial" w:cs="Arial" w:eastAsia="Arial" w:hAnsi="Arial"/>
                <w:sz w:val="18"/>
                <w:szCs w:val="18"/>
                <w:color w:val="auto"/>
              </w:rPr>
              <w:t>Customer relationships (weighted average life of 23 years)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1,370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1"/>
                <w:szCs w:val="11"/>
                <w:color w:val="auto"/>
              </w:rPr>
              <w:t>(2)</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(2,141)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 xml:space="preserve">Deferred taxes </w:t>
            </w:r>
            <w:r>
              <w:rPr>
                <w:rFonts w:ascii="Arial" w:cs="Arial" w:eastAsia="Arial" w:hAnsi="Arial"/>
                <w:sz w:val="11"/>
                <w:szCs w:val="11"/>
                <w:color w:val="auto"/>
              </w:rPr>
              <w:t>(3)</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(1,964)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960" w:type="dxa"/>
            <w:vAlign w:val="bottom"/>
            <w:gridSpan w:val="2"/>
            <w:vMerge w:val="restart"/>
          </w:tcPr>
          <w:p>
            <w:pPr>
              <w:ind w:left="440"/>
              <w:spacing w:after="0"/>
              <w:rPr>
                <w:sz w:val="20"/>
                <w:szCs w:val="20"/>
                <w:color w:val="auto"/>
              </w:rPr>
            </w:pPr>
            <w:r>
              <w:rPr>
                <w:rFonts w:ascii="Arial" w:cs="Arial" w:eastAsia="Arial" w:hAnsi="Arial"/>
                <w:sz w:val="18"/>
                <w:szCs w:val="18"/>
                <w:color w:val="auto"/>
              </w:rPr>
              <w:t>sub-total</w:t>
            </w:r>
          </w:p>
        </w:tc>
        <w:tc>
          <w:tcPr>
            <w:tcW w:w="2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960" w:type="dxa"/>
            <w:vAlign w:val="bottom"/>
            <w:gridSpan w:val="2"/>
            <w:vMerge w:val="continue"/>
          </w:tcPr>
          <w:p>
            <w:pPr>
              <w:spacing w:after="0"/>
              <w:rPr>
                <w:sz w:val="19"/>
                <w:szCs w:val="19"/>
                <w:color w:val="auto"/>
              </w:rPr>
            </w:pPr>
          </w:p>
        </w:tc>
        <w:tc>
          <w:tcPr>
            <w:tcW w:w="2980" w:type="dxa"/>
            <w:vAlign w:val="bottom"/>
            <w:gridSpan w:val="2"/>
          </w:tcPr>
          <w:p>
            <w:pPr>
              <w:jc w:val="center"/>
              <w:ind w:left="2776"/>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4,943</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tcPr>
          <w:p>
            <w:pPr>
              <w:ind w:left="440"/>
              <w:spacing w:after="0"/>
              <w:rPr>
                <w:sz w:val="20"/>
                <w:szCs w:val="20"/>
                <w:color w:val="auto"/>
              </w:rPr>
            </w:pPr>
            <w:r>
              <w:rPr>
                <w:rFonts w:ascii="Arial" w:cs="Arial" w:eastAsia="Arial" w:hAnsi="Arial"/>
                <w:sz w:val="18"/>
                <w:szCs w:val="18"/>
                <w:color w:val="auto"/>
              </w:rPr>
              <w:t xml:space="preserve">Investment in M-I SWACO </w:t>
            </w:r>
            <w:r>
              <w:rPr>
                <w:rFonts w:ascii="Arial" w:cs="Arial" w:eastAsia="Arial" w:hAnsi="Arial"/>
                <w:sz w:val="11"/>
                <w:szCs w:val="11"/>
                <w:color w:val="auto"/>
              </w:rPr>
              <w:t>(4)</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(1,429)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Noncontrolling interests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identifiable net assets</w:t>
            </w:r>
          </w:p>
        </w:tc>
        <w:tc>
          <w:tcPr>
            <w:tcW w:w="2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20" w:type="dxa"/>
            <w:vAlign w:val="bottom"/>
            <w:gridSpan w:val="3"/>
            <w:vMerge w:val="continue"/>
          </w:tcPr>
          <w:p>
            <w:pPr>
              <w:spacing w:after="0"/>
              <w:rPr>
                <w:sz w:val="19"/>
                <w:szCs w:val="19"/>
                <w:color w:val="auto"/>
              </w:rPr>
            </w:pPr>
          </w:p>
        </w:tc>
        <w:tc>
          <w:tcPr>
            <w:tcW w:w="2980" w:type="dxa"/>
            <w:vAlign w:val="bottom"/>
            <w:gridSpan w:val="2"/>
          </w:tcPr>
          <w:p>
            <w:pPr>
              <w:jc w:val="center"/>
              <w:ind w:left="2776"/>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3,400</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Gain on investment in M-I SWACO </w:t>
            </w:r>
            <w:r>
              <w:rPr>
                <w:rFonts w:ascii="Arial" w:cs="Arial" w:eastAsia="Arial" w:hAnsi="Arial"/>
                <w:sz w:val="11"/>
                <w:szCs w:val="11"/>
                <w:color w:val="auto"/>
              </w:rPr>
              <w:t>(4)</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(1,238)</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1"/>
                <w:szCs w:val="11"/>
                <w:color w:val="auto"/>
              </w:rPr>
              <w:t>(5)</w:t>
            </w:r>
          </w:p>
        </w:tc>
        <w:tc>
          <w:tcPr>
            <w:tcW w:w="2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consideration transferred</w:t>
            </w:r>
          </w:p>
        </w:tc>
        <w:tc>
          <w:tcPr>
            <w:tcW w:w="2980" w:type="dxa"/>
            <w:vAlign w:val="bottom"/>
            <w:gridSpan w:val="2"/>
            <w:shd w:val="clear" w:color="auto" w:fill="CCEEFF"/>
          </w:tcPr>
          <w:p>
            <w:pPr>
              <w:jc w:val="center"/>
              <w:ind w:left="277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9,828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Schlumberger recorded an adjustment of approximately $155 million to write-up the acquired inventory to its estimated fair value. Schlumberger’s cost of revenue will reflect this increased valuation as this inventory is sold. Accordingly, Schlumberger’s margins will be temporarily reduced in the initial periods subsequent to the merger.</w:t>
      </w:r>
    </w:p>
    <w:p>
      <w:pPr>
        <w:ind w:left="460" w:right="10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connection with the merger, Schlumberger assumed all of the debt obligations of Smith including their long-term fixed rate notes consisting of the following: $220 million 6.75% Senior Notes due 2011, $300 million 8.625% Senior Notes due 2014, $275 million 6.00% Senior Notes due 2016 and $700 million 9.75% Senior Notes due 2019. Schlumberger recorded a $417 million adjustment to increase the carrying amount of these notes to their estimated fair value. This adjustment will be amortized as a reduction of interest expense over the remaining term of the respective obligations.</w:t>
      </w:r>
    </w:p>
    <w:p>
      <w:pPr>
        <w:spacing w:after="0" w:line="2"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connection with the acquisition accounting, Schlumberger provided deferred taxes related to, among other items, the estimated fair value adjustments for acquired inventory, intangible assets and assumed debt obligations. Included in the provisions for deferred taxes are amounts relating to the outside basis difference associated with shares in certain Smith non-US subsidiaries for which no taxes have previously been provided. Schlumberger expects to reverse the outside basis difference primarily through the reorganization of those subsidiaries as well as through repatriating earnings in lieu of permanently reinvesting them. In this regard, Schlumberger is in the process of assessing certain factors that impact the ultimate amount of deferred taxes to be recorded. The amount of deferred taxes recorded will likely be revised after this assessment is completed. Any revision to the amount of deferred taxes recorded will impact the amount of goodwill recorded.</w:t>
      </w:r>
    </w:p>
    <w:p>
      <w:pPr>
        <w:spacing w:after="0" w:line="4" w:lineRule="exact"/>
        <w:rPr>
          <w:rFonts w:ascii="Arial" w:cs="Arial" w:eastAsia="Arial" w:hAnsi="Arial"/>
          <w:sz w:val="16"/>
          <w:szCs w:val="16"/>
          <w:color w:val="auto"/>
        </w:rPr>
      </w:pPr>
    </w:p>
    <w:p>
      <w:pPr>
        <w:ind w:left="460" w:right="60" w:hanging="452"/>
        <w:spacing w:after="0" w:line="30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Prior to the completion of the merger, Smith and Schlumberger operated M-I SWACO, a drilling fluids joint venture that was 40% owned by Schlumberger and 60% owned by Smith. Effective at the closing of the merger, M-I SWACO is now owned 100% by Schlumberger. As a result of obtaining control of this joint venture, Schlumberger was required under generally accepted accounting principles to remeasure its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4" w:lineRule="auto"/>
        <w:rPr>
          <w:sz w:val="20"/>
          <w:szCs w:val="20"/>
          <w:color w:val="auto"/>
        </w:rPr>
      </w:pPr>
      <w:r>
        <w:rPr>
          <w:rFonts w:ascii="Arial" w:cs="Arial" w:eastAsia="Arial" w:hAnsi="Arial"/>
          <w:sz w:val="18"/>
          <w:szCs w:val="18"/>
          <w:color w:val="auto"/>
        </w:rPr>
        <w:t xml:space="preserve">previously held equity interest in the joint venture at its merger-date fair value and recognize the resulting pretax gain of $1.3 billion ($1.2 billion after-tax) in earnings. This gain is classified as </w:t>
      </w:r>
      <w:r>
        <w:rPr>
          <w:rFonts w:ascii="Arial" w:cs="Arial" w:eastAsia="Arial" w:hAnsi="Arial"/>
          <w:sz w:val="18"/>
          <w:szCs w:val="18"/>
          <w:i w:val="1"/>
          <w:iCs w:val="1"/>
          <w:color w:val="auto"/>
        </w:rPr>
        <w:t>Gain on Investment in M-I SWACO</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ind w:left="460" w:right="16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goodwill recognized is primarily attributable to expected synergies that will result from combining the operations of Schlumberger and Smith as well as intangible assets that do not qualify for separate recognition. Approximately $0.2 billion of the goodwill is deductible for income tax purposes. Schlumberger has not yet completed the process of allocating the goodwill to its reporting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Geoservices</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On April 23, 2010, Schlumberger completed the acquisition of Geoservices, a privately owned oilfield services company specializing in mud logging, slickline and production surveillance operations, for $915 million in cash.</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has been allocated to the net assets acquired upon their estimated fair values as follows: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456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Other assets</w:t>
            </w: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Goodwill</w:t>
            </w: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Long-term debt</w:t>
            </w: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Other liabilities</w:t>
            </w: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(152)</w:t>
            </w:r>
          </w:p>
        </w:tc>
      </w:tr>
      <w:tr>
        <w:trPr>
          <w:trHeight w:val="27"/>
        </w:trPr>
        <w:tc>
          <w:tcPr>
            <w:tcW w:w="5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w:t>
            </w:r>
          </w:p>
        </w:tc>
      </w:tr>
      <w:tr>
        <w:trPr>
          <w:trHeight w:val="20"/>
        </w:trPr>
        <w:tc>
          <w:tcPr>
            <w:tcW w:w="50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Geoservices’ long-term debt was repaid at the time of closing.</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Intangible assets recorded in connection with this transaction, which primarily relate to customer relationships, will be amortized over a weighted average period of approximately 17 years. The amount allocated to goodwill represents the excess of the purchase price over the fair value of the net assets acquired and is not tax deductible for income tax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first nine months of 2010, Schlumberger made certain other acquisitions and minority interest investments for $154 million, net of cash acquired, none of which were significant on an individual basis or in the aggregate.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Pro Forma Data</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Smith’s results of operations have been included in Schlumberger’s financial statements for periods subsequent to the effective date of the merger. Smith contributed revenues of $810 million and net income of $35 million (including the recurring effects of purchase accounting) to Schlumberger for the period from the closing of the merger through September 30, 2010. The following supplemental pro forma data presents consolidated information as if the merger with Smith and the acquisition of Geoservices had been completed on January 1, 2009:</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5800" w:type="dxa"/>
            <w:vAlign w:val="bottom"/>
            <w:gridSpan w:val="7"/>
          </w:tcPr>
          <w:p>
            <w:pPr>
              <w:ind w:left="3440"/>
              <w:spacing w:after="0"/>
              <w:rPr>
                <w:sz w:val="20"/>
                <w:szCs w:val="20"/>
                <w:color w:val="auto"/>
              </w:rPr>
            </w:pPr>
            <w:r>
              <w:rPr>
                <w:rFonts w:ascii="Arial" w:cs="Arial" w:eastAsia="Arial" w:hAnsi="Arial"/>
                <w:sz w:val="14"/>
                <w:szCs w:val="14"/>
                <w:i w:val="1"/>
                <w:iCs w:val="1"/>
                <w:color w:val="auto"/>
                <w:w w:val="90"/>
              </w:rPr>
              <w:t>(Stated in millions, except per share data)</w:t>
            </w:r>
          </w:p>
        </w:tc>
      </w:tr>
      <w:tr>
        <w:trPr>
          <w:trHeight w:val="149"/>
        </w:trPr>
        <w:tc>
          <w:tcPr>
            <w:tcW w:w="37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5"/>
          </w:tcPr>
          <w:p>
            <w:pPr>
              <w:ind w:left="240"/>
              <w:spacing w:after="0" w:line="149" w:lineRule="exact"/>
              <w:rPr>
                <w:sz w:val="20"/>
                <w:szCs w:val="20"/>
                <w:color w:val="auto"/>
              </w:rPr>
            </w:pPr>
            <w:r>
              <w:rPr>
                <w:rFonts w:ascii="Arial" w:cs="Arial" w:eastAsia="Arial" w:hAnsi="Arial"/>
                <w:sz w:val="14"/>
                <w:szCs w:val="14"/>
                <w:b w:val="1"/>
                <w:bCs w:val="1"/>
                <w:color w:val="auto"/>
              </w:rPr>
              <w:t>Nine Months Ended</w:t>
            </w:r>
          </w:p>
        </w:tc>
      </w:tr>
      <w:tr>
        <w:trPr>
          <w:trHeight w:val="161"/>
        </w:trPr>
        <w:tc>
          <w:tcPr>
            <w:tcW w:w="37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2010</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3"/>
              </w:rPr>
              <w:t>24,395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23,386</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Net income</w:t>
            </w:r>
          </w:p>
        </w:tc>
        <w:tc>
          <w:tcPr>
            <w:tcW w:w="3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2,223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Schlumberger</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2,221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CEEFF"/>
          </w:tcPr>
          <w:p>
            <w:pPr>
              <w:spacing w:after="0"/>
              <w:rPr>
                <w:sz w:val="18"/>
                <w:szCs w:val="18"/>
                <w:color w:val="auto"/>
              </w:rPr>
            </w:pPr>
          </w:p>
        </w:tc>
      </w:tr>
      <w:tr>
        <w:trPr>
          <w:trHeight w:val="228"/>
        </w:trPr>
        <w:tc>
          <w:tcPr>
            <w:tcW w:w="37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r>
      <w:tr>
        <w:trPr>
          <w:trHeight w:val="350"/>
        </w:trPr>
        <w:tc>
          <w:tcPr>
            <w:tcW w:w="3780" w:type="dxa"/>
            <w:vAlign w:val="bottom"/>
          </w:tcPr>
          <w:p>
            <w:pPr>
              <w:spacing w:after="0"/>
              <w:rPr>
                <w:sz w:val="24"/>
                <w:szCs w:val="24"/>
                <w:color w:val="auto"/>
              </w:rPr>
            </w:pPr>
          </w:p>
        </w:tc>
        <w:tc>
          <w:tcPr>
            <w:tcW w:w="3880" w:type="dxa"/>
            <w:vAlign w:val="bottom"/>
          </w:tcPr>
          <w:p>
            <w:pPr>
              <w:jc w:val="right"/>
              <w:ind w:right="2696"/>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supplemental pro forma data was prepared based on the historical financial information of Schlumberger, Smith and Geoservices and has been adjusted to give effect to pro forma adjustments that are (i) directly attributable to the transactions, (ii) factually supportable and (iii) expected to have a continuing impact on the combined results. The supplemental pro forma data is not necessarily indicative of what Schlumberger’s results of operations actually would have been had the transactions been completed on January 1, 2009. Additionally, the supplemental pro forma data does not purport to project the future results of operations of the combined company nor do they reflect the expected realization of synergies associated with the transactions. The supplemental pro forma data reflects the application of the following adjustments:</w:t>
      </w:r>
    </w:p>
    <w:p>
      <w:pPr>
        <w:spacing w:after="0" w:line="39" w:lineRule="exact"/>
        <w:rPr>
          <w:sz w:val="20"/>
          <w:szCs w:val="20"/>
          <w:color w:val="auto"/>
        </w:rPr>
      </w:pPr>
    </w:p>
    <w:p>
      <w:pPr>
        <w:ind w:left="9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Elimination of the gain resulting from Schlumberger’s remeasurement of its previously held 40% equity interest in M-I SWACO, which is considered non-recurring.</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depreciation and amortization expense associated with fair value adjustments to acquired identifiable intangible assets and property, plant and equipment.</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Elimination of charges incurred in 2010 related to the fair value adjustments to Smith’s inventory that has been sold as they will not have a long-term continuing impact.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Reductions in interest expense as a result of increasing the carrying value of acquired debt obligations to its estimated fair value.</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Elimination of transaction costs incurred in 2010 that are directly related to the transactions, and do not have a continuing impact on the combined company’s operating results.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issuance of 176 million of shares of Schlumberger common stock.</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Included in the 2010 pro forma net income attributable to Schlumberger and diluted earnings per share presented above are the following significant charges and credits: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940" w:type="dxa"/>
            <w:vAlign w:val="bottom"/>
            <w:gridSpan w:val="8"/>
          </w:tcPr>
          <w:p>
            <w:pPr>
              <w:jc w:val="right"/>
              <w:ind w:right="100"/>
              <w:spacing w:after="0"/>
              <w:rPr>
                <w:sz w:val="20"/>
                <w:szCs w:val="20"/>
                <w:color w:val="auto"/>
              </w:rPr>
            </w:pPr>
            <w:r>
              <w:rPr>
                <w:rFonts w:ascii="Arial" w:cs="Arial" w:eastAsia="Arial" w:hAnsi="Arial"/>
                <w:sz w:val="14"/>
                <w:szCs w:val="14"/>
                <w:i w:val="1"/>
                <w:iCs w:val="1"/>
                <w:color w:val="auto"/>
              </w:rPr>
              <w:t>(Stated in millions, except per share data)</w:t>
            </w:r>
          </w:p>
        </w:tc>
      </w:tr>
      <w:tr>
        <w:trPr>
          <w:trHeight w:val="149"/>
        </w:trPr>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Diluted</w:t>
            </w:r>
          </w:p>
        </w:tc>
      </w:tr>
      <w:tr>
        <w:trPr>
          <w:trHeight w:val="149"/>
        </w:trPr>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Net Income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2"/>
              </w:rPr>
              <w:t>EPS</w:t>
            </w:r>
          </w:p>
        </w:tc>
      </w:tr>
      <w:tr>
        <w:trPr>
          <w:trHeight w:val="16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2"/>
              </w:rPr>
              <w:t>Impact</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Impact *</w:t>
            </w:r>
          </w:p>
        </w:tc>
        <w:tc>
          <w:tcPr>
            <w:tcW w:w="100" w:type="dxa"/>
            <w:vAlign w:val="bottom"/>
          </w:tcPr>
          <w:p>
            <w:pPr>
              <w:spacing w:after="0"/>
              <w:rPr>
                <w:sz w:val="14"/>
                <w:szCs w:val="14"/>
                <w:color w:val="auto"/>
              </w:rPr>
            </w:pPr>
          </w:p>
        </w:tc>
      </w:tr>
      <w:tr>
        <w:trPr>
          <w:trHeight w:val="210"/>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Severance and other </w:t>
            </w:r>
            <w:r>
              <w:rPr>
                <w:rFonts w:ascii="Arial" w:cs="Arial" w:eastAsia="Arial" w:hAnsi="Arial"/>
                <w:sz w:val="11"/>
                <w:szCs w:val="11"/>
                <w:color w:val="auto"/>
              </w:rPr>
              <w:t>(1)</w:t>
            </w:r>
          </w:p>
        </w:tc>
        <w:tc>
          <w:tcPr>
            <w:tcW w:w="20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 xml:space="preserve">Impairment relating to WesternGeco’s first generation Q-Land acquisition system </w:t>
            </w:r>
            <w:r>
              <w:rPr>
                <w:rFonts w:ascii="Arial" w:cs="Arial" w:eastAsia="Arial" w:hAnsi="Arial"/>
                <w:sz w:val="11"/>
                <w:szCs w:val="11"/>
                <w:color w:val="auto"/>
              </w:rPr>
              <w:t>(1)</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Other WesternGeco-related charges </w:t>
            </w:r>
            <w:r>
              <w:rPr>
                <w:rFonts w:ascii="Arial" w:cs="Arial" w:eastAsia="Arial" w:hAnsi="Arial"/>
                <w:sz w:val="11"/>
                <w:szCs w:val="11"/>
                <w:color w:val="auto"/>
              </w:rPr>
              <w:t>(1)</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 xml:space="preserve">Impact of elimination of tax deduction related to Medicare Part D subsidy </w:t>
            </w:r>
            <w:r>
              <w:rPr>
                <w:rFonts w:ascii="Arial" w:cs="Arial" w:eastAsia="Arial" w:hAnsi="Arial"/>
                <w:sz w:val="11"/>
                <w:szCs w:val="11"/>
                <w:color w:val="auto"/>
              </w:rPr>
              <w:t>(1)</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Mexico restructuring </w:t>
            </w:r>
            <w:r>
              <w:rPr>
                <w:rFonts w:ascii="Arial" w:cs="Arial" w:eastAsia="Arial" w:hAnsi="Arial"/>
                <w:sz w:val="11"/>
                <w:szCs w:val="11"/>
                <w:color w:val="auto"/>
              </w:rPr>
              <w:t>(1)</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 xml:space="preserve">Venezuelan currency-related losses </w:t>
            </w:r>
            <w:r>
              <w:rPr>
                <w:rFonts w:ascii="Arial" w:cs="Arial" w:eastAsia="Arial" w:hAnsi="Arial"/>
                <w:sz w:val="11"/>
                <w:szCs w:val="11"/>
                <w:color w:val="auto"/>
              </w:rPr>
              <w:t>(2)</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Repurchase of bonds </w:t>
            </w:r>
            <w:r>
              <w:rPr>
                <w:rFonts w:ascii="Arial" w:cs="Arial" w:eastAsia="Arial" w:hAnsi="Arial"/>
                <w:sz w:val="11"/>
                <w:szCs w:val="11"/>
                <w:color w:val="auto"/>
              </w:rPr>
              <w:t>(1)</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23"/>
        </w:trPr>
        <w:tc>
          <w:tcPr>
            <w:tcW w:w="7480" w:type="dxa"/>
            <w:vAlign w:val="bottom"/>
            <w:gridSpan w:val="3"/>
          </w:tcPr>
          <w:p>
            <w:pPr>
              <w:spacing w:after="0"/>
              <w:rPr>
                <w:sz w:val="20"/>
                <w:szCs w:val="20"/>
                <w:color w:val="auto"/>
              </w:rPr>
            </w:pPr>
            <w:r>
              <w:rPr>
                <w:rFonts w:ascii="Arial" w:cs="Arial" w:eastAsia="Arial" w:hAnsi="Arial"/>
                <w:sz w:val="18"/>
                <w:szCs w:val="18"/>
                <w:color w:val="auto"/>
              </w:rPr>
              <w:t xml:space="preserve">Gain on remeasurement of investment in @Balance </w:t>
            </w:r>
            <w:r>
              <w:rPr>
                <w:rFonts w:ascii="Arial" w:cs="Arial" w:eastAsia="Arial" w:hAnsi="Arial"/>
                <w:sz w:val="11"/>
                <w:szCs w:val="11"/>
                <w:color w:val="auto"/>
              </w:rPr>
              <w:t>(2)</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(0.01)</w:t>
            </w:r>
          </w:p>
        </w:tc>
      </w:tr>
      <w:tr>
        <w:trPr>
          <w:trHeight w:val="216"/>
        </w:trPr>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35"/>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7200" w:type="dxa"/>
            <w:vAlign w:val="bottom"/>
            <w:gridSpan w:val="2"/>
          </w:tcPr>
          <w:p>
            <w:pPr>
              <w:ind w:left="180"/>
              <w:spacing w:after="0"/>
              <w:rPr>
                <w:sz w:val="20"/>
                <w:szCs w:val="20"/>
                <w:color w:val="auto"/>
              </w:rPr>
            </w:pPr>
            <w:r>
              <w:rPr>
                <w:rFonts w:ascii="Arial" w:cs="Arial" w:eastAsia="Arial" w:hAnsi="Arial"/>
                <w:sz w:val="18"/>
                <w:szCs w:val="18"/>
                <w:color w:val="auto"/>
              </w:rPr>
              <w:t>Does not add due to rounding</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5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Included in the 2009 pro forma net income attributable to Schlumberger and diluted earnings per share presented above are the following significant charges and credits: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5940" w:type="dxa"/>
            <w:vAlign w:val="bottom"/>
            <w:gridSpan w:val="6"/>
          </w:tcPr>
          <w:p>
            <w:pPr>
              <w:ind w:left="3580"/>
              <w:spacing w:after="0"/>
              <w:rPr>
                <w:sz w:val="20"/>
                <w:szCs w:val="20"/>
                <w:color w:val="auto"/>
              </w:rPr>
            </w:pPr>
            <w:r>
              <w:rPr>
                <w:rFonts w:ascii="Arial" w:cs="Arial" w:eastAsia="Arial" w:hAnsi="Arial"/>
                <w:sz w:val="14"/>
                <w:szCs w:val="14"/>
                <w:i w:val="1"/>
                <w:iCs w:val="1"/>
                <w:color w:val="auto"/>
                <w:w w:val="90"/>
              </w:rPr>
              <w:t>(Stated in millions, except per share data)</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Diluted</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Net Income</w:t>
            </w:r>
          </w:p>
        </w:tc>
        <w:tc>
          <w:tcPr>
            <w:tcW w:w="800" w:type="dxa"/>
            <w:vAlign w:val="bottom"/>
          </w:tcPr>
          <w:p>
            <w:pPr>
              <w:spacing w:after="0"/>
              <w:rPr>
                <w:sz w:val="12"/>
                <w:szCs w:val="12"/>
                <w:color w:val="auto"/>
              </w:rPr>
            </w:pP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8"/>
              </w:rPr>
              <w:t>Impact</w:t>
            </w:r>
          </w:p>
        </w:tc>
        <w:tc>
          <w:tcPr>
            <w:tcW w:w="80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Impact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Postretirment benefits curtailment </w:t>
            </w:r>
            <w:r>
              <w:rPr>
                <w:rFonts w:ascii="Arial" w:cs="Arial" w:eastAsia="Arial" w:hAnsi="Arial"/>
                <w:sz w:val="11"/>
                <w:szCs w:val="11"/>
                <w:color w:val="auto"/>
              </w:rPr>
              <w:t>(1)</w:t>
            </w:r>
          </w:p>
        </w:tc>
        <w:tc>
          <w:tcPr>
            <w:tcW w:w="4060" w:type="dxa"/>
            <w:vAlign w:val="bottom"/>
            <w:gridSpan w:val="2"/>
            <w:shd w:val="clear" w:color="auto" w:fill="CCEEFF"/>
          </w:tcPr>
          <w:p>
            <w:pPr>
              <w:ind w:left="39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20" w:type="dxa"/>
            <w:vAlign w:val="bottom"/>
            <w:gridSpan w:val="2"/>
            <w:shd w:val="clear" w:color="auto" w:fill="CCEEFF"/>
          </w:tcPr>
          <w:p>
            <w:pPr>
              <w:jc w:val="center"/>
              <w:ind w:left="712"/>
              <w:spacing w:after="0"/>
              <w:rPr>
                <w:sz w:val="20"/>
                <w:szCs w:val="20"/>
                <w:color w:val="auto"/>
              </w:rPr>
            </w:pPr>
            <w:r>
              <w:rPr>
                <w:rFonts w:ascii="Arial" w:cs="Arial" w:eastAsia="Arial" w:hAnsi="Arial"/>
                <w:sz w:val="18"/>
                <w:szCs w:val="18"/>
                <w:color w:val="auto"/>
                <w:w w:val="83"/>
              </w:rPr>
              <w:t>$ 0.09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 xml:space="preserve">Workforce reductions </w:t>
            </w:r>
            <w:r>
              <w:rPr>
                <w:rFonts w:ascii="Arial" w:cs="Arial" w:eastAsia="Arial" w:hAnsi="Arial"/>
                <w:sz w:val="11"/>
                <w:szCs w:val="11"/>
                <w:color w:val="auto"/>
              </w:rPr>
              <w:t>(1)</w:t>
            </w: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1220" w:type="dxa"/>
            <w:vAlign w:val="bottom"/>
            <w:gridSpan w:val="2"/>
          </w:tcPr>
          <w:p>
            <w:pPr>
              <w:jc w:val="center"/>
              <w:ind w:left="712"/>
              <w:spacing w:after="0"/>
              <w:rPr>
                <w:sz w:val="20"/>
                <w:szCs w:val="20"/>
                <w:color w:val="auto"/>
              </w:rPr>
            </w:pPr>
            <w:r>
              <w:rPr>
                <w:rFonts w:ascii="Arial" w:cs="Arial" w:eastAsia="Arial" w:hAnsi="Arial"/>
                <w:sz w:val="18"/>
                <w:szCs w:val="18"/>
                <w:color w:val="auto"/>
                <w:w w:val="83"/>
              </w:rPr>
              <w:t>$ 0.06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Employee severance </w:t>
            </w:r>
            <w:r>
              <w:rPr>
                <w:rFonts w:ascii="Arial" w:cs="Arial" w:eastAsia="Arial" w:hAnsi="Arial"/>
                <w:sz w:val="11"/>
                <w:szCs w:val="11"/>
                <w:color w:val="auto"/>
              </w:rPr>
              <w:t>(2)</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20" w:type="dxa"/>
            <w:vAlign w:val="bottom"/>
            <w:gridSpan w:val="2"/>
            <w:shd w:val="clear" w:color="auto" w:fill="CCEEFF"/>
          </w:tcPr>
          <w:p>
            <w:pPr>
              <w:jc w:val="center"/>
              <w:ind w:left="712"/>
              <w:spacing w:after="0"/>
              <w:rPr>
                <w:sz w:val="20"/>
                <w:szCs w:val="20"/>
                <w:color w:val="auto"/>
              </w:rPr>
            </w:pPr>
            <w:r>
              <w:rPr>
                <w:rFonts w:ascii="Arial" w:cs="Arial" w:eastAsia="Arial" w:hAnsi="Arial"/>
                <w:sz w:val="18"/>
                <w:szCs w:val="18"/>
                <w:color w:val="auto"/>
                <w:w w:val="83"/>
              </w:rPr>
              <w:t>$ 0.02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239</w:t>
            </w:r>
          </w:p>
        </w:tc>
        <w:tc>
          <w:tcPr>
            <w:tcW w:w="1220" w:type="dxa"/>
            <w:vAlign w:val="bottom"/>
            <w:gridSpan w:val="2"/>
          </w:tcPr>
          <w:p>
            <w:pPr>
              <w:jc w:val="center"/>
              <w:ind w:left="712"/>
              <w:spacing w:after="0"/>
              <w:rPr>
                <w:sz w:val="20"/>
                <w:szCs w:val="20"/>
                <w:color w:val="auto"/>
              </w:rPr>
            </w:pPr>
            <w:r>
              <w:rPr>
                <w:rFonts w:ascii="Arial" w:cs="Arial" w:eastAsia="Arial" w:hAnsi="Arial"/>
                <w:sz w:val="18"/>
                <w:szCs w:val="18"/>
                <w:color w:val="auto"/>
                <w:w w:val="83"/>
              </w:rPr>
              <w:t>$ 0.17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940" w:type="dxa"/>
            <w:vAlign w:val="bottom"/>
            <w:vMerge w:val="restart"/>
          </w:tcPr>
          <w:p>
            <w:pPr>
              <w:jc w:val="right"/>
              <w:ind w:right="2619"/>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Relates to Schlumberger’s historical operations and is more fully described in Note 2 – </w:t>
      </w:r>
      <w:r>
        <w:rPr>
          <w:rFonts w:ascii="Arial" w:cs="Arial" w:eastAsia="Arial" w:hAnsi="Arial"/>
          <w:sz w:val="18"/>
          <w:szCs w:val="18"/>
          <w:i w:val="1"/>
          <w:iCs w:val="1"/>
          <w:color w:val="auto"/>
        </w:rPr>
        <w:t>Charges and Credits</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Relates to Smith’s historical operations.</w:t>
      </w:r>
    </w:p>
    <w:p>
      <w:pPr>
        <w:spacing w:after="0" w:line="240"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5"/>
          </w:tcPr>
          <w:p>
            <w:pPr>
              <w:jc w:val="center"/>
              <w:ind w:right="80"/>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Sept. 30,</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340" w:type="dxa"/>
            <w:vAlign w:val="bottom"/>
            <w:gridSpan w:val="2"/>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292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$1,841</w:t>
            </w:r>
          </w:p>
        </w:tc>
        <w:tc>
          <w:tcPr>
            <w:tcW w:w="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2920" w:type="dxa"/>
            <w:vAlign w:val="bottom"/>
            <w:gridSpan w:val="6"/>
          </w:tcPr>
          <w:p>
            <w:pPr>
              <w:jc w:val="right"/>
              <w:ind w:right="80"/>
              <w:spacing w:after="0"/>
              <w:rPr>
                <w:sz w:val="20"/>
                <w:szCs w:val="20"/>
                <w:color w:val="auto"/>
              </w:rPr>
            </w:pPr>
            <w:r>
              <w:rPr>
                <w:rFonts w:ascii="Arial" w:cs="Arial" w:eastAsia="Arial" w:hAnsi="Arial"/>
                <w:sz w:val="18"/>
                <w:szCs w:val="18"/>
                <w:b w:val="1"/>
                <w:bCs w:val="1"/>
                <w:color w:val="auto"/>
              </w:rPr>
              <w:t>280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34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1,820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3,941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6. Fixed Assets</w:t>
            </w: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6420" w:type="dxa"/>
            <w:vAlign w:val="bottom"/>
            <w:gridSpan w:val="4"/>
            <w:vMerge w:val="continue"/>
          </w:tcPr>
          <w:p>
            <w:pPr>
              <w:spacing w:after="0"/>
              <w:rPr>
                <w:sz w:val="24"/>
                <w:szCs w:val="24"/>
                <w:color w:val="auto"/>
              </w:rPr>
            </w:pP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420" w:type="dxa"/>
            <w:vAlign w:val="bottom"/>
            <w:gridSpan w:val="4"/>
          </w:tcPr>
          <w:p>
            <w:pPr>
              <w:spacing w:after="0"/>
              <w:rPr>
                <w:sz w:val="20"/>
                <w:szCs w:val="20"/>
                <w:color w:val="auto"/>
              </w:rPr>
            </w:pPr>
            <w:r>
              <w:rPr>
                <w:rFonts w:ascii="Arial" w:cs="Arial" w:eastAsia="Arial" w:hAnsi="Arial"/>
                <w:sz w:val="18"/>
                <w:szCs w:val="18"/>
                <w:color w:val="auto"/>
              </w:rPr>
              <w:t>A summary of fixed assets follows:</w:t>
            </w: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5"/>
          </w:tcPr>
          <w:p>
            <w:pPr>
              <w:jc w:val="center"/>
              <w:ind w:right="80"/>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8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Sept. 30,</w:t>
            </w:r>
          </w:p>
        </w:tc>
        <w:tc>
          <w:tcPr>
            <w:tcW w:w="460" w:type="dxa"/>
            <w:vAlign w:val="bottom"/>
          </w:tcPr>
          <w:p>
            <w:pPr>
              <w:spacing w:after="0"/>
              <w:rPr>
                <w:sz w:val="12"/>
                <w:szCs w:val="12"/>
                <w:color w:val="auto"/>
              </w:rPr>
            </w:pPr>
          </w:p>
        </w:tc>
        <w:tc>
          <w:tcPr>
            <w:tcW w:w="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8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2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$26,230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2160" w:type="dxa"/>
            <w:vAlign w:val="bottom"/>
          </w:tcPr>
          <w:p>
            <w:pPr>
              <w:spacing w:after="0"/>
              <w:rPr>
                <w:sz w:val="18"/>
                <w:szCs w:val="18"/>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14,330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11,845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 xml:space="preserve"> 11,900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left="298"/>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4"/>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420" w:type="dxa"/>
            <w:vAlign w:val="bottom"/>
            <w:gridSpan w:val="4"/>
            <w:vMerge w:val="continue"/>
          </w:tcPr>
          <w:p>
            <w:pPr>
              <w:spacing w:after="0"/>
              <w:rPr>
                <w:sz w:val="24"/>
                <w:szCs w:val="24"/>
                <w:color w:val="auto"/>
              </w:rPr>
            </w:pP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5"/>
          </w:tcPr>
          <w:p>
            <w:pPr>
              <w:jc w:val="center"/>
              <w:ind w:right="80"/>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420" w:type="dxa"/>
            <w:vAlign w:val="bottom"/>
            <w:gridSpan w:val="3"/>
          </w:tcPr>
          <w:p>
            <w:pPr>
              <w:spacing w:after="0"/>
              <w:rPr>
                <w:sz w:val="14"/>
                <w:szCs w:val="14"/>
                <w:color w:val="auto"/>
              </w:rPr>
            </w:pPr>
          </w:p>
        </w:tc>
        <w:tc>
          <w:tcPr>
            <w:tcW w:w="420" w:type="dxa"/>
            <w:vAlign w:val="bottom"/>
            <w:tcBorders>
              <w:bottom w:val="single" w:sz="8" w:color="auto"/>
            </w:tcBorders>
            <w:gridSpan w:val="2"/>
          </w:tcPr>
          <w:p>
            <w:pPr>
              <w:jc w:val="center"/>
              <w:ind w:left="12"/>
              <w:spacing w:after="0"/>
              <w:rPr>
                <w:sz w:val="20"/>
                <w:szCs w:val="20"/>
                <w:color w:val="auto"/>
              </w:rPr>
            </w:pPr>
            <w:r>
              <w:rPr>
                <w:rFonts w:ascii="Arial" w:cs="Arial" w:eastAsia="Arial" w:hAnsi="Arial"/>
                <w:sz w:val="14"/>
                <w:szCs w:val="14"/>
                <w:b w:val="1"/>
                <w:bCs w:val="1"/>
                <w:color w:val="auto"/>
                <w:w w:val="83"/>
              </w:rPr>
              <w:t>2010</w:t>
            </w: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940" w:type="dxa"/>
            <w:vAlign w:val="bottom"/>
            <w:gridSpan w:val="7"/>
            <w:shd w:val="clear" w:color="auto" w:fill="CCEEFF"/>
          </w:tcPr>
          <w:p>
            <w:pPr>
              <w:jc w:val="center"/>
              <w:ind w:left="2312"/>
              <w:spacing w:after="0"/>
              <w:rPr>
                <w:sz w:val="20"/>
                <w:szCs w:val="20"/>
                <w:color w:val="auto"/>
              </w:rPr>
            </w:pPr>
            <w:r>
              <w:rPr>
                <w:rFonts w:ascii="Arial" w:cs="Arial" w:eastAsia="Arial" w:hAnsi="Arial"/>
                <w:sz w:val="18"/>
                <w:szCs w:val="18"/>
                <w:b w:val="1"/>
                <w:bCs w:val="1"/>
                <w:color w:val="auto"/>
                <w:w w:val="99"/>
              </w:rPr>
              <w:t>$  603</w:t>
            </w: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Nine Months</w:t>
            </w:r>
          </w:p>
        </w:tc>
        <w:tc>
          <w:tcPr>
            <w:tcW w:w="2940" w:type="dxa"/>
            <w:vAlign w:val="bottom"/>
            <w:gridSpan w:val="7"/>
          </w:tcPr>
          <w:p>
            <w:pPr>
              <w:jc w:val="center"/>
              <w:ind w:left="2312"/>
              <w:spacing w:after="0"/>
              <w:rPr>
                <w:sz w:val="20"/>
                <w:szCs w:val="20"/>
                <w:color w:val="auto"/>
              </w:rPr>
            </w:pPr>
            <w:r>
              <w:rPr>
                <w:rFonts w:ascii="Arial" w:cs="Arial" w:eastAsia="Arial" w:hAnsi="Arial"/>
                <w:sz w:val="18"/>
                <w:szCs w:val="18"/>
                <w:b w:val="1"/>
                <w:bCs w:val="1"/>
                <w:color w:val="auto"/>
                <w:w w:val="90"/>
              </w:rPr>
              <w:t>$1,708</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nine months ended September 30, 2010 was as follows:</w:t>
      </w:r>
    </w:p>
    <w:p>
      <w:pPr>
        <w:sectPr>
          <w:pgSz w:w="11900" w:h="16838" w:orient="portrait"/>
          <w:cols w:equalWidth="0" w:num="1">
            <w:col w:w="10500"/>
          </w:cols>
          <w:pgMar w:left="240" w:top="459" w:right="1159" w:bottom="1440" w:gutter="0" w:footer="0" w:header="0"/>
        </w:sectPr>
      </w:pPr>
    </w:p>
    <w:p>
      <w:pPr>
        <w:spacing w:after="0" w:line="36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Capitalized in period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September 30, 2010</w:t>
      </w:r>
    </w:p>
    <w:p>
      <w:pPr>
        <w:spacing w:after="0" w:line="212" w:lineRule="exact"/>
        <w:rPr>
          <w:sz w:val="20"/>
          <w:szCs w:val="20"/>
          <w:color w:val="auto"/>
        </w:rPr>
      </w:pPr>
    </w:p>
    <w:p>
      <w:pPr>
        <w:jc w:val="right"/>
        <w:ind w:right="283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6"/>
        <w:spacing w:after="0"/>
        <w:rPr>
          <w:sz w:val="20"/>
          <w:szCs w:val="20"/>
          <w:color w:val="auto"/>
        </w:rPr>
      </w:pPr>
      <w:r>
        <w:rPr>
          <w:rFonts w:ascii="Arial" w:cs="Arial" w:eastAsia="Arial" w:hAnsi="Arial"/>
          <w:sz w:val="12"/>
          <w:szCs w:val="12"/>
          <w:i w:val="1"/>
          <w:iCs w:val="1"/>
          <w:color w:val="auto"/>
        </w:rPr>
        <w:t>(Stated in millions)</w:t>
      </w:r>
    </w:p>
    <w:p>
      <w:pPr>
        <w:spacing w:after="0" w:line="27" w:lineRule="exact"/>
        <w:rPr>
          <w:sz w:val="20"/>
          <w:szCs w:val="20"/>
          <w:color w:val="auto"/>
        </w:rPr>
      </w:pPr>
    </w:p>
    <w:p>
      <w:pPr>
        <w:ind w:left="786" w:hanging="786"/>
        <w:spacing w:after="0"/>
        <w:tabs>
          <w:tab w:leader="none" w:pos="7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288</w:t>
      </w:r>
    </w:p>
    <w:p>
      <w:pPr>
        <w:spacing w:after="0" w:line="1" w:lineRule="exact"/>
        <w:rPr>
          <w:rFonts w:ascii="Arial" w:cs="Arial" w:eastAsia="Arial" w:hAnsi="Arial"/>
          <w:sz w:val="18"/>
          <w:szCs w:val="18"/>
          <w:color w:val="auto"/>
        </w:rPr>
      </w:pPr>
    </w:p>
    <w:p>
      <w:pPr>
        <w:ind w:left="786"/>
        <w:spacing w:after="0"/>
        <w:rPr>
          <w:rFonts w:ascii="Arial" w:cs="Arial" w:eastAsia="Arial" w:hAnsi="Arial"/>
          <w:sz w:val="18"/>
          <w:szCs w:val="18"/>
          <w:color w:val="auto"/>
        </w:rPr>
      </w:pPr>
      <w:r>
        <w:rPr>
          <w:rFonts w:ascii="Arial" w:cs="Arial" w:eastAsia="Arial" w:hAnsi="Arial"/>
          <w:sz w:val="18"/>
          <w:szCs w:val="18"/>
          <w:color w:val="auto"/>
        </w:rPr>
        <w:t>241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60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0" w:lineRule="exact"/>
        <w:rPr>
          <w:sz w:val="20"/>
          <w:szCs w:val="20"/>
          <w:color w:val="auto"/>
        </w:rPr>
      </w:pPr>
    </w:p>
    <w:p>
      <w:pPr>
        <w:ind w:left="786" w:hanging="786"/>
        <w:spacing w:after="0"/>
        <w:tabs>
          <w:tab w:leader="none" w:pos="7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60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6604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ectPr>
          <w:pgSz w:w="11900" w:h="16838" w:orient="portrait"/>
          <w:cols w:equalWidth="0" w:num="2">
            <w:col w:w="8634" w:space="720"/>
            <w:col w:w="1146"/>
          </w:cols>
          <w:pgMar w:left="240" w:top="459" w:right="11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for the nine months ended September 30, 2010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92"/>
              </w:rPr>
              <w:t>Oilfield</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Smith</w:t>
            </w:r>
          </w:p>
        </w:tc>
        <w:tc>
          <w:tcPr>
            <w:tcW w:w="1220" w:type="dxa"/>
            <w:vAlign w:val="bottom"/>
            <w:gridSpan w:val="4"/>
          </w:tcPr>
          <w:p>
            <w:pPr>
              <w:jc w:val="center"/>
              <w:ind w:right="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Services</w:t>
            </w:r>
          </w:p>
        </w:tc>
        <w:tc>
          <w:tcPr>
            <w:tcW w:w="6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WesternGeco</w:t>
            </w:r>
          </w:p>
        </w:tc>
        <w:tc>
          <w:tcPr>
            <w:tcW w:w="60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(not allocated)</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3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$4,290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left="176"/>
              <w:spacing w:after="0"/>
              <w:rPr>
                <w:sz w:val="20"/>
                <w:szCs w:val="20"/>
                <w:color w:val="auto"/>
              </w:rPr>
            </w:pPr>
            <w:r>
              <w:rPr>
                <w:rFonts w:ascii="Arial" w:cs="Arial" w:eastAsia="Arial" w:hAnsi="Arial"/>
                <w:sz w:val="18"/>
                <w:szCs w:val="18"/>
                <w:color w:val="auto"/>
                <w:w w:val="88"/>
              </w:rPr>
              <w:t>—</w:t>
            </w:r>
          </w:p>
        </w:tc>
        <w:tc>
          <w:tcPr>
            <w:tcW w:w="620" w:type="dxa"/>
            <w:vAlign w:val="bottom"/>
            <w:gridSpan w:val="2"/>
            <w:shd w:val="clear" w:color="auto" w:fill="CCEEFF"/>
          </w:tcPr>
          <w:p>
            <w:pPr>
              <w:jc w:val="center"/>
              <w:ind w:left="459"/>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Acquisition of Smith</w:t>
            </w:r>
          </w:p>
        </w:tc>
        <w:tc>
          <w:tcPr>
            <w:tcW w:w="2160" w:type="dxa"/>
            <w:vAlign w:val="bottom"/>
          </w:tcPr>
          <w:p>
            <w:pPr>
              <w:spacing w:after="0"/>
              <w:rPr>
                <w:sz w:val="18"/>
                <w:szCs w:val="18"/>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center"/>
              <w:ind w:left="136"/>
              <w:spacing w:after="0"/>
              <w:rPr>
                <w:sz w:val="20"/>
                <w:szCs w:val="20"/>
                <w:color w:val="auto"/>
              </w:rPr>
            </w:pPr>
            <w:r>
              <w:rPr>
                <w:rFonts w:ascii="Arial" w:cs="Arial" w:eastAsia="Arial" w:hAnsi="Arial"/>
                <w:sz w:val="18"/>
                <w:szCs w:val="18"/>
                <w:color w:val="auto"/>
                <w:w w:val="88"/>
              </w:rPr>
              <w:t>7,666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additions</w:t>
            </w:r>
          </w:p>
        </w:tc>
        <w:tc>
          <w:tcPr>
            <w:tcW w:w="3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697</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176"/>
              <w:spacing w:after="0"/>
              <w:rPr>
                <w:sz w:val="20"/>
                <w:szCs w:val="20"/>
                <w:color w:val="auto"/>
              </w:rPr>
            </w:pPr>
            <w:r>
              <w:rPr>
                <w:rFonts w:ascii="Arial" w:cs="Arial" w:eastAsia="Arial" w:hAnsi="Arial"/>
                <w:sz w:val="18"/>
                <w:szCs w:val="18"/>
                <w:color w:val="auto"/>
                <w:w w:val="88"/>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Impact of change in exchange rates</w:t>
            </w:r>
          </w:p>
        </w:tc>
        <w:tc>
          <w:tcPr>
            <w:tcW w:w="21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center"/>
              <w:ind w:left="176"/>
              <w:spacing w:after="0"/>
              <w:rPr>
                <w:sz w:val="20"/>
                <w:szCs w:val="20"/>
                <w:color w:val="auto"/>
              </w:rPr>
            </w:pPr>
            <w:r>
              <w:rPr>
                <w:rFonts w:ascii="Arial" w:cs="Arial" w:eastAsia="Arial" w:hAnsi="Arial"/>
                <w:sz w:val="18"/>
                <w:szCs w:val="18"/>
                <w:color w:val="auto"/>
                <w:w w:val="88"/>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2010</w:t>
            </w:r>
          </w:p>
        </w:tc>
        <w:tc>
          <w:tcPr>
            <w:tcW w:w="3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4,973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88"/>
              </w:rPr>
              <w:t>7,666</w:t>
            </w:r>
          </w:p>
        </w:tc>
        <w:tc>
          <w:tcPr>
            <w:tcW w:w="620" w:type="dxa"/>
            <w:vAlign w:val="bottom"/>
            <w:gridSpan w:val="2"/>
            <w:shd w:val="clear" w:color="auto" w:fill="CCEEFF"/>
          </w:tcPr>
          <w:p>
            <w:pPr>
              <w:jc w:val="center"/>
              <w:ind w:left="459"/>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xml:space="preserve">As discussed in Note 4 - </w:t>
      </w:r>
      <w:r>
        <w:rPr>
          <w:rFonts w:ascii="Arial" w:cs="Arial" w:eastAsia="Arial" w:hAnsi="Arial"/>
          <w:sz w:val="18"/>
          <w:szCs w:val="18"/>
          <w:i w:val="1"/>
          <w:iCs w:val="1"/>
          <w:color w:val="auto"/>
        </w:rPr>
        <w:t>Acquisitions</w:t>
      </w:r>
      <w:r>
        <w:rPr>
          <w:rFonts w:ascii="Arial" w:cs="Arial" w:eastAsia="Arial" w:hAnsi="Arial"/>
          <w:sz w:val="18"/>
          <w:szCs w:val="18"/>
          <w:color w:val="auto"/>
        </w:rPr>
        <w:t>, the Smith transaction resulted in goodwill of approximately $7.7 billion. The allocation of this goodwill among our segments has not been completed.</w:t>
      </w:r>
    </w:p>
    <w:p>
      <w:pPr>
        <w:spacing w:after="0" w:line="207"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Intangible assets principally comprise software, technology and customer relationships. The gross book value and accumulated amortization of intangible assets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 30, 2010</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 31, 2009</w:t>
            </w:r>
          </w:p>
        </w:tc>
        <w:tc>
          <w:tcPr>
            <w:tcW w:w="1180" w:type="dxa"/>
            <w:vAlign w:val="bottom"/>
            <w:gridSpan w:val="4"/>
          </w:tcPr>
          <w:p>
            <w:pPr>
              <w:ind w:left="6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36"/>
        </w:trPr>
        <w:tc>
          <w:tcPr>
            <w:tcW w:w="4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83"/>
              </w:rPr>
              <w:t>Gross</w:t>
            </w:r>
          </w:p>
        </w:tc>
        <w:tc>
          <w:tcPr>
            <w:tcW w:w="5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56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Net Book</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88"/>
              </w:rPr>
              <w:t>Gross</w:t>
            </w:r>
          </w:p>
        </w:tc>
        <w:tc>
          <w:tcPr>
            <w:tcW w:w="5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54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Net Book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Book Value</w:t>
            </w:r>
          </w:p>
        </w:tc>
        <w:tc>
          <w:tcPr>
            <w:tcW w:w="56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560" w:type="dxa"/>
            <w:vAlign w:val="bottom"/>
          </w:tcPr>
          <w:p>
            <w:pPr>
              <w:spacing w:after="0"/>
              <w:rPr>
                <w:sz w:val="14"/>
                <w:szCs w:val="14"/>
                <w:color w:val="auto"/>
              </w:rPr>
            </w:pPr>
          </w:p>
        </w:tc>
        <w:tc>
          <w:tcPr>
            <w:tcW w:w="5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Value</w:t>
            </w:r>
          </w:p>
        </w:tc>
        <w:tc>
          <w:tcPr>
            <w:tcW w:w="56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Book Value</w:t>
            </w:r>
          </w:p>
        </w:tc>
        <w:tc>
          <w:tcPr>
            <w:tcW w:w="54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Technology/Technical Know-How</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1,852</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$ 1,665</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Tradename</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1,678</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1,635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1,967</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1,861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w:t>
            </w:r>
          </w:p>
        </w:tc>
        <w:tc>
          <w:tcPr>
            <w:tcW w:w="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w:t>
            </w:r>
          </w:p>
        </w:tc>
        <w:tc>
          <w:tcPr>
            <w:tcW w:w="5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5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5,874</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$ 5,248</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ind w:left="380"/>
              <w:spacing w:after="0"/>
              <w:rPr>
                <w:sz w:val="20"/>
                <w:szCs w:val="20"/>
                <w:color w:val="auto"/>
              </w:rPr>
            </w:pPr>
            <w:r>
              <w:rPr>
                <w:rFonts w:ascii="Arial" w:cs="Arial" w:eastAsia="Arial" w:hAnsi="Arial"/>
                <w:sz w:val="14"/>
                <w:szCs w:val="14"/>
                <w:i w:val="1"/>
                <w:iCs w:val="1"/>
                <w:color w:val="auto"/>
                <w:w w:val="95"/>
              </w:rPr>
              <w:t>(Stated in millions)</w:t>
            </w:r>
          </w:p>
        </w:tc>
      </w:tr>
      <w:tr>
        <w:trPr>
          <w:trHeight w:val="161"/>
        </w:trPr>
        <w:tc>
          <w:tcPr>
            <w:tcW w:w="7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3"/>
              </w:rPr>
              <w:t>2010</w:t>
            </w:r>
          </w:p>
        </w:tc>
        <w:tc>
          <w:tcPr>
            <w:tcW w:w="660" w:type="dxa"/>
            <w:vAlign w:val="bottom"/>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w:t>
            </w:r>
          </w:p>
        </w:tc>
        <w:tc>
          <w:tcPr>
            <w:tcW w:w="100" w:type="dxa"/>
            <w:vAlign w:val="bottom"/>
            <w:shd w:val="clear" w:color="auto" w:fill="CCEEFF"/>
          </w:tcPr>
          <w:p>
            <w:pPr>
              <w:spacing w:after="0"/>
              <w:rPr>
                <w:sz w:val="18"/>
                <w:szCs w:val="18"/>
                <w:color w:val="auto"/>
              </w:rPr>
            </w:pPr>
          </w:p>
        </w:tc>
      </w:tr>
      <w:tr>
        <w:trPr>
          <w:trHeight w:val="228"/>
        </w:trPr>
        <w:tc>
          <w:tcPr>
            <w:tcW w:w="7980" w:type="dxa"/>
            <w:vAlign w:val="bottom"/>
          </w:tcPr>
          <w:p>
            <w:pPr>
              <w:spacing w:after="0"/>
              <w:rPr>
                <w:sz w:val="20"/>
                <w:szCs w:val="20"/>
                <w:color w:val="auto"/>
              </w:rPr>
            </w:pPr>
            <w:r>
              <w:rPr>
                <w:rFonts w:ascii="Arial" w:cs="Arial" w:eastAsia="Arial" w:hAnsi="Arial"/>
                <w:sz w:val="18"/>
                <w:szCs w:val="18"/>
                <w:color w:val="auto"/>
              </w:rPr>
              <w:t>Nine Months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86</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21 years.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Based on the net book value of intangible assets at September 30, 2010, amortization charged to income for the subsequent five years is estimated to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remainder of 2010 – $82 million; 2011 – $322 million; 2012 – $304 million; 2013 – $293 million; 2014 – $281 million and 2015 – $269 million.</w:t>
      </w:r>
    </w:p>
    <w:p>
      <w:pPr>
        <w:spacing w:after="0" w:line="240"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commodity prices and interest rates. To mitigate these risks, Schlumberger utilizes derivative instruments. Schlumberger does not enter into derivatives for speculative purposes.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a multinational company, Schlumberger conducts its business in approximately 80 countries. Schlumberger’s functional currency is primarily the US dollar, which is consistent with the oil and gas industry. However, outside the United States, a significant portion of Schlumberger’s expenses is incurred in foreign currencies. Therefore, when the US dollar weakens (strengthens) in relation to the foreign currencies of the countries in which Schlumberger conducts business, the US dollar – reported expenses will increase (decrease).</w:t>
      </w:r>
    </w:p>
    <w:p>
      <w:pPr>
        <w:spacing w:after="0" w:line="14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Schlumberger is exposed to risks on future cash flows to the extent that local currency expenses exceed revenues denominated in local currency that are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8"/>
          <w:szCs w:val="18"/>
          <w:i w:val="1"/>
          <w:iCs w:val="1"/>
          <w:color w:val="auto"/>
        </w:rPr>
        <w:t xml:space="preserve">Consolidated Balance Sheet </w:t>
      </w:r>
      <w:r>
        <w:rPr>
          <w:rFonts w:ascii="Arial" w:cs="Arial" w:eastAsia="Arial" w:hAnsi="Arial"/>
          <w:sz w:val="18"/>
          <w:szCs w:val="18"/>
          <w:color w:val="auto"/>
        </w:rPr>
        <w:t>and in</w:t>
      </w:r>
      <w:r>
        <w:rPr>
          <w:rFonts w:ascii="Arial" w:cs="Arial" w:eastAsia="Arial" w:hAnsi="Arial"/>
          <w:sz w:val="18"/>
          <w:szCs w:val="18"/>
          <w:i w:val="1"/>
          <w:iCs w:val="1"/>
          <w:color w:val="auto"/>
        </w:rPr>
        <w:t xml:space="preserve"> Other Comprehensive Income (Loss). </w:t>
      </w:r>
      <w:r>
        <w:rPr>
          <w:rFonts w:ascii="Arial" w:cs="Arial" w:eastAsia="Arial" w:hAnsi="Arial"/>
          <w:sz w:val="18"/>
          <w:szCs w:val="18"/>
          <w:color w:val="auto"/>
        </w:rPr>
        <w:t>Amounts recorded in</w:t>
      </w:r>
      <w:r>
        <w:rPr>
          <w:rFonts w:ascii="Arial" w:cs="Arial" w:eastAsia="Arial" w:hAnsi="Arial"/>
          <w:sz w:val="18"/>
          <w:szCs w:val="18"/>
          <w:i w:val="1"/>
          <w:iCs w:val="1"/>
          <w:color w:val="auto"/>
        </w:rPr>
        <w:t xml:space="preserve"> Other Comprehensive Income (Loss) </w:t>
      </w:r>
      <w:r>
        <w:rPr>
          <w:rFonts w:ascii="Arial" w:cs="Arial" w:eastAsia="Arial" w:hAnsi="Arial"/>
          <w:sz w:val="18"/>
          <w:szCs w:val="18"/>
          <w:color w:val="auto"/>
        </w:rPr>
        <w:t>are reclassified into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period or periods that the hedged item is recognized in earnings. The ineffective portion of changes in the fair value of the hedged item is recorded directly to earnings.</w:t>
      </w:r>
    </w:p>
    <w:p>
      <w:pPr>
        <w:spacing w:after="0" w:line="144"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 xml:space="preserve">At September 30, 2010, Schlumberger recognized a cumulative net $4 million loss in </w:t>
      </w:r>
      <w:r>
        <w:rPr>
          <w:rFonts w:ascii="Arial" w:cs="Arial" w:eastAsia="Arial" w:hAnsi="Arial"/>
          <w:sz w:val="16"/>
          <w:szCs w:val="16"/>
          <w:i w:val="1"/>
          <w:iCs w:val="1"/>
          <w:color w:val="auto"/>
        </w:rPr>
        <w:t>Equity</w:t>
      </w:r>
      <w:r>
        <w:rPr>
          <w:rFonts w:ascii="Arial" w:cs="Arial" w:eastAsia="Arial" w:hAnsi="Arial"/>
          <w:sz w:val="16"/>
          <w:szCs w:val="16"/>
          <w:color w:val="auto"/>
        </w:rPr>
        <w:t xml:space="preserve"> relating to revaluation of foreign currency forward contracts and foreign currency options designated as cash flow hedges, the majority of which is expected to be reclassified into earnings within the next twelve months.</w:t>
      </w:r>
    </w:p>
    <w:p>
      <w:pPr>
        <w:spacing w:after="0" w:line="85"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 xml:space="preserve">Schlumberger is also exposed to changes in the fair value of assets and liabilities, including certain of its long-term debt, which are denominated in currencies other than the functional currency. Schlumberger uses foreign currency forward contracts and foreign currency options to hedge this exposure as it relates to certain currencies. These contracts are accounted for as fair value hedges with the fair value of the contracts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along with the change in fair value of the hedged item.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2010, contracts were outstanding for the US dollar equivalent of $4.6 billion in various foreign currencies.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Schlumberger is exposed to the impact of market fluctuations in the price of commodities, such as copper and lead. Schlumberger has entered into forward contracts on these commodities to manage the price risk associated with forecasted purchases. The objective of these contracts is to reduce the variability of cash flows associated with the forecasted purchase of those commodities. These contracts do not qualify for hedge accounting treatment and therefore changes in the fair value of the forward contracts are recorded directly to earnings.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Schlumberger is subject to interest rate risk on its debt and its investment portfolio. Schlumberger maintains an interest rate risk management strategy that uses a mix of variable and fixed rate debt combined with its investment portfolio and interest rate swaps to mitigate the exposure to changes in interest rates.</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During the third quarter of 2009, Schlumberger entered into interest rate swaps relating to two of its debt instruments. The first swap was for a notional amount of $450 million in order to hedge changes in the fair value of Schlumberger’s $450 million 3.00% Notes due 2013. Under the terms of this swap, Schlumberger receives interest at a fixed rate of 3.0% annually and will pay interest quarterly at a floating rate of three-month LIBOR plus a spread of 0.765%. This interest rate swap is designated as a fair value hedge of the underlying debt. This derivative instrument are marked to market with gains and losses recognized currently in income to offset the respective losses and gains recognized on changes in the fair value of the hedged debt. This results in no net gain or loss being recognized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second swap was for a notional amount of $600 million in order to hedge a portion of the changes in fair value of Schlumberger’s $650 million 6.50% Notes due 2012. Under the terms of this swap agreement, Schlumberger receives interest at a fixed rate of 6.50% semi-annually and will pay interest semi-annually at a floating rate of one-month LIBOR plus a spread of 4.84%. During the third quarter of 2010, Schlumberger repurchased $352 million of these notes and intends to repurchase the remaining outstanding balance during the fourth quarter of 2010. Accordingly, this interest rate swap, which had previously been designated as fair value hedge of the underlying debt, is no longer designated as a hedge. It is Schlumberger’s intention to settle this interest rate swap during the fourth quarter of 2010.</w:t>
      </w:r>
    </w:p>
    <w:p>
      <w:pPr>
        <w:spacing w:after="0" w:line="14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At September 30, 2010, Schlumberger had fixed rate debt aggregating approximately $4.2 billion and variable rate debt aggregating approximately $2.5 billion, after taking into account the effects of the interest rate swaps.</w:t>
      </w:r>
    </w:p>
    <w:p>
      <w:pPr>
        <w:spacing w:after="0" w:line="13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 xml:space="preserve">Short-term investments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Fixed income investments</w:t>
      </w:r>
      <w:r>
        <w:rPr>
          <w:rFonts w:ascii="Arial" w:cs="Arial" w:eastAsia="Arial" w:hAnsi="Arial"/>
          <w:sz w:val="16"/>
          <w:szCs w:val="16"/>
          <w:color w:val="auto"/>
        </w:rPr>
        <w:t>,</w:t>
      </w:r>
      <w:r>
        <w:rPr>
          <w:rFonts w:ascii="Arial" w:cs="Arial" w:eastAsia="Arial" w:hAnsi="Arial"/>
          <w:sz w:val="16"/>
          <w:szCs w:val="16"/>
          <w:i w:val="1"/>
          <w:iCs w:val="1"/>
          <w:color w:val="auto"/>
        </w:rPr>
        <w:t xml:space="preserve"> held to maturity</w:t>
      </w:r>
      <w:r>
        <w:rPr>
          <w:rFonts w:ascii="Arial" w:cs="Arial" w:eastAsia="Arial" w:hAnsi="Arial"/>
          <w:sz w:val="16"/>
          <w:szCs w:val="16"/>
          <w:color w:val="auto"/>
        </w:rPr>
        <w:t>, totaled approximately $2.1 billion at September 30, 2010, and are comprised primarily of</w:t>
      </w:r>
      <w:r>
        <w:rPr>
          <w:rFonts w:ascii="Arial" w:cs="Arial" w:eastAsia="Arial" w:hAnsi="Arial"/>
          <w:sz w:val="16"/>
          <w:szCs w:val="16"/>
          <w:i w:val="1"/>
          <w:iCs w:val="1"/>
          <w:color w:val="auto"/>
        </w:rPr>
        <w:t xml:space="preserve"> </w:t>
      </w:r>
      <w:r>
        <w:rPr>
          <w:rFonts w:ascii="Arial" w:cs="Arial" w:eastAsia="Arial" w:hAnsi="Arial"/>
          <w:sz w:val="16"/>
          <w:szCs w:val="16"/>
          <w:color w:val="auto"/>
        </w:rPr>
        <w:t>money market funds, eurodollar time deposits, certificates of deposit, commercial paper, euro notes and Eurobonds, and are substantially all denominated in US dollars. The carrying value of these investments approximates fair value, which was estimated using quoted market prices for those or similar investments.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outstanding derivative instruments is summarized as follows:</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assets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Derivative designated as hedges: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rate swaps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auto"/>
        </w:rPr>
        <w:t>Derivative not designated as hedges: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Commodity contracts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rate swaps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Derivative designated as hedges: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auto"/>
        </w:rPr>
        <w:t>Derivative not designated as hedges: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Commodity contracts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560" w:type="dxa"/>
            <w:vAlign w:val="bottom"/>
            <w:gridSpan w:val="3"/>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1"/>
        </w:trPr>
        <w:tc>
          <w:tcPr>
            <w:tcW w:w="2180" w:type="dxa"/>
            <w:vAlign w:val="bottom"/>
            <w:gridSpan w:val="4"/>
          </w:tcPr>
          <w:p>
            <w:pPr>
              <w:ind w:left="220"/>
              <w:spacing w:after="0"/>
              <w:rPr>
                <w:sz w:val="20"/>
                <w:szCs w:val="20"/>
                <w:color w:val="auto"/>
              </w:rPr>
            </w:pPr>
            <w:r>
              <w:rPr>
                <w:rFonts w:ascii="Arial" w:cs="Arial" w:eastAsia="Arial" w:hAnsi="Arial"/>
                <w:sz w:val="14"/>
                <w:szCs w:val="14"/>
                <w:b w:val="1"/>
                <w:bCs w:val="1"/>
                <w:color w:val="auto"/>
              </w:rPr>
              <w:t>Fair Value of Derivatives</w:t>
            </w: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w w:val="87"/>
              </w:rPr>
              <w:t>Classification</w:t>
            </w:r>
          </w:p>
        </w:tc>
      </w:tr>
      <w:tr>
        <w:trPr>
          <w:trHeight w:val="129"/>
        </w:trPr>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Sept. 30</w:t>
            </w:r>
          </w:p>
        </w:tc>
        <w:tc>
          <w:tcPr>
            <w:tcW w:w="6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Dec. 31</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r>
      <w:tr>
        <w:trPr>
          <w:trHeight w:val="161"/>
        </w:trPr>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gridSpan w:val="2"/>
          </w:tcPr>
          <w:p>
            <w:pPr>
              <w:jc w:val="right"/>
              <w:ind w:right="131"/>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040" w:type="dxa"/>
            <w:vAlign w:val="bottom"/>
          </w:tcPr>
          <w:p>
            <w:pPr>
              <w:ind w:left="620"/>
              <w:spacing w:after="0"/>
              <w:rPr>
                <w:sz w:val="20"/>
                <w:szCs w:val="20"/>
                <w:color w:val="auto"/>
              </w:rPr>
            </w:pPr>
            <w:r>
              <w:rPr>
                <w:rFonts w:ascii="Arial" w:cs="Arial" w:eastAsia="Arial" w:hAnsi="Arial"/>
                <w:sz w:val="18"/>
                <w:szCs w:val="18"/>
                <w:i w:val="1"/>
                <w:iCs w:val="1"/>
                <w:color w:val="auto"/>
                <w:w w:val="85"/>
              </w:rPr>
              <w:t>Other current assets</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216</w:t>
            </w:r>
          </w:p>
        </w:tc>
        <w:tc>
          <w:tcPr>
            <w:tcW w:w="2040" w:type="dxa"/>
            <w:vAlign w:val="bottom"/>
          </w:tcPr>
          <w:p>
            <w:pPr>
              <w:ind w:left="620"/>
              <w:spacing w:after="0"/>
              <w:rPr>
                <w:sz w:val="20"/>
                <w:szCs w:val="20"/>
                <w:color w:val="auto"/>
              </w:rPr>
            </w:pPr>
            <w:r>
              <w:rPr>
                <w:rFonts w:ascii="Arial" w:cs="Arial" w:eastAsia="Arial" w:hAnsi="Arial"/>
                <w:sz w:val="18"/>
                <w:szCs w:val="18"/>
                <w:i w:val="1"/>
                <w:iCs w:val="1"/>
                <w:color w:val="auto"/>
              </w:rPr>
              <w:t>Other Assets</w:t>
            </w:r>
          </w:p>
        </w:tc>
      </w:tr>
      <w:tr>
        <w:trPr>
          <w:trHeight w:val="229"/>
        </w:trPr>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40" w:type="dxa"/>
            <w:vAlign w:val="bottom"/>
          </w:tcPr>
          <w:p>
            <w:pPr>
              <w:ind w:left="620"/>
              <w:spacing w:after="0"/>
              <w:rPr>
                <w:sz w:val="20"/>
                <w:szCs w:val="20"/>
                <w:color w:val="auto"/>
              </w:rPr>
            </w:pPr>
            <w:r>
              <w:rPr>
                <w:rFonts w:ascii="Arial" w:cs="Arial" w:eastAsia="Arial" w:hAnsi="Arial"/>
                <w:sz w:val="18"/>
                <w:szCs w:val="18"/>
                <w:i w:val="1"/>
                <w:iCs w:val="1"/>
                <w:color w:val="auto"/>
              </w:rPr>
              <w:t>Other Assets</w:t>
            </w:r>
          </w:p>
        </w:tc>
      </w:tr>
      <w:tr>
        <w:trPr>
          <w:trHeight w:val="224"/>
        </w:trPr>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64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040" w:type="dxa"/>
            <w:vAlign w:val="bottom"/>
          </w:tcPr>
          <w:p>
            <w:pPr>
              <w:spacing w:after="0"/>
              <w:rPr>
                <w:sz w:val="19"/>
                <w:szCs w:val="19"/>
                <w:color w:val="auto"/>
              </w:rPr>
            </w:pPr>
          </w:p>
        </w:tc>
      </w:tr>
      <w:tr>
        <w:trPr>
          <w:trHeight w:val="425"/>
        </w:trPr>
        <w:tc>
          <w:tcPr>
            <w:tcW w:w="260" w:type="dxa"/>
            <w:vAlign w:val="bottom"/>
            <w:gridSpan w:val="2"/>
          </w:tcPr>
          <w:p>
            <w:pPr>
              <w:jc w:val="right"/>
              <w:ind w:right="131"/>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040" w:type="dxa"/>
            <w:vAlign w:val="bottom"/>
          </w:tcPr>
          <w:p>
            <w:pPr>
              <w:ind w:left="620"/>
              <w:spacing w:after="0"/>
              <w:rPr>
                <w:sz w:val="20"/>
                <w:szCs w:val="20"/>
                <w:color w:val="auto"/>
              </w:rPr>
            </w:pPr>
            <w:r>
              <w:rPr>
                <w:rFonts w:ascii="Arial" w:cs="Arial" w:eastAsia="Arial" w:hAnsi="Arial"/>
                <w:sz w:val="18"/>
                <w:szCs w:val="18"/>
                <w:i w:val="1"/>
                <w:iCs w:val="1"/>
                <w:color w:val="auto"/>
                <w:w w:val="85"/>
              </w:rPr>
              <w:t>Other current assets</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040" w:type="dxa"/>
            <w:vAlign w:val="bottom"/>
          </w:tcPr>
          <w:p>
            <w:pPr>
              <w:ind w:left="620"/>
              <w:spacing w:after="0"/>
              <w:rPr>
                <w:sz w:val="20"/>
                <w:szCs w:val="20"/>
                <w:color w:val="auto"/>
              </w:rPr>
            </w:pPr>
            <w:r>
              <w:rPr>
                <w:rFonts w:ascii="Arial" w:cs="Arial" w:eastAsia="Arial" w:hAnsi="Arial"/>
                <w:sz w:val="18"/>
                <w:szCs w:val="18"/>
                <w:i w:val="1"/>
                <w:iCs w:val="1"/>
                <w:color w:val="auto"/>
                <w:w w:val="85"/>
              </w:rPr>
              <w:t>Other current assets</w:t>
            </w:r>
          </w:p>
        </w:tc>
      </w:tr>
      <w:tr>
        <w:trPr>
          <w:trHeight w:val="228"/>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2040" w:type="dxa"/>
            <w:vAlign w:val="bottom"/>
          </w:tcPr>
          <w:p>
            <w:pPr>
              <w:ind w:left="620"/>
              <w:spacing w:after="0"/>
              <w:rPr>
                <w:sz w:val="20"/>
                <w:szCs w:val="20"/>
                <w:color w:val="auto"/>
              </w:rPr>
            </w:pPr>
            <w:r>
              <w:rPr>
                <w:rFonts w:ascii="Arial" w:cs="Arial" w:eastAsia="Arial" w:hAnsi="Arial"/>
                <w:sz w:val="18"/>
                <w:szCs w:val="18"/>
                <w:i w:val="1"/>
                <w:iCs w:val="1"/>
                <w:color w:val="auto"/>
              </w:rPr>
              <w:t>Other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-1130300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-855980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-546735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-272415</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0" w:hanging="1152"/>
        <w:spacing w:after="0"/>
        <w:tabs>
          <w:tab w:leader="none" w:pos="16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5"/>
          <w:szCs w:val="15"/>
          <w:i w:val="1"/>
          <w:iCs w:val="1"/>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-129540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220" w:type="dxa"/>
            <w:vAlign w:val="bottom"/>
            <w:tcBorders>
              <w:top w:val="single" w:sz="8" w:color="auto"/>
              <w:bottom w:val="single" w:sz="8" w:color="auto"/>
            </w:tcBorders>
            <w:gridSpan w:val="2"/>
          </w:tcPr>
          <w:p>
            <w:pPr>
              <w:jc w:val="right"/>
              <w:ind w:right="91"/>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480" w:type="dxa"/>
            <w:vAlign w:val="bottom"/>
          </w:tcPr>
          <w:p>
            <w:pPr>
              <w:spacing w:after="0"/>
              <w:rPr>
                <w:sz w:val="19"/>
                <w:szCs w:val="19"/>
                <w:color w:val="auto"/>
              </w:rPr>
            </w:pPr>
          </w:p>
        </w:tc>
      </w:tr>
      <w:tr>
        <w:trPr>
          <w:trHeight w:val="223"/>
        </w:trPr>
        <w:tc>
          <w:tcPr>
            <w:tcW w:w="22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64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34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628"/>
        </w:trPr>
        <w:tc>
          <w:tcPr>
            <w:tcW w:w="220" w:type="dxa"/>
            <w:vAlign w:val="bottom"/>
            <w:gridSpan w:val="2"/>
          </w:tcPr>
          <w:p>
            <w:pPr>
              <w:jc w:val="right"/>
              <w:ind w:right="91"/>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3480" w:type="dxa"/>
            <w:vAlign w:val="bottom"/>
          </w:tcPr>
          <w:p>
            <w:pPr>
              <w:ind w:left="620"/>
              <w:spacing w:after="0"/>
              <w:rPr>
                <w:sz w:val="20"/>
                <w:szCs w:val="20"/>
                <w:color w:val="auto"/>
              </w:rPr>
            </w:pPr>
            <w:r>
              <w:rPr>
                <w:rFonts w:ascii="Arial" w:cs="Arial" w:eastAsia="Arial" w:hAnsi="Arial"/>
                <w:sz w:val="18"/>
                <w:szCs w:val="18"/>
                <w:i w:val="1"/>
                <w:iCs w:val="1"/>
                <w:color w:val="auto"/>
                <w:w w:val="88"/>
              </w:rPr>
              <w:t>Accounts payable and accrued liabilities</w:t>
            </w:r>
          </w:p>
        </w:tc>
      </w:tr>
      <w:tr>
        <w:trPr>
          <w:trHeight w:val="229"/>
        </w:trPr>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480" w:type="dxa"/>
            <w:vAlign w:val="bottom"/>
          </w:tcPr>
          <w:p>
            <w:pPr>
              <w:ind w:left="620"/>
              <w:spacing w:after="0"/>
              <w:rPr>
                <w:sz w:val="20"/>
                <w:szCs w:val="20"/>
                <w:color w:val="auto"/>
              </w:rPr>
            </w:pPr>
            <w:r>
              <w:rPr>
                <w:rFonts w:ascii="Arial" w:cs="Arial" w:eastAsia="Arial" w:hAnsi="Arial"/>
                <w:sz w:val="18"/>
                <w:szCs w:val="18"/>
                <w:i w:val="1"/>
                <w:iCs w:val="1"/>
                <w:color w:val="auto"/>
              </w:rPr>
              <w:t>Other Liabilities</w:t>
            </w:r>
          </w:p>
        </w:tc>
      </w:tr>
      <w:tr>
        <w:trPr>
          <w:trHeight w:val="224"/>
        </w:trPr>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64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480" w:type="dxa"/>
            <w:vAlign w:val="bottom"/>
          </w:tcPr>
          <w:p>
            <w:pPr>
              <w:spacing w:after="0"/>
              <w:rPr>
                <w:sz w:val="19"/>
                <w:szCs w:val="19"/>
                <w:color w:val="auto"/>
              </w:rPr>
            </w:pPr>
          </w:p>
        </w:tc>
      </w:tr>
      <w:tr>
        <w:trPr>
          <w:trHeight w:val="438"/>
        </w:trPr>
        <w:tc>
          <w:tcPr>
            <w:tcW w:w="220" w:type="dxa"/>
            <w:vAlign w:val="bottom"/>
            <w:gridSpan w:val="2"/>
          </w:tcPr>
          <w:p>
            <w:pPr>
              <w:jc w:val="right"/>
              <w:ind w:right="91"/>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3480" w:type="dxa"/>
            <w:vAlign w:val="bottom"/>
          </w:tcPr>
          <w:p>
            <w:pPr>
              <w:ind w:left="620"/>
              <w:spacing w:after="0"/>
              <w:rPr>
                <w:sz w:val="20"/>
                <w:szCs w:val="20"/>
                <w:color w:val="auto"/>
              </w:rPr>
            </w:pPr>
            <w:r>
              <w:rPr>
                <w:rFonts w:ascii="Arial" w:cs="Arial" w:eastAsia="Arial" w:hAnsi="Arial"/>
                <w:sz w:val="18"/>
                <w:szCs w:val="18"/>
                <w:i w:val="1"/>
                <w:iCs w:val="1"/>
                <w:color w:val="auto"/>
                <w:w w:val="88"/>
              </w:rPr>
              <w:t>Accounts payable and accrued liabilities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-1164590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-855980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-581025</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-272415</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0" w:hanging="1161"/>
        <w:spacing w:after="0"/>
        <w:tabs>
          <w:tab w:leader="none" w:pos="16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i w:val="1"/>
          <w:iCs w:val="1"/>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-129540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c>
          <w:tcPr>
            <w:tcW w:w="1780" w:type="dxa"/>
            <w:vAlign w:val="bottom"/>
          </w:tcPr>
          <w:p>
            <w:pPr>
              <w:ind w:left="620"/>
              <w:spacing w:after="0"/>
              <w:rPr>
                <w:sz w:val="20"/>
                <w:szCs w:val="20"/>
                <w:color w:val="auto"/>
              </w:rPr>
            </w:pPr>
            <w:r>
              <w:rPr>
                <w:rFonts w:ascii="Arial" w:cs="Arial" w:eastAsia="Arial" w:hAnsi="Arial"/>
                <w:sz w:val="18"/>
                <w:szCs w:val="18"/>
                <w:i w:val="1"/>
                <w:iCs w:val="1"/>
                <w:color w:val="auto"/>
                <w:w w:val="91"/>
              </w:rPr>
              <w:t>Other Liabilities</w:t>
            </w:r>
          </w:p>
        </w:tc>
      </w:tr>
      <w:tr>
        <w:trPr>
          <w:trHeight w:val="223"/>
        </w:trPr>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6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780" w:type="dxa"/>
            <w:vAlign w:val="bottom"/>
          </w:tcPr>
          <w:p>
            <w:pPr>
              <w:spacing w:after="0"/>
              <w:rPr>
                <w:sz w:val="19"/>
                <w:szCs w:val="19"/>
                <w:color w:val="auto"/>
              </w:rPr>
            </w:pPr>
          </w:p>
        </w:tc>
      </w:tr>
      <w:tr>
        <w:trPr>
          <w:trHeight w:val="20"/>
        </w:trPr>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6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7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-572770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4400" w:space="720"/>
            <w:col w:w="6280"/>
          </w:cols>
          <w:pgMar w:left="240" w:top="459" w:right="2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fair value of all outstanding derivatives is determined using a model with inputs that are observable in the market or can be derived from or corroborated by observable data.</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effect on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of derivative instruments designated as fair value hedges and those not designated as hedges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6"/>
          </w:tcPr>
          <w:p>
            <w:pPr>
              <w:jc w:val="right"/>
              <w:ind w:right="660"/>
              <w:spacing w:after="0"/>
              <w:rPr>
                <w:sz w:val="20"/>
                <w:szCs w:val="20"/>
                <w:color w:val="auto"/>
              </w:rPr>
            </w:pPr>
            <w:r>
              <w:rPr>
                <w:rFonts w:ascii="Arial" w:cs="Arial" w:eastAsia="Arial" w:hAnsi="Arial"/>
                <w:sz w:val="14"/>
                <w:szCs w:val="14"/>
                <w:i w:val="1"/>
                <w:iCs w:val="1"/>
                <w:color w:val="auto"/>
              </w:rPr>
              <w:t>(Stated in millions)</w:t>
            </w: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4"/>
                <w:szCs w:val="14"/>
                <w:b w:val="1"/>
                <w:bCs w:val="1"/>
                <w:color w:val="auto"/>
                <w:w w:val="99"/>
              </w:rPr>
              <w:t>Gain/(Loss) Recognized in Income</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rPr>
              <w:t>Third Quarter</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8"/>
              </w:rPr>
              <w:t>Nine Months</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0"/>
              </w:rPr>
              <w:t>2010</w:t>
            </w: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485"/>
              <w:spacing w:after="0" w:line="142" w:lineRule="exact"/>
              <w:rPr>
                <w:sz w:val="20"/>
                <w:szCs w:val="20"/>
                <w:color w:val="auto"/>
              </w:rPr>
            </w:pPr>
            <w:r>
              <w:rPr>
                <w:rFonts w:ascii="Arial" w:cs="Arial" w:eastAsia="Arial" w:hAnsi="Arial"/>
                <w:sz w:val="14"/>
                <w:szCs w:val="14"/>
                <w:b w:val="1"/>
                <w:bCs w:val="1"/>
                <w:color w:val="auto"/>
                <w:w w:val="76"/>
              </w:rPr>
              <w:t>2010</w:t>
            </w:r>
          </w:p>
        </w:tc>
        <w:tc>
          <w:tcPr>
            <w:tcW w:w="4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fair value hedges: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8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$67</w:t>
            </w:r>
          </w:p>
        </w:tc>
        <w:tc>
          <w:tcPr>
            <w:tcW w:w="1160" w:type="dxa"/>
            <w:vAlign w:val="bottom"/>
            <w:gridSpan w:val="3"/>
          </w:tcPr>
          <w:p>
            <w:pPr>
              <w:jc w:val="right"/>
              <w:ind w:right="425"/>
              <w:spacing w:after="0"/>
              <w:rPr>
                <w:sz w:val="20"/>
                <w:szCs w:val="20"/>
                <w:color w:val="auto"/>
              </w:rPr>
            </w:pPr>
            <w:r>
              <w:rPr>
                <w:rFonts w:ascii="Arial" w:cs="Arial" w:eastAsia="Arial" w:hAnsi="Arial"/>
                <w:sz w:val="18"/>
                <w:szCs w:val="18"/>
                <w:b w:val="1"/>
                <w:bCs w:val="1"/>
                <w:color w:val="auto"/>
              </w:rPr>
              <w:t>$ (8)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60"/>
              <w:spacing w:after="0"/>
              <w:rPr>
                <w:sz w:val="20"/>
                <w:szCs w:val="20"/>
                <w:color w:val="auto"/>
              </w:rPr>
            </w:pPr>
            <w:r>
              <w:rPr>
                <w:rFonts w:ascii="Arial" w:cs="Arial" w:eastAsia="Arial" w:hAnsi="Arial"/>
                <w:sz w:val="18"/>
                <w:szCs w:val="18"/>
                <w:color w:val="auto"/>
                <w:w w:val="79"/>
              </w:rPr>
              <w:t>106</w:t>
            </w:r>
          </w:p>
        </w:tc>
        <w:tc>
          <w:tcPr>
            <w:tcW w:w="1280" w:type="dxa"/>
            <w:vAlign w:val="bottom"/>
            <w:gridSpan w:val="2"/>
          </w:tcPr>
          <w:p>
            <w:pPr>
              <w:ind w:left="60"/>
              <w:spacing w:after="0"/>
              <w:rPr>
                <w:sz w:val="20"/>
                <w:szCs w:val="20"/>
                <w:color w:val="auto"/>
              </w:rPr>
            </w:pPr>
            <w:r>
              <w:rPr>
                <w:rFonts w:ascii="Arial" w:cs="Arial" w:eastAsia="Arial" w:hAnsi="Arial"/>
                <w:sz w:val="18"/>
                <w:szCs w:val="18"/>
                <w:i w:val="1"/>
                <w:iCs w:val="1"/>
                <w:color w:val="auto"/>
                <w:w w:val="94"/>
              </w:rPr>
              <w:t>Cost of revenue</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10</w:t>
            </w:r>
          </w:p>
        </w:tc>
        <w:tc>
          <w:tcPr>
            <w:tcW w:w="6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160" w:type="dxa"/>
            <w:vAlign w:val="bottom"/>
            <w:gridSpan w:val="3"/>
            <w:shd w:val="clear" w:color="auto" w:fill="CCEEFF"/>
          </w:tcPr>
          <w:p>
            <w:pPr>
              <w:jc w:val="right"/>
              <w:ind w:right="485"/>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w w:val="90"/>
              </w:rPr>
              <w:t>Interest expense</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15</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w:t>
            </w:r>
          </w:p>
        </w:tc>
        <w:tc>
          <w:tcPr>
            <w:tcW w:w="340" w:type="dxa"/>
            <w:vAlign w:val="bottom"/>
            <w:vMerge w:val="continue"/>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11</w:t>
            </w:r>
          </w:p>
        </w:tc>
        <w:tc>
          <w:tcPr>
            <w:tcW w:w="560" w:type="dxa"/>
            <w:vAlign w:val="bottom"/>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660"/>
              <w:spacing w:after="0"/>
              <w:rPr>
                <w:sz w:val="20"/>
                <w:szCs w:val="20"/>
                <w:color w:val="auto"/>
              </w:rPr>
            </w:pPr>
            <w:r>
              <w:rPr>
                <w:rFonts w:ascii="Arial" w:cs="Arial" w:eastAsia="Arial" w:hAnsi="Arial"/>
                <w:sz w:val="18"/>
                <w:szCs w:val="18"/>
                <w:color w:val="auto"/>
                <w:w w:val="79"/>
              </w:rPr>
              <w:t>107</w:t>
            </w: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8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43</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$28</w:t>
            </w:r>
          </w:p>
        </w:tc>
        <w:tc>
          <w:tcPr>
            <w:tcW w:w="1160" w:type="dxa"/>
            <w:vAlign w:val="bottom"/>
            <w:gridSpan w:val="3"/>
          </w:tcPr>
          <w:p>
            <w:pPr>
              <w:jc w:val="right"/>
              <w:ind w:right="425"/>
              <w:spacing w:after="0"/>
              <w:rPr>
                <w:sz w:val="20"/>
                <w:szCs w:val="20"/>
                <w:color w:val="auto"/>
              </w:rPr>
            </w:pPr>
            <w:r>
              <w:rPr>
                <w:rFonts w:ascii="Arial" w:cs="Arial" w:eastAsia="Arial" w:hAnsi="Arial"/>
                <w:sz w:val="18"/>
                <w:szCs w:val="18"/>
                <w:b w:val="1"/>
                <w:bCs w:val="1"/>
                <w:color w:val="auto"/>
              </w:rPr>
              <w:t>$ (2)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60"/>
              <w:spacing w:after="0"/>
              <w:rPr>
                <w:sz w:val="20"/>
                <w:szCs w:val="20"/>
                <w:color w:val="auto"/>
              </w:rPr>
            </w:pPr>
            <w:r>
              <w:rPr>
                <w:rFonts w:ascii="Arial" w:cs="Arial" w:eastAsia="Arial" w:hAnsi="Arial"/>
                <w:sz w:val="18"/>
                <w:szCs w:val="18"/>
                <w:color w:val="auto"/>
              </w:rPr>
              <w:t>6</w:t>
            </w:r>
          </w:p>
        </w:tc>
        <w:tc>
          <w:tcPr>
            <w:tcW w:w="1280" w:type="dxa"/>
            <w:vAlign w:val="bottom"/>
            <w:gridSpan w:val="2"/>
          </w:tcPr>
          <w:p>
            <w:pPr>
              <w:ind w:left="60"/>
              <w:spacing w:after="0"/>
              <w:rPr>
                <w:sz w:val="20"/>
                <w:szCs w:val="20"/>
                <w:color w:val="auto"/>
              </w:rPr>
            </w:pPr>
            <w:r>
              <w:rPr>
                <w:rFonts w:ascii="Arial" w:cs="Arial" w:eastAsia="Arial" w:hAnsi="Arial"/>
                <w:sz w:val="18"/>
                <w:szCs w:val="18"/>
                <w:i w:val="1"/>
                <w:iCs w:val="1"/>
                <w:color w:val="auto"/>
                <w:w w:val="94"/>
              </w:rPr>
              <w:t>Cost of revenue</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Commodity contracts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6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160" w:type="dxa"/>
            <w:vAlign w:val="bottom"/>
            <w:gridSpan w:val="3"/>
            <w:shd w:val="clear" w:color="auto" w:fill="CCEEFF"/>
          </w:tcPr>
          <w:p>
            <w:pPr>
              <w:jc w:val="right"/>
              <w:ind w:right="425"/>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w w:val="94"/>
              </w:rPr>
              <w:t>Cost of revenue</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vMerge w:val="restart"/>
          </w:tcPr>
          <w:p>
            <w:pPr>
              <w:jc w:val="right"/>
              <w:ind w:right="425"/>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44</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w:t>
            </w:r>
          </w:p>
        </w:tc>
        <w:tc>
          <w:tcPr>
            <w:tcW w:w="340" w:type="dxa"/>
            <w:vAlign w:val="bottom"/>
            <w:vMerge w:val="continue"/>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77"/>
              </w:rPr>
              <w:t>$ (3</w:t>
            </w:r>
          </w:p>
        </w:tc>
        <w:tc>
          <w:tcPr>
            <w:tcW w:w="560" w:type="dxa"/>
            <w:vAlign w:val="bottom"/>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60"/>
              <w:spacing w:after="0"/>
              <w:rPr>
                <w:sz w:val="20"/>
                <w:szCs w:val="20"/>
                <w:color w:val="auto"/>
              </w:rPr>
            </w:pPr>
            <w:r>
              <w:rPr>
                <w:rFonts w:ascii="Arial" w:cs="Arial" w:eastAsia="Arial" w:hAnsi="Arial"/>
                <w:sz w:val="18"/>
                <w:szCs w:val="18"/>
                <w:color w:val="auto"/>
              </w:rPr>
              <w:t>8</w:t>
            </w: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instruments in cash flow hedging relationships on income and other comprehensive income (OCI)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gridSpan w:val="4"/>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Gain (Loss) Reclassified</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from Accumulated OCI</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86"/>
              </w:rPr>
              <w:t>into Income</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60" w:type="dxa"/>
            <w:vAlign w:val="bottom"/>
            <w:gridSpan w:val="5"/>
          </w:tcPr>
          <w:p>
            <w:pPr>
              <w:ind w:left="200"/>
              <w:spacing w:after="0" w:line="142" w:lineRule="exact"/>
              <w:rPr>
                <w:sz w:val="20"/>
                <w:szCs w:val="20"/>
                <w:color w:val="auto"/>
              </w:rPr>
            </w:pPr>
            <w:r>
              <w:rPr>
                <w:rFonts w:ascii="Arial" w:cs="Arial" w:eastAsia="Arial" w:hAnsi="Arial"/>
                <w:sz w:val="14"/>
                <w:szCs w:val="14"/>
                <w:b w:val="1"/>
                <w:bCs w:val="1"/>
                <w:color w:val="auto"/>
              </w:rPr>
              <w:t>Third Quarter</w:t>
            </w:r>
          </w:p>
        </w:tc>
        <w:tc>
          <w:tcPr>
            <w:tcW w:w="126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Nine Months</w:t>
            </w:r>
          </w:p>
        </w:tc>
        <w:tc>
          <w:tcPr>
            <w:tcW w:w="240" w:type="dxa"/>
            <w:vAlign w:val="bottom"/>
          </w:tcPr>
          <w:p>
            <w:pPr>
              <w:spacing w:after="0"/>
              <w:rPr>
                <w:sz w:val="12"/>
                <w:szCs w:val="12"/>
                <w:color w:val="auto"/>
              </w:rPr>
            </w:pPr>
          </w:p>
        </w:tc>
        <w:tc>
          <w:tcPr>
            <w:tcW w:w="20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4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3040" w:type="dxa"/>
            <w:vAlign w:val="bottom"/>
            <w:gridSpan w:val="3"/>
            <w:shd w:val="clear" w:color="auto" w:fill="CCEEFF"/>
          </w:tcPr>
          <w:p>
            <w:pPr>
              <w:jc w:val="center"/>
              <w:ind w:left="2112"/>
              <w:spacing w:after="0"/>
              <w:rPr>
                <w:sz w:val="20"/>
                <w:szCs w:val="20"/>
                <w:color w:val="auto"/>
              </w:rPr>
            </w:pPr>
            <w:r>
              <w:rPr>
                <w:rFonts w:ascii="Arial" w:cs="Arial" w:eastAsia="Arial" w:hAnsi="Arial"/>
                <w:sz w:val="18"/>
                <w:szCs w:val="18"/>
                <w:b w:val="1"/>
                <w:bCs w:val="1"/>
                <w:color w:val="auto"/>
                <w:w w:val="88"/>
              </w:rPr>
              <w:t>$ 186</w:t>
            </w:r>
          </w:p>
        </w:tc>
        <w:tc>
          <w:tcPr>
            <w:tcW w:w="1040" w:type="dxa"/>
            <w:vAlign w:val="bottom"/>
            <w:gridSpan w:val="3"/>
            <w:shd w:val="clear" w:color="auto" w:fill="CCEEFF"/>
          </w:tcPr>
          <w:p>
            <w:pPr>
              <w:jc w:val="center"/>
              <w:ind w:right="132"/>
              <w:spacing w:after="0"/>
              <w:rPr>
                <w:sz w:val="20"/>
                <w:szCs w:val="20"/>
                <w:color w:val="auto"/>
              </w:rPr>
            </w:pPr>
            <w:r>
              <w:rPr>
                <w:rFonts w:ascii="Arial" w:cs="Arial" w:eastAsia="Arial" w:hAnsi="Arial"/>
                <w:sz w:val="18"/>
                <w:szCs w:val="18"/>
                <w:color w:val="auto"/>
                <w:w w:val="88"/>
              </w:rPr>
              <w:t>$ 106</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8"/>
              </w:rPr>
              <w:t>$(149)</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$ 133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24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w:t>
            </w:r>
          </w:p>
        </w:tc>
        <w:tc>
          <w:tcPr>
            <w:tcW w:w="1040" w:type="dxa"/>
            <w:vAlign w:val="bottom"/>
            <w:gridSpan w:val="3"/>
          </w:tcPr>
          <w:p>
            <w:pPr>
              <w:jc w:val="right"/>
              <w:ind w:right="292"/>
              <w:spacing w:after="0"/>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(12)</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i w:val="1"/>
                <w:iCs w:val="1"/>
                <w:color w:val="auto"/>
                <w:w w:val="92"/>
              </w:rPr>
              <w:t>Research &amp; engineering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jc w:val="center"/>
              <w:ind w:left="2112"/>
              <w:spacing w:after="0"/>
              <w:rPr>
                <w:sz w:val="20"/>
                <w:szCs w:val="20"/>
                <w:color w:val="auto"/>
              </w:rPr>
            </w:pPr>
            <w:r>
              <w:rPr>
                <w:rFonts w:ascii="Arial" w:cs="Arial" w:eastAsia="Arial" w:hAnsi="Arial"/>
                <w:sz w:val="18"/>
                <w:szCs w:val="18"/>
                <w:b w:val="1"/>
                <w:bCs w:val="1"/>
                <w:color w:val="auto"/>
                <w:w w:val="88"/>
              </w:rPr>
              <w:t>$ 180</w:t>
            </w:r>
          </w:p>
        </w:tc>
        <w:tc>
          <w:tcPr>
            <w:tcW w:w="1040" w:type="dxa"/>
            <w:vAlign w:val="bottom"/>
            <w:gridSpan w:val="3"/>
            <w:shd w:val="clear" w:color="auto" w:fill="CCEEFF"/>
          </w:tcPr>
          <w:p>
            <w:pPr>
              <w:jc w:val="center"/>
              <w:ind w:right="132"/>
              <w:spacing w:after="0"/>
              <w:rPr>
                <w:sz w:val="20"/>
                <w:szCs w:val="20"/>
                <w:color w:val="auto"/>
              </w:rPr>
            </w:pPr>
            <w:r>
              <w:rPr>
                <w:rFonts w:ascii="Arial" w:cs="Arial" w:eastAsia="Arial" w:hAnsi="Arial"/>
                <w:sz w:val="18"/>
                <w:szCs w:val="18"/>
                <w:color w:val="auto"/>
                <w:w w:val="88"/>
              </w:rPr>
              <w:t>$ 104</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(161)</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$ 117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gridSpan w:val="4"/>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Gain (Loss) Recognized</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OCI</w:t>
            </w: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60" w:type="dxa"/>
            <w:vAlign w:val="bottom"/>
            <w:gridSpan w:val="5"/>
          </w:tcPr>
          <w:p>
            <w:pPr>
              <w:ind w:left="200"/>
              <w:spacing w:after="0" w:line="142" w:lineRule="exact"/>
              <w:rPr>
                <w:sz w:val="20"/>
                <w:szCs w:val="20"/>
                <w:color w:val="auto"/>
              </w:rPr>
            </w:pPr>
            <w:r>
              <w:rPr>
                <w:rFonts w:ascii="Arial" w:cs="Arial" w:eastAsia="Arial" w:hAnsi="Arial"/>
                <w:sz w:val="14"/>
                <w:szCs w:val="14"/>
                <w:b w:val="1"/>
                <w:bCs w:val="1"/>
                <w:color w:val="auto"/>
              </w:rPr>
              <w:t>Third Quarter</w:t>
            </w:r>
          </w:p>
        </w:tc>
        <w:tc>
          <w:tcPr>
            <w:tcW w:w="126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Nine Months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3040" w:type="dxa"/>
            <w:vAlign w:val="bottom"/>
            <w:gridSpan w:val="3"/>
            <w:shd w:val="clear" w:color="auto" w:fill="CCEEFF"/>
          </w:tcPr>
          <w:p>
            <w:pPr>
              <w:jc w:val="center"/>
              <w:ind w:left="2112"/>
              <w:spacing w:after="0"/>
              <w:rPr>
                <w:sz w:val="20"/>
                <w:szCs w:val="20"/>
                <w:color w:val="auto"/>
              </w:rPr>
            </w:pPr>
            <w:r>
              <w:rPr>
                <w:rFonts w:ascii="Arial" w:cs="Arial" w:eastAsia="Arial" w:hAnsi="Arial"/>
                <w:sz w:val="18"/>
                <w:szCs w:val="18"/>
                <w:b w:val="1"/>
                <w:bCs w:val="1"/>
                <w:color w:val="auto"/>
                <w:w w:val="88"/>
              </w:rPr>
              <w:t>$ 217</w:t>
            </w:r>
          </w:p>
        </w:tc>
        <w:tc>
          <w:tcPr>
            <w:tcW w:w="1040" w:type="dxa"/>
            <w:vAlign w:val="bottom"/>
            <w:gridSpan w:val="3"/>
            <w:shd w:val="clear" w:color="auto" w:fill="CCEEFF"/>
          </w:tcPr>
          <w:p>
            <w:pPr>
              <w:jc w:val="center"/>
              <w:ind w:right="132"/>
              <w:spacing w:after="0"/>
              <w:rPr>
                <w:sz w:val="20"/>
                <w:szCs w:val="20"/>
                <w:color w:val="auto"/>
              </w:rPr>
            </w:pPr>
            <w:r>
              <w:rPr>
                <w:rFonts w:ascii="Arial" w:cs="Arial" w:eastAsia="Arial" w:hAnsi="Arial"/>
                <w:sz w:val="18"/>
                <w:szCs w:val="18"/>
                <w:color w:val="auto"/>
                <w:w w:val="88"/>
              </w:rPr>
              <w:t>$ 106</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(205)</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$ 274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20" w:type="dxa"/>
            <w:vAlign w:val="bottom"/>
            <w:vMerge w:val="restart"/>
          </w:tcPr>
          <w:p>
            <w:pPr>
              <w:jc w:val="right"/>
              <w:ind w:right="312"/>
              <w:spacing w:after="0"/>
              <w:rPr>
                <w:sz w:val="20"/>
                <w:szCs w:val="20"/>
                <w:color w:val="auto"/>
              </w:rPr>
            </w:pPr>
            <w:r>
              <w:rPr>
                <w:rFonts w:ascii="Arial" w:cs="Arial" w:eastAsia="Arial" w:hAnsi="Arial"/>
                <w:sz w:val="18"/>
                <w:szCs w:val="18"/>
                <w:color w:val="auto"/>
              </w:rPr>
              <w:t>19</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20" w:type="dxa"/>
            <w:vAlign w:val="bottom"/>
            <w:gridSpan w:val="4"/>
          </w:tcPr>
          <w:p>
            <w:pPr>
              <w:ind w:left="400"/>
              <w:spacing w:after="0"/>
              <w:rPr>
                <w:sz w:val="20"/>
                <w:szCs w:val="20"/>
                <w:color w:val="auto"/>
              </w:rPr>
            </w:pPr>
            <w:r>
              <w:rPr>
                <w:rFonts w:ascii="Arial" w:cs="Arial" w:eastAsia="Arial" w:hAnsi="Arial"/>
                <w:sz w:val="14"/>
                <w:szCs w:val="14"/>
                <w:i w:val="1"/>
                <w:iCs w:val="1"/>
                <w:color w:val="auto"/>
                <w:w w:val="95"/>
              </w:rPr>
              <w:t>(Stated in millions)</w:t>
            </w:r>
          </w:p>
        </w:tc>
      </w:tr>
      <w:tr>
        <w:trPr>
          <w:trHeight w:val="149"/>
        </w:trPr>
        <w:tc>
          <w:tcPr>
            <w:tcW w:w="4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Sept. 30,</w:t>
            </w: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Dec. 31,</w:t>
            </w:r>
          </w:p>
        </w:tc>
      </w:tr>
      <w:tr>
        <w:trPr>
          <w:trHeight w:val="161"/>
        </w:trPr>
        <w:tc>
          <w:tcPr>
            <w:tcW w:w="4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4.50%</w:t>
            </w:r>
          </w:p>
        </w:tc>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Guaranteed Bonds due 2014</w:t>
            </w:r>
          </w:p>
        </w:tc>
        <w:tc>
          <w:tcPr>
            <w:tcW w:w="4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$1,358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$1,449</w:t>
            </w:r>
          </w:p>
        </w:tc>
        <w:tc>
          <w:tcPr>
            <w:tcW w:w="10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9.75%</w:t>
            </w:r>
          </w:p>
        </w:tc>
        <w:tc>
          <w:tcPr>
            <w:tcW w:w="5760" w:type="dxa"/>
            <w:vAlign w:val="bottom"/>
          </w:tcPr>
          <w:p>
            <w:pPr>
              <w:ind w:left="20"/>
              <w:spacing w:after="0"/>
              <w:rPr>
                <w:sz w:val="20"/>
                <w:szCs w:val="20"/>
                <w:color w:val="auto"/>
              </w:rPr>
            </w:pPr>
            <w:r>
              <w:rPr>
                <w:rFonts w:ascii="Arial" w:cs="Arial" w:eastAsia="Arial" w:hAnsi="Arial"/>
                <w:sz w:val="18"/>
                <w:szCs w:val="18"/>
                <w:color w:val="auto"/>
              </w:rPr>
              <w:t>Senior Notes due 2019</w:t>
            </w:r>
          </w:p>
        </w:tc>
        <w:tc>
          <w:tcPr>
            <w:tcW w:w="45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783</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5.25%</w:t>
            </w:r>
          </w:p>
        </w:tc>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Guaranteed Notes due 2013</w:t>
            </w:r>
          </w:p>
        </w:tc>
        <w:tc>
          <w:tcPr>
            <w:tcW w:w="4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679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3.00%</w:t>
            </w:r>
          </w:p>
        </w:tc>
        <w:tc>
          <w:tcPr>
            <w:tcW w:w="5760" w:type="dxa"/>
            <w:vAlign w:val="bottom"/>
          </w:tcPr>
          <w:p>
            <w:pPr>
              <w:ind w:left="20"/>
              <w:spacing w:after="0"/>
              <w:rPr>
                <w:sz w:val="20"/>
                <w:szCs w:val="20"/>
                <w:color w:val="auto"/>
              </w:rPr>
            </w:pPr>
            <w:r>
              <w:rPr>
                <w:rFonts w:ascii="Arial" w:cs="Arial" w:eastAsia="Arial" w:hAnsi="Arial"/>
                <w:sz w:val="18"/>
                <w:szCs w:val="18"/>
                <w:color w:val="auto"/>
              </w:rPr>
              <w:t>Guaranteed Notes due 2013</w:t>
            </w:r>
          </w:p>
        </w:tc>
        <w:tc>
          <w:tcPr>
            <w:tcW w:w="45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450</w:t>
            </w:r>
          </w:p>
        </w:tc>
        <w:tc>
          <w:tcPr>
            <w:tcW w:w="50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5.875% Guaranteed Bonds due 2011</w:t>
            </w:r>
          </w:p>
        </w:tc>
        <w:tc>
          <w:tcPr>
            <w:tcW w:w="4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344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8.625% Senior Notes due 2014</w:t>
            </w:r>
          </w:p>
        </w:tc>
        <w:tc>
          <w:tcPr>
            <w:tcW w:w="45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275</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6.00%</w:t>
            </w:r>
          </w:p>
        </w:tc>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2016</w:t>
            </w:r>
          </w:p>
        </w:tc>
        <w:tc>
          <w:tcPr>
            <w:tcW w:w="4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218</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6.50%</w:t>
            </w:r>
          </w:p>
        </w:tc>
        <w:tc>
          <w:tcPr>
            <w:tcW w:w="5760" w:type="dxa"/>
            <w:vAlign w:val="bottom"/>
          </w:tcPr>
          <w:p>
            <w:pPr>
              <w:ind w:left="20"/>
              <w:spacing w:after="0"/>
              <w:rPr>
                <w:sz w:val="20"/>
                <w:szCs w:val="20"/>
                <w:color w:val="auto"/>
              </w:rPr>
            </w:pPr>
            <w:r>
              <w:rPr>
                <w:rFonts w:ascii="Arial" w:cs="Arial" w:eastAsia="Arial" w:hAnsi="Arial"/>
                <w:sz w:val="18"/>
                <w:szCs w:val="18"/>
                <w:color w:val="auto"/>
              </w:rPr>
              <w:t>Notes due 2012</w:t>
            </w:r>
          </w:p>
        </w:tc>
        <w:tc>
          <w:tcPr>
            <w:tcW w:w="366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borrowings</w:t>
            </w:r>
          </w:p>
        </w:tc>
        <w:tc>
          <w:tcPr>
            <w:tcW w:w="4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622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Other variable rate debt</w:t>
            </w:r>
          </w:p>
        </w:tc>
        <w:tc>
          <w:tcPr>
            <w:tcW w:w="36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r>
      <w:tr>
        <w:trPr>
          <w:trHeight w:val="216"/>
        </w:trPr>
        <w:tc>
          <w:tcPr>
            <w:tcW w:w="48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4,803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100" w:type="dxa"/>
            <w:vAlign w:val="bottom"/>
            <w:shd w:val="clear" w:color="auto" w:fill="CCEEFF"/>
          </w:tcPr>
          <w:p>
            <w:pPr>
              <w:spacing w:after="0"/>
              <w:rPr>
                <w:sz w:val="18"/>
                <w:szCs w:val="18"/>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Fair value adjustment—hedging</w:t>
            </w:r>
          </w:p>
        </w:tc>
        <w:tc>
          <w:tcPr>
            <w:tcW w:w="36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16"/>
        </w:trPr>
        <w:tc>
          <w:tcPr>
            <w:tcW w:w="48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4,820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4,355</w:t>
            </w:r>
          </w:p>
        </w:tc>
        <w:tc>
          <w:tcPr>
            <w:tcW w:w="100" w:type="dxa"/>
            <w:vAlign w:val="bottom"/>
            <w:shd w:val="clear" w:color="auto" w:fill="CCEEFF"/>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fair value adjustment presented above represents changes in the fair value of the portion of Schlumberger’s fixed rate debt that is hedged through the use of interest rate swaps.</w:t>
      </w:r>
    </w:p>
    <w:p>
      <w:pPr>
        <w:spacing w:after="0" w:line="132"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 xml:space="preserve">The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September 30, 2010 and December 31, 2009 was $5.0 billion and $4.6 billion, respectively and was estimated based on quoted market prices.</w:t>
      </w:r>
    </w:p>
    <w:p>
      <w:pPr>
        <w:spacing w:after="0" w:line="132"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At December 31, 2009 there were $321 million outstanding of 2.125% Series B Convertible Debentures due June 1, 2023. The fair value of these Series B debentures at December 31, 2009 was $527 million. During the nine months ended September 30, 2010, $320 million of these debentures were converted by holders into 7,997,300 shares of Schlumberger common stock and the remaining $1 million of outstanding Series B debentures were redeemed for cash.</w:t>
      </w:r>
    </w:p>
    <w:p>
      <w:pPr>
        <w:spacing w:after="0" w:line="182"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before taxes </w:t>
      </w:r>
      <w:r>
        <w:rPr>
          <w:rFonts w:ascii="Arial" w:cs="Arial" w:eastAsia="Arial" w:hAnsi="Arial"/>
          <w:sz w:val="18"/>
          <w:szCs w:val="18"/>
          <w:color w:val="auto"/>
        </w:rPr>
        <w:t>which was subject to US and non-US income taxes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0"/>
              </w:rPr>
              <w:t>(Stated in millions)</w:t>
            </w:r>
          </w:p>
        </w:tc>
      </w:t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Third Quarter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2010</w:t>
            </w: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2010</w:t>
            </w: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Outside United States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1,772</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3,510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2,960</w:t>
            </w:r>
          </w:p>
        </w:tc>
        <w:tc>
          <w:tcPr>
            <w:tcW w:w="100" w:type="dxa"/>
            <w:vAlign w:val="bottom"/>
          </w:tcPr>
          <w:p>
            <w:pPr>
              <w:spacing w:after="0"/>
              <w:rPr>
                <w:sz w:val="19"/>
                <w:szCs w:val="19"/>
                <w:color w:val="auto"/>
              </w:rPr>
            </w:pPr>
          </w:p>
        </w:tc>
      </w:tr>
      <w:tr>
        <w:trPr>
          <w:trHeight w:val="216"/>
        </w:trPr>
        <w:tc>
          <w:tcPr>
            <w:tcW w:w="6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1,940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8"/>
              </w:rPr>
              <w:t>3,822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2,939</w:t>
            </w: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During the third quarter of 2010, Schlumberger recorded a net pretax credit of $836 million, consisting of net charges in the US of $63 million and a net credit outside of the US of $899 million.</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the nine months ended September 30, 2010, Schlumberger recorded net pretax charges in the US of $63 million and a net pretax credit of $864 million outside of the US.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2009, Schlumberger recorded pretax charges of $73 million in the US and $165 million outside of the US.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These charges and credits are included in the table above and are more fully described in Note 2 – </w:t>
      </w:r>
      <w:r>
        <w:rPr>
          <w:rFonts w:ascii="Arial" w:cs="Arial" w:eastAsia="Arial" w:hAnsi="Arial"/>
          <w:sz w:val="18"/>
          <w:szCs w:val="18"/>
          <w:i w:val="1"/>
          <w:iCs w:val="1"/>
          <w:color w:val="auto"/>
        </w:rPr>
        <w:t>Charges and Credits.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(liabilities) were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Sept. 30,</w:t>
            </w:r>
          </w:p>
        </w:tc>
        <w:tc>
          <w:tcPr>
            <w:tcW w:w="580" w:type="dxa"/>
            <w:vAlign w:val="bottom"/>
          </w:tcPr>
          <w:p>
            <w:pPr>
              <w:spacing w:after="0"/>
              <w:rPr>
                <w:sz w:val="12"/>
                <w:szCs w:val="12"/>
                <w:color w:val="auto"/>
              </w:rPr>
            </w:pPr>
          </w:p>
        </w:tc>
        <w:tc>
          <w:tcPr>
            <w:tcW w:w="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61"/>
        </w:trPr>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2010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 net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344</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Multiclient seismic data</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(1,704)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Investments in non-US subsidiaries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(680)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86"/>
              </w:rPr>
              <w:t>(1,891</w:t>
            </w:r>
          </w:p>
        </w:tc>
        <w:tc>
          <w:tcPr>
            <w:tcW w:w="80" w:type="dxa"/>
            <w:vAlign w:val="bottom"/>
            <w:gridSpan w:val="2"/>
            <w:vMerge w:val="continue"/>
          </w:tcPr>
          <w:p>
            <w:pPr>
              <w:spacing w:after="0"/>
              <w:rPr>
                <w:sz w:val="19"/>
                <w:szCs w:val="19"/>
                <w:color w:val="auto"/>
              </w:rPr>
            </w:pPr>
          </w:p>
        </w:tc>
        <w:tc>
          <w:tcPr>
            <w:tcW w:w="66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above deferred tax balances at September 30, 2010 and December 31, 2009 are net of valuation allowances relating to net operating losses in certain countries of $237 million and $251 million, respectively. The deferred tax balances are also net of valuation allowances relating to a capital loss carryforward of $16 million at September 30, 2010 ($17 million at December 31, 2009), which expires in 2010 and a foreign tax credit carryforward of $21 million at September 30, 2010 ($30 million at December 31, 2009) which expires in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consolidated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7"/>
          </w:tcPr>
          <w:p>
            <w:pPr>
              <w:ind w:left="60"/>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United States - Federal</w:t>
            </w:r>
          </w:p>
        </w:tc>
        <w:tc>
          <w:tcPr>
            <w:tcW w:w="4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3"/>
              </w:rPr>
              <w:t>(60)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(67)</w:t>
            </w:r>
          </w:p>
        </w:tc>
        <w:tc>
          <w:tcPr>
            <w:tcW w:w="7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 (12)</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 - State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7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Outside United States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79"/>
              </w:rPr>
              <w:t>150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72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456</w:t>
            </w: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94</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454</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$ 337</w:t>
            </w:r>
          </w:p>
        </w:tc>
        <w:tc>
          <w:tcPr>
            <w:tcW w:w="0" w:type="dxa"/>
            <w:vAlign w:val="bottom"/>
          </w:tcPr>
          <w:p>
            <w:pPr>
              <w:spacing w:after="0"/>
              <w:rPr>
                <w:sz w:val="1"/>
                <w:szCs w:val="1"/>
                <w:color w:val="auto"/>
              </w:rPr>
            </w:pPr>
          </w:p>
        </w:tc>
      </w:tr>
      <w:tr>
        <w:trPr>
          <w:trHeight w:val="222"/>
        </w:trPr>
        <w:tc>
          <w:tcPr>
            <w:tcW w:w="816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 - Federal</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96</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$135</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United States - State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72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5</w:t>
            </w: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Outside United States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(10)</w:t>
            </w: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79"/>
              </w:rPr>
              <w:t>115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w:t>
            </w:r>
          </w:p>
        </w:tc>
        <w:tc>
          <w:tcPr>
            <w:tcW w:w="3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146</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$ 258</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Consolidated taxes on income</w:t>
            </w:r>
          </w:p>
        </w:tc>
        <w:tc>
          <w:tcPr>
            <w:tcW w:w="3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6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260" w:type="dxa"/>
            <w:vAlign w:val="bottom"/>
          </w:tcPr>
          <w:p>
            <w:pPr>
              <w:spacing w:after="0"/>
              <w:rPr>
                <w:sz w:val="20"/>
                <w:szCs w:val="20"/>
                <w:color w:val="auto"/>
              </w:rPr>
            </w:pPr>
            <w:r>
              <w:rPr>
                <w:rFonts w:ascii="Arial" w:cs="Arial" w:eastAsia="Arial" w:hAnsi="Arial"/>
                <w:sz w:val="18"/>
                <w:szCs w:val="18"/>
                <w:b w:val="1"/>
                <w:bCs w:val="1"/>
                <w:color w:val="auto"/>
                <w:w w:val="79"/>
              </w:rPr>
              <w:t>209</w:t>
            </w:r>
          </w:p>
        </w:tc>
        <w:tc>
          <w:tcPr>
            <w:tcW w:w="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191</w:t>
            </w:r>
          </w:p>
        </w:tc>
        <w:tc>
          <w:tcPr>
            <w:tcW w:w="3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600</w:t>
            </w:r>
          </w:p>
        </w:tc>
        <w:tc>
          <w:tcPr>
            <w:tcW w:w="240" w:type="dxa"/>
            <w:vAlign w:val="bottom"/>
            <w:vMerge w:val="continue"/>
          </w:tcPr>
          <w:p>
            <w:pPr>
              <w:spacing w:after="0"/>
              <w:rPr>
                <w:sz w:val="19"/>
                <w:szCs w:val="19"/>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$ 595</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w w:val="92"/>
              </w:rPr>
              <w:t>A reconciliation of the US statutory federal tax rate of 35% to the consolidated effective income tax rate follows:</w:t>
            </w: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1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26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rPr>
              <w:t>Third Quarter</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35%</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Non-US income taxed at different rates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4"/>
          </w:tcPr>
          <w:p>
            <w:pPr>
              <w:jc w:val="right"/>
              <w:ind w:right="152"/>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48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Charges and credits (See Note 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w:t>
            </w:r>
          </w:p>
        </w:tc>
        <w:tc>
          <w:tcPr>
            <w:tcW w:w="2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4"/>
          </w:tcPr>
          <w:p>
            <w:pPr>
              <w:jc w:val="right"/>
              <w:ind w:right="152"/>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48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jc w:val="right"/>
              <w:ind w:right="2272"/>
              <w:spacing w:after="0"/>
              <w:rPr>
                <w:sz w:val="20"/>
                <w:szCs w:val="20"/>
                <w:color w:val="auto"/>
              </w:rPr>
            </w:pPr>
            <w:r>
              <w:rPr>
                <w:rFonts w:ascii="Arial" w:cs="Arial" w:eastAsia="Arial" w:hAnsi="Arial"/>
                <w:sz w:val="18"/>
                <w:szCs w:val="18"/>
                <w:color w:val="auto"/>
              </w:rPr>
              <w:t>21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1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9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Schlumberger is cooperating with the DOJ and is currently continuing its own investigation with respect to these services.</w:t>
      </w:r>
    </w:p>
    <w:p>
      <w:pPr>
        <w:spacing w:after="0" w:line="14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In 2009, Schlumberger learned that United States officials began a grand jury investigation and an associated regulatory inquiry, both related to certain Schlumberger operations in specified countries that are subject to United States trade and economic sanctions. Also in 2009, Smith received an administrative subpoena with respect to its historical business practices in certain countries that are subject to United States trade and economic sanctions. Schlumberger is cooperating with the governmental authorities and is currently unable to predict the outcome of these matters.</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On April 20, 2010, a fire and explosion occurred onboard the semisubmersible drilling rig </w:t>
      </w:r>
      <w:r>
        <w:rPr>
          <w:rFonts w:ascii="Arial" w:cs="Arial" w:eastAsia="Arial" w:hAnsi="Arial"/>
          <w:sz w:val="18"/>
          <w:szCs w:val="18"/>
          <w:i w:val="1"/>
          <w:iCs w:val="1"/>
          <w:color w:val="auto"/>
        </w:rPr>
        <w:t>Deepwater Horizon</w:t>
      </w:r>
      <w:r>
        <w:rPr>
          <w:rFonts w:ascii="Arial" w:cs="Arial" w:eastAsia="Arial" w:hAnsi="Arial"/>
          <w:sz w:val="18"/>
          <w:szCs w:val="18"/>
          <w:color w:val="auto"/>
        </w:rPr>
        <w:t xml:space="preserve">, owned by Transocean Ltd. and under contract to a subsidiary of BP plc. Pursuant to a contract between M-I SWACO and BP, M-I SWACO provided certain services under the direction of BP. A number of legal actions, certain of which name an M-I SWACO entity as a defendant, have been filed in connection with the </w:t>
      </w:r>
      <w:r>
        <w:rPr>
          <w:rFonts w:ascii="Arial" w:cs="Arial" w:eastAsia="Arial" w:hAnsi="Arial"/>
          <w:sz w:val="18"/>
          <w:szCs w:val="18"/>
          <w:i w:val="1"/>
          <w:iCs w:val="1"/>
          <w:color w:val="auto"/>
        </w:rPr>
        <w:t>Deepwater Horizon</w:t>
      </w:r>
      <w:r>
        <w:rPr>
          <w:rFonts w:ascii="Arial" w:cs="Arial" w:eastAsia="Arial" w:hAnsi="Arial"/>
          <w:sz w:val="18"/>
          <w:szCs w:val="18"/>
          <w:color w:val="auto"/>
        </w:rPr>
        <w:t xml:space="preserve"> incident, and additional legal actions may be filed in the future. Schlumberger is assessing the availability of contractual indemnities and insurance coverage. However, based on information currently known, the amount of any potential loss attributable to M-I SWACO with respect to potential liabilities related to the incident would not be material to Schlumberger’s consolidated financial statements.</w:t>
      </w:r>
    </w:p>
    <w:p>
      <w:pPr>
        <w:spacing w:after="0" w:line="14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Schlumberger and its subsidiaries are party to various other legal proceedings from time to time. A liability is accrued when a loss is both probable and can be reasonably estimated. At this time the ultimate disposition of these proceedings is not determinable and therefore, it is not possible to estimate the amount of loss or range of possible losses that might result from an adverse judgment or settlement in any of these matters. However, in the opinion of management, any liability that might ensue would not be material in relation to Schlumberger’s consolidated liquidity, financial position or future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Segment Information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Third Quarter 2010</w:t>
            </w:r>
          </w:p>
        </w:tc>
        <w:tc>
          <w:tcPr>
            <w:tcW w:w="100" w:type="dxa"/>
            <w:vAlign w:val="bottom"/>
          </w:tcPr>
          <w:p>
            <w:pPr>
              <w:spacing w:after="0"/>
              <w:rPr>
                <w:sz w:val="14"/>
                <w:szCs w:val="14"/>
                <w:color w:val="auto"/>
              </w:rPr>
            </w:pPr>
          </w:p>
        </w:tc>
        <w:tc>
          <w:tcPr>
            <w:tcW w:w="15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9"/>
              </w:rPr>
              <w:t>Third Quarter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5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before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4"/>
                <w:szCs w:val="14"/>
                <w:color w:val="auto"/>
              </w:rPr>
            </w:pPr>
          </w:p>
        </w:tc>
        <w:tc>
          <w:tcPr>
            <w:tcW w:w="9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78"/>
              </w:rPr>
              <w:t>taxes</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2"/>
              </w:rPr>
              <w:t>Revenue</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w:t>
            </w:r>
          </w:p>
        </w:tc>
        <w:tc>
          <w:tcPr>
            <w:tcW w:w="32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432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$1,259</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219</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823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43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1,071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Europe/CIS/Africa</w:t>
            </w:r>
          </w:p>
        </w:tc>
        <w:tc>
          <w:tcPr>
            <w:tcW w:w="432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1,734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317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1,782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43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1,402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Other</w:t>
            </w:r>
          </w:p>
        </w:tc>
        <w:tc>
          <w:tcPr>
            <w:tcW w:w="3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5,537</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1,102</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4,953</w:t>
            </w: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WesternGeco</w:t>
            </w:r>
          </w:p>
        </w:tc>
        <w:tc>
          <w:tcPr>
            <w:tcW w:w="432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478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 SWACO</w:t>
            </w:r>
          </w:p>
        </w:tc>
        <w:tc>
          <w:tcPr>
            <w:tcW w:w="43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383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Smith Oilfield</w:t>
            </w:r>
          </w:p>
        </w:tc>
        <w:tc>
          <w:tcPr>
            <w:tcW w:w="432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228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w:t>
            </w:r>
          </w:p>
        </w:tc>
        <w:tc>
          <w:tcPr>
            <w:tcW w:w="32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6,825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1,226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5,416</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1,103</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43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3260" w:type="dxa"/>
            <w:vAlign w:val="bottom"/>
          </w:tcPr>
          <w:p>
            <w:pPr>
              <w:spacing w:after="0"/>
              <w:rPr>
                <w:sz w:val="18"/>
                <w:szCs w:val="18"/>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3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Charges and credits</w:t>
            </w:r>
          </w:p>
        </w:tc>
        <w:tc>
          <w:tcPr>
            <w:tcW w:w="326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3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6,845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1,940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5,430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260" w:type="dxa"/>
            <w:vAlign w:val="bottom"/>
            <w:vMerge w:val="restart"/>
          </w:tcPr>
          <w:p>
            <w:pPr>
              <w:jc w:val="right"/>
              <w:ind w:right="1332"/>
              <w:spacing w:after="0"/>
              <w:rPr>
                <w:sz w:val="20"/>
                <w:szCs w:val="20"/>
                <w:color w:val="auto"/>
              </w:rPr>
            </w:pPr>
            <w:r>
              <w:rPr>
                <w:rFonts w:ascii="Arial" w:cs="Arial" w:eastAsia="Arial" w:hAnsi="Arial"/>
                <w:sz w:val="18"/>
                <w:szCs w:val="18"/>
                <w:color w:val="auto"/>
              </w:rPr>
              <w:t>22</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Excludes interest income included in the segment results ($2 million in 2010; $2 million in 2009).</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 million in 2010; $5 million in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0"/>
              </w:rPr>
              <w:t>(Stated in millions)</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2010</w:t>
            </w:r>
          </w:p>
        </w:tc>
        <w:tc>
          <w:tcPr>
            <w:tcW w:w="80" w:type="dxa"/>
            <w:vAlign w:val="bottom"/>
          </w:tcPr>
          <w:p>
            <w:pPr>
              <w:spacing w:after="0"/>
              <w:rPr>
                <w:sz w:val="14"/>
                <w:szCs w:val="14"/>
                <w:color w:val="auto"/>
              </w:rPr>
            </w:pPr>
          </w:p>
        </w:tc>
        <w:tc>
          <w:tcPr>
            <w:tcW w:w="1680" w:type="dxa"/>
            <w:vAlign w:val="bottom"/>
            <w:gridSpan w:val="6"/>
          </w:tcPr>
          <w:p>
            <w:pPr>
              <w:ind w:left="220"/>
              <w:spacing w:after="0"/>
              <w:rPr>
                <w:sz w:val="20"/>
                <w:szCs w:val="20"/>
                <w:color w:val="auto"/>
              </w:rPr>
            </w:pPr>
            <w:r>
              <w:rPr>
                <w:rFonts w:ascii="Arial" w:cs="Arial" w:eastAsia="Arial" w:hAnsi="Arial"/>
                <w:sz w:val="14"/>
                <w:szCs w:val="14"/>
                <w:b w:val="1"/>
                <w:bCs w:val="1"/>
                <w:color w:val="auto"/>
              </w:rPr>
              <w:t>Nine Months 2009</w:t>
            </w: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5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before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before</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4"/>
                <w:szCs w:val="14"/>
                <w:color w:val="auto"/>
              </w:rPr>
            </w:pPr>
          </w:p>
        </w:tc>
        <w:tc>
          <w:tcPr>
            <w:tcW w:w="9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3"/>
              </w:rPr>
              <w:t>taxes</w:t>
            </w: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w w:val="92"/>
              </w:rPr>
              <w:t>Revenue</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taxes</w:t>
            </w:r>
          </w:p>
        </w:tc>
      </w:tr>
      <w:tr>
        <w:trPr>
          <w:trHeight w:val="210"/>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2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tcPr>
          <w:p>
            <w:pPr>
              <w:ind w:left="440"/>
              <w:spacing w:after="0"/>
              <w:rPr>
                <w:sz w:val="20"/>
                <w:szCs w:val="20"/>
                <w:color w:val="auto"/>
              </w:rPr>
            </w:pPr>
            <w:r>
              <w:rPr>
                <w:rFonts w:ascii="Arial" w:cs="Arial" w:eastAsia="Arial" w:hAnsi="Arial"/>
                <w:sz w:val="18"/>
                <w:szCs w:val="18"/>
                <w:color w:val="auto"/>
              </w:rPr>
              <w:t>North America</w:t>
            </w:r>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3,407</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2,833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Latin America</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3,271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549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r>
      <w:tr>
        <w:trPr>
          <w:trHeight w:val="216"/>
        </w:trPr>
        <w:tc>
          <w:tcPr>
            <w:tcW w:w="460" w:type="dxa"/>
            <w:vAlign w:val="bottom"/>
          </w:tcPr>
          <w:p>
            <w:pPr>
              <w:spacing w:after="0"/>
              <w:rPr>
                <w:sz w:val="18"/>
                <w:szCs w:val="18"/>
                <w:color w:val="auto"/>
              </w:rPr>
            </w:pPr>
          </w:p>
        </w:tc>
        <w:tc>
          <w:tcPr>
            <w:tcW w:w="4200" w:type="dxa"/>
            <w:vAlign w:val="bottom"/>
            <w:gridSpan w:val="2"/>
          </w:tcPr>
          <w:p>
            <w:pPr>
              <w:ind w:left="440"/>
              <w:spacing w:after="0"/>
              <w:rPr>
                <w:sz w:val="20"/>
                <w:szCs w:val="20"/>
                <w:color w:val="auto"/>
              </w:rPr>
            </w:pPr>
            <w:r>
              <w:rPr>
                <w:rFonts w:ascii="Arial" w:cs="Arial" w:eastAsia="Arial" w:hAnsi="Arial"/>
                <w:sz w:val="18"/>
                <w:szCs w:val="18"/>
                <w:color w:val="auto"/>
              </w:rPr>
              <w:t>Europe/CIS/Africa</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5,099</w:t>
            </w: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930</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5,367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1,321</w:t>
            </w: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Middle East &amp; Asia</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4,095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84"/>
              </w:rPr>
              <w:t>1,262</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1,268</w:t>
            </w:r>
          </w:p>
        </w:tc>
      </w:tr>
      <w:tr>
        <w:trPr>
          <w:trHeight w:val="223"/>
        </w:trPr>
        <w:tc>
          <w:tcPr>
            <w:tcW w:w="460" w:type="dxa"/>
            <w:vAlign w:val="bottom"/>
          </w:tcPr>
          <w:p>
            <w:pPr>
              <w:spacing w:after="0"/>
              <w:rPr>
                <w:sz w:val="19"/>
                <w:szCs w:val="19"/>
                <w:color w:val="auto"/>
              </w:rPr>
            </w:pPr>
          </w:p>
        </w:tc>
        <w:tc>
          <w:tcPr>
            <w:tcW w:w="420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(14)</w:t>
            </w: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16,070</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3,144</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15,349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3,320</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WesternGeco</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1,426</w:t>
            </w: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154</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1,573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 SWACO</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383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48</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Smith Oilfield</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228</w:t>
            </w: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27</w:t>
            </w:r>
          </w:p>
        </w:tc>
        <w:tc>
          <w:tcPr>
            <w:tcW w:w="8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Distribution</w:t>
            </w:r>
          </w:p>
        </w:tc>
        <w:tc>
          <w:tcPr>
            <w:tcW w:w="2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18,306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3,382</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16,922</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3,532</w:t>
            </w:r>
          </w:p>
        </w:tc>
      </w:tr>
      <w:tr>
        <w:trPr>
          <w:trHeight w:val="217"/>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73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(251)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r>
      <w:tr>
        <w:trPr>
          <w:trHeight w:val="216"/>
        </w:trPr>
        <w:tc>
          <w:tcPr>
            <w:tcW w:w="4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34</w:t>
            </w:r>
          </w:p>
        </w:tc>
        <w:tc>
          <w:tcPr>
            <w:tcW w:w="8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(144)</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r>
      <w:tr>
        <w:trPr>
          <w:trHeight w:val="216"/>
        </w:trPr>
        <w:tc>
          <w:tcPr>
            <w:tcW w:w="4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Charges and credits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801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83"/>
              </w:rPr>
              <w:t>18,379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84"/>
              </w:rPr>
              <w:t>3,822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16,958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2,939</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interest income included in the segment results ($10 million in 2010; $11 million in 2009).</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($2 million in 2010; $28 million in 2009).</w:t>
      </w:r>
    </w:p>
    <w:p>
      <w:pPr>
        <w:spacing w:after="0" w:line="240" w:lineRule="exact"/>
        <w:rPr>
          <w:sz w:val="20"/>
          <w:szCs w:val="20"/>
          <w:color w:val="auto"/>
        </w:rPr>
      </w:pPr>
    </w:p>
    <w:p>
      <w:pPr>
        <w:ind w:left="280" w:hanging="272"/>
        <w:spacing w:after="0"/>
        <w:tabs>
          <w:tab w:leader="none" w:pos="2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w w:val="98"/>
              </w:rPr>
              <w:t>(Stated in millions)</w:t>
            </w:r>
          </w:p>
        </w:tc>
      </w:tr>
      <w:tr>
        <w:trPr>
          <w:trHeight w:val="161"/>
        </w:trPr>
        <w:tc>
          <w:tcPr>
            <w:tcW w:w="5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8"/>
              </w:rPr>
              <w:t>Third Quarter</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rPr>
              <w:t>Nine Months</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US</w:t>
            </w:r>
          </w:p>
        </w:tc>
        <w:tc>
          <w:tcPr>
            <w:tcW w:w="3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2"/>
              </w:rPr>
              <w:t>US</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2"/>
              </w:rPr>
              <w:t>US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100" w:type="dxa"/>
            <w:vAlign w:val="bottom"/>
          </w:tcPr>
          <w:p>
            <w:pPr>
              <w:spacing w:after="0"/>
              <w:rPr>
                <w:sz w:val="12"/>
                <w:szCs w:val="12"/>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w:t>
            </w:r>
          </w:p>
        </w:tc>
        <w:tc>
          <w:tcPr>
            <w:tcW w:w="3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3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106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156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9"/>
              </w:rPr>
              <w:t>(48)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5"/>
              </w:rPr>
              <w:t>(143)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5"/>
              </w:rPr>
              <w:t>(174)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(121)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(135)</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r>
      <w:tr>
        <w:trPr>
          <w:trHeight w:val="222"/>
        </w:trPr>
        <w:tc>
          <w:tcPr>
            <w:tcW w:w="5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121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r>
      <w:tr>
        <w:trPr>
          <w:trHeight w:val="21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Curtailment charge</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88"/>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r>
      <w:tr>
        <w:trPr>
          <w:trHeight w:val="223"/>
        </w:trPr>
        <w:tc>
          <w:tcPr>
            <w:tcW w:w="53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121</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0"/>
        </w:trPr>
        <w:tc>
          <w:tcPr>
            <w:tcW w:w="5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During the first nine months of 2010, Schlumberger made contributions to its US and international defined benefit pension plans of $187 million and $388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for the Schlumberger US postretirement medical plan included the following components: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56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43</w:t>
            </w:r>
          </w:p>
        </w:tc>
        <w:tc>
          <w:tcPr>
            <w:tcW w:w="1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6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Curtailment charge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w:t>
            </w:r>
          </w:p>
        </w:tc>
        <w:tc>
          <w:tcPr>
            <w:tcW w:w="30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6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5620" w:right="2060" w:hanging="5617"/>
        <w:spacing w:after="0" w:line="440" w:lineRule="auto"/>
        <w:rPr>
          <w:sz w:val="20"/>
          <w:szCs w:val="20"/>
          <w:color w:val="auto"/>
        </w:rPr>
      </w:pPr>
      <w:r>
        <w:rPr>
          <w:rFonts w:ascii="Arial" w:cs="Arial" w:eastAsia="Arial" w:hAnsi="Arial"/>
          <w:sz w:val="18"/>
          <w:szCs w:val="18"/>
          <w:color w:val="auto"/>
        </w:rPr>
        <w:t>During the first nine months of 2010, Schlumberger made a contribution to the US postretirement medical plan of $40 million. 24</w:t>
      </w:r>
    </w:p>
    <w:p>
      <w:pPr>
        <w:sectPr>
          <w:pgSz w:w="11900" w:h="16838" w:orient="portrait"/>
          <w:cols w:equalWidth="0" w:num="1">
            <w:col w:w="10960"/>
          </w:cols>
          <w:pgMar w:left="240" w:top="459" w:right="6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REVIEW</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Third Quarter 2010 Compared to Second Quarter 2010</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Third Quarter</w:t>
            </w:r>
          </w:p>
        </w:tc>
        <w:tc>
          <w:tcPr>
            <w:tcW w:w="88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Second Quarter</w:t>
            </w:r>
          </w:p>
        </w:tc>
        <w:tc>
          <w:tcPr>
            <w:tcW w:w="1400" w:type="dxa"/>
            <w:vAlign w:val="bottom"/>
            <w:gridSpan w:val="3"/>
          </w:tcPr>
          <w:p>
            <w:pPr>
              <w:jc w:val="right"/>
              <w:ind w:right="26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 chg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2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Revenue</w:t>
            </w:r>
          </w:p>
        </w:tc>
        <w:tc>
          <w:tcPr>
            <w:tcW w:w="2480" w:type="dxa"/>
            <w:vAlign w:val="bottom"/>
            <w:gridSpan w:val="2"/>
          </w:tcPr>
          <w:p>
            <w:pPr>
              <w:ind w:left="228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5,537</w:t>
            </w:r>
          </w:p>
        </w:tc>
        <w:tc>
          <w:tcPr>
            <w:tcW w:w="10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5,436</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480" w:type="dxa"/>
            <w:vAlign w:val="bottom"/>
            <w:gridSpan w:val="2"/>
            <w:shd w:val="clear" w:color="auto" w:fill="CCEEFF"/>
          </w:tcPr>
          <w:p>
            <w:pPr>
              <w:ind w:left="22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1,102</w:t>
            </w:r>
          </w:p>
        </w:tc>
        <w:tc>
          <w:tcPr>
            <w:tcW w:w="10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2"/>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WesternGeco</w:t>
            </w: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80" w:type="dxa"/>
            <w:vAlign w:val="bottom"/>
            <w:gridSpan w:val="2"/>
            <w:shd w:val="clear" w:color="auto" w:fill="CCEEFF"/>
          </w:tcPr>
          <w:p>
            <w:pPr>
              <w:ind w:left="22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10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476</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480" w:type="dxa"/>
            <w:vAlign w:val="bottom"/>
            <w:gridSpan w:val="2"/>
          </w:tcPr>
          <w:p>
            <w:pPr>
              <w:ind w:left="228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0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M-I SWACO </w:t>
            </w:r>
            <w:r>
              <w:rPr>
                <w:rFonts w:ascii="Arial" w:cs="Arial" w:eastAsia="Arial" w:hAnsi="Arial"/>
                <w:sz w:val="11"/>
                <w:szCs w:val="11"/>
                <w:b w:val="1"/>
                <w:bCs w:val="1"/>
                <w:color w:val="auto"/>
              </w:rPr>
              <w:t>(1)</w:t>
            </w: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Revenue</w:t>
            </w:r>
          </w:p>
        </w:tc>
        <w:tc>
          <w:tcPr>
            <w:tcW w:w="2480" w:type="dxa"/>
            <w:vAlign w:val="bottom"/>
            <w:gridSpan w:val="2"/>
          </w:tcPr>
          <w:p>
            <w:pPr>
              <w:ind w:left="228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383</w:t>
            </w:r>
          </w:p>
        </w:tc>
        <w:tc>
          <w:tcPr>
            <w:tcW w:w="10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480" w:type="dxa"/>
            <w:vAlign w:val="bottom"/>
            <w:gridSpan w:val="2"/>
            <w:shd w:val="clear" w:color="auto" w:fill="CCEEFF"/>
          </w:tcPr>
          <w:p>
            <w:pPr>
              <w:ind w:left="22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Smith Oilfield </w:t>
            </w:r>
            <w:r>
              <w:rPr>
                <w:rFonts w:ascii="Arial" w:cs="Arial" w:eastAsia="Arial" w:hAnsi="Arial"/>
                <w:sz w:val="11"/>
                <w:szCs w:val="11"/>
                <w:b w:val="1"/>
                <w:bCs w:val="1"/>
                <w:color w:val="auto"/>
              </w:rPr>
              <w:t>(1)</w:t>
            </w: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80" w:type="dxa"/>
            <w:vAlign w:val="bottom"/>
            <w:gridSpan w:val="2"/>
            <w:shd w:val="clear" w:color="auto" w:fill="CCEEFF"/>
          </w:tcPr>
          <w:p>
            <w:pPr>
              <w:ind w:left="22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c>
          <w:tcPr>
            <w:tcW w:w="10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480" w:type="dxa"/>
            <w:vAlign w:val="bottom"/>
            <w:gridSpan w:val="2"/>
          </w:tcPr>
          <w:p>
            <w:pPr>
              <w:ind w:left="228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Distribution </w:t>
            </w:r>
            <w:r>
              <w:rPr>
                <w:rFonts w:ascii="Arial" w:cs="Arial" w:eastAsia="Arial" w:hAnsi="Arial"/>
                <w:sz w:val="11"/>
                <w:szCs w:val="11"/>
                <w:b w:val="1"/>
                <w:bCs w:val="1"/>
                <w:color w:val="auto"/>
              </w:rPr>
              <w:t>(1)</w:t>
            </w: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Revenue</w:t>
            </w:r>
          </w:p>
        </w:tc>
        <w:tc>
          <w:tcPr>
            <w:tcW w:w="2480" w:type="dxa"/>
            <w:vAlign w:val="bottom"/>
            <w:gridSpan w:val="2"/>
          </w:tcPr>
          <w:p>
            <w:pPr>
              <w:ind w:left="228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10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480" w:type="dxa"/>
            <w:vAlign w:val="bottom"/>
            <w:gridSpan w:val="2"/>
            <w:shd w:val="clear" w:color="auto" w:fill="CCEEFF"/>
          </w:tcPr>
          <w:p>
            <w:pPr>
              <w:ind w:left="22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Represents one month of post-merger activity following the merger with Smith International, Inc. (“Smith”) on August 27, 2010. See Note 4 to the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for further details.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Pretax operating income represents the segments’ income before taxes and noncontrolling interests. The pretax operating income excludes such items as corporate expenses and interest income and interest expense not allocated to the segments as well as the charges and credits described in detail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interest on postretirement medical benefits, stock-based compensation costs and amortization expense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recorded as a result of the merger with Smith.</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Third-quarter 2010 revenue was $6.85 billion versus $5.94 billion in the second quarter of 2010. Net income attributable to Schlumberger, excluding charges and credits, was $875 million—an increase of 7% sequentially.</w:t>
      </w:r>
    </w:p>
    <w:p>
      <w:pPr>
        <w:spacing w:after="0" w:line="132"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During the third quarter of 2010, as a result of the merger with Smith, Schlumberger recorded an after-tax gain of $1.2 billion on its M-I SWACO investment , which was partially offset by after-tax restructuring and merger-related charges of $379 million. These items resulted in a net after-tax credit of $859 million.</w:t>
      </w:r>
    </w:p>
    <w:p>
      <w:pPr>
        <w:spacing w:after="0" w:line="8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Oilfield Services revenue of $5.54 billion increased 2% compared to the second quarter of 2010. This revenue increase was largely driven by strong improvements in US land and Canada, which more than offset a sharp decline in the US Gulf of Mexico as the deepwater drilling moratorium took full effect. Favorable activity, coupled with robust pricing power for pressure pumping and the effects of our restructuring efforts led to a major improvement in margins. Outside North America, activity was mixed. Solid improvements were recorded in Asia, Russia, the North Sea, and West &amp; South Africa, which offset continued weakness in North Africa and the Gulf of Guinea. Latin America performed well in all GeoMarkets except Mexico where budget constraints, weather and security concerns led to major reductions in Integrated Project Management (“IPM”) project activity.</w:t>
      </w:r>
    </w:p>
    <w:p>
      <w:pPr>
        <w:spacing w:after="0" w:line="12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WesternGeco revenue of $478 million increased 1% sequentially. Pretax segment operating income of $40 million decreased 14% versus the second quarter of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third-quarter 2010 results reflect one month of activity from the acquired Smith businesses which contributed revenue of $810 million and pretax operating income of $84 million. The merger was dilutive to the third-quarter 2010 earnings-per-share by just under $0.02.</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Schlumberger expects for the fourth quarter to show continued strong activity in North America on land, and does not expect any rapid return to deepwater drilling in the US Gulf of Mexico despite the lifting of the moratorium. Further clarification of the new rules and liabilities under which activity will be conducted will be necessary before any major increase in activity in the US Gulf of Mexico takes place. Schlumberger’s restructuring efforts will continue to deliver margin improvements. Outside North America, the delays induced by the knock-on effect of the Macondo well are now being reabsorbed. This and the recent strength in oil prices give some optimism that the rate of recovery overseas will accelerate slightly. The normal seasonal declines in Russia will be present in the fourth quarter and the future of operations in Mexico will remain uncertain until next year. WesternGeco will show improvement in the fourth quarter due to increased US Gulf of Mexico multiclient sales.</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Recent robust demand increases as well as predictions of higher demand in 2011 will continue to support oil prices and activity—absent any further deterioration of the world economy. Further demand increases for natural gas will be necessary to sustain the current level of North American gas drilling activity beyond a certain point in time.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Third-quarter revenue of $5.54 billion was 2% higher sequentially. North America Area revenue increased on strong activity and increased pricing in US land and on the seasonal rig count recovery in Canada. These effects were partially offset by the impact of the deepwater drilling moratorium in the US Gulf of Mexico. In the Middle East &amp; Asia Area, revenue grew from strong exploration-related services and drilling activity in the Qatar and East Asia GeoMarkets.</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Europe/CIS/Africa Area revenue was sequentially flat as increased activity in the West &amp; South Africa and North Sea GeoMarkets and the inclusion of a full quarter of Geoservices activity was offset by weakness in the North Africa and Nigeria &amp; Gulf of Guinea GeoMarkets. These increases were partially offset by a decrease in Latin America Area revenue due to client budget constraints and poor weather conditions in the Mexico/Central America GeoMarket, which severely impacted Integrated Project Management (IPM) activity.</w:t>
      </w:r>
    </w:p>
    <w:p>
      <w:pPr>
        <w:spacing w:after="0" w:line="14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Among the Technologies, revenue growth was driven by strong demand for Well Services products and services—particularly in North America. The quarter’s results also benefited from the inclusion of a full quarter of the Geoservices activity.</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Third-quarter pretax operating income of $1.10 billion increased 3% compared to the second quarter of 2010. Pretax operating margin of 19.9% was flat sequentially as strong performance in North America from land activity offset the combined impacts of the drilling moratorium in the US Gulf of Mexico and the severe slowdown in Mexico/Central America.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Third-quarter revenue of $1.26 billion was 13% higher sequentially. Pretax operating income of $219 million was 90% higher compared to the prior quarter.</w:t>
      </w:r>
    </w:p>
    <w:p>
      <w:pPr>
        <w:spacing w:after="0" w:line="194"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Sequentially, revenue growth was strongest in US land, which expanded by 22%, versus a 10% rig count increase, on high service intensity as well as on improved pricing and equipment utilization that benefited Well Services, Wireline and Drilling &amp; Measurement technologies. Canada revenue also increased significantly as the result of the seasonal recovery in rig count. These increases were partially offset by a 52% drop in US Gulf of Mexico revenue as a consequence of the deepwater drilling moratorium.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Pretax operating margin for the Area increased 704 basis points (bps) sequentially to 17.4%. The US land margin improved 885 bps on the combination of higher activity, stronger pricing and greater equipment utilization while Canada pretax operating margin increased sharply on the post spring-break up recovery. These increases were partially offset by a 1,365 bps drop in the US Gulf of Mexico margin due to the impact of the drilling moratorium.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Third-quarter revenue of $1.07 billion was 6% lower sequentially. Pretax operating income of $159 million decreased 22% compared to the second quarter of 2010.</w:t>
      </w:r>
    </w:p>
    <w:p>
      <w:pPr>
        <w:spacing w:after="0" w:line="132"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Sequentially, revenue in the Mexico/Central America GeoMarket decreased significantly as the combination of client budgetary constraints, poor weather conditions and continuing security issues severely impacted IPM activity. This decrease was partially offset by higher revenue from increased drilling in the Peru/Colombia/Ecuador GeoMarket, improved production on an IPM project in Colombia, increased offshore exploration activity in Brazil, and higher IPM activity and Completions equipment sales in Venezuela/Trinidad &amp; Tobago.</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Pretax operating margin decreased 302 bps sequentially to 14.9% due mainly to the lower activity in Mexico/Central America and a less favorable revenue mix in Venezuela/Trinidad &amp; Tobago.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Third-quarter revenue of $1.73 billion was flat compared to the second quarter of 2010. Pretax operating income of $317 million decreased 1% sequentially.</w:t>
      </w:r>
    </w:p>
    <w:p>
      <w:pPr>
        <w:spacing w:after="0" w:line="19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Sequentially, revenue grew in the West &amp; South Africa GeoMarket primarily due to increased activity that resulted in stronger demand for Drilling &amp; Measurements services as well as in the North Sea GeoMarket on higher exploration activity that benefited Wireline and Well Services technologies. The inclusion of the first full quarter of Geoservices activity also served to increase Area revenue. These increases were offset primarily by decreased activity in the North Africa GeoMarket, lower exploration activity in the Nigeria &amp; Gulf of Guinea GeoMarket, and reduced Framo revenue.</w:t>
      </w:r>
    </w:p>
    <w:p>
      <w:pPr>
        <w:spacing w:after="0" w:line="1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Pretax operating margin of 18.3% was flat sequentially as a more favorable revenue mix in Russia was offset by the impact of lower activity in the North Africa and Nigeria &amp; Gulf of Guinea GeoMarkets.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Third-quarter revenue of $1.40 billion was 2% higher sequentially. Pretax operating income of $425 million was flat versus the second quarter of 2010.</w:t>
      </w:r>
    </w:p>
    <w:p>
      <w:pPr>
        <w:spacing w:after="0" w:line="19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Sequentially, revenue increased in the Qatar GeoMarket on higher exploration and development drilling activity that resulted in stronger demand for Wireline and Drilling &amp; Measurements services. The East Asia GeoMarket revenue was higher on stronger exploration activity that benefited Wireline and Well Services technologies, while inclusion of a full quarter of Geoservices activity also contributed to the increase in Area revenue. These increases were partially offset by the impact of poor weather conditions in the Pakistan GeoMarket, activity delays in the Indonesia GeoMarket, and lower Well Services product sales.</w:t>
      </w:r>
    </w:p>
    <w:p>
      <w:pPr>
        <w:spacing w:after="0" w:line="113" w:lineRule="exact"/>
        <w:rPr>
          <w:sz w:val="20"/>
          <w:szCs w:val="20"/>
          <w:color w:val="auto"/>
        </w:rPr>
      </w:pPr>
    </w:p>
    <w:p>
      <w:pPr>
        <w:ind w:right="780"/>
        <w:spacing w:after="0" w:line="370" w:lineRule="auto"/>
        <w:rPr>
          <w:sz w:val="20"/>
          <w:szCs w:val="20"/>
          <w:color w:val="auto"/>
        </w:rPr>
      </w:pPr>
      <w:r>
        <w:rPr>
          <w:rFonts w:ascii="Arial" w:cs="Arial" w:eastAsia="Arial" w:hAnsi="Arial"/>
          <w:sz w:val="15"/>
          <w:szCs w:val="15"/>
          <w:color w:val="auto"/>
        </w:rPr>
        <w:t>Pretax operating margin was down 84 bps sequentially to 30.3% as the more favorable exploration activity in the Qatar and East Asia GeoMarkets was insufficient to offset the impacts of start-up costs in Iraq, the activity delays in the Indonesia GeoMarket, and the lower Well Services product sales.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Third-quarter revenue of $478 million increased 1% sequentially. Pretax operating income of $40 million decreased 14% sequentially.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Sequentially, Marine revenue grew from higher activity but was partially offset by lower Electromagnetics and Land revenue as contracts were completed.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Multiclient and Data Processing revenues were flat.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decreased 145 bps sequentially to 8.3% primarily as the result of the lower Electromagnetics and Land activity.</w:t>
      </w:r>
    </w:p>
    <w:p>
      <w:pPr>
        <w:spacing w:after="0" w:line="165"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Third Quarter 2010 Compared to Third Quarter 2009</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2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Third Quarter</w:t>
            </w:r>
          </w:p>
        </w:tc>
        <w:tc>
          <w:tcPr>
            <w:tcW w:w="6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7"/>
              </w:rPr>
              <w:t>% chg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2010</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5,537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w w:val="84"/>
              </w:rPr>
              <w:t>4,953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1,102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4"/>
              </w:rPr>
              <w:t>1,042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2"/>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WesternGeco</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463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61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M-I SWACO </w:t>
            </w:r>
            <w:r>
              <w:rPr>
                <w:rFonts w:ascii="Arial" w:cs="Arial" w:eastAsia="Arial" w:hAnsi="Arial"/>
                <w:sz w:val="11"/>
                <w:szCs w:val="11"/>
                <w:b w:val="1"/>
                <w:bCs w:val="1"/>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383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Smith Oilfield </w:t>
            </w:r>
            <w:r>
              <w:rPr>
                <w:rFonts w:ascii="Arial" w:cs="Arial" w:eastAsia="Arial" w:hAnsi="Arial"/>
                <w:sz w:val="11"/>
                <w:szCs w:val="11"/>
                <w:b w:val="1"/>
                <w:bCs w:val="1"/>
                <w:color w:val="auto"/>
              </w:rPr>
              <w:t>(1)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Distribution </w:t>
            </w:r>
            <w:r>
              <w:rPr>
                <w:rFonts w:ascii="Arial" w:cs="Arial" w:eastAsia="Arial" w:hAnsi="Arial"/>
                <w:sz w:val="11"/>
                <w:szCs w:val="11"/>
                <w:b w:val="1"/>
                <w:bCs w:val="1"/>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Represents one month of post-merger activity following the merger with Smith on August 27, 2010. See Note 4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for further details.</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Third-quarter 2010 revenue was $6.85 billion versus $5.43 billion in the third quarter of 2009. The increase in revenue was largely attributable to the Smith and Geoservices acquisitions, as well as significantly improved activity and pricing for Oilfield Services US land activity in North America.</w:t>
      </w:r>
    </w:p>
    <w:p>
      <w:pPr>
        <w:spacing w:after="0" w:line="8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Net income attributable to Schlumberger, excluding charges and credits in the third quarter of 2010, was $875 million compared to $787 million in the third quarter of 2009.</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Third-quarter 2010 revenue of $5.54 billion was 12% higher than the same period last year primarily in North America Area due to a significant increase in activity and improved pricing in US land and in the Middle East &amp; Asia Area as the result of higher activity. The addition of Geoservices also contributed to the growth. These increases were partially offset by lower revenue in Europe/CIS/Africa due to reduced activity, particularly in the North Africa GeoMarket, and generally lower pricing across the Area. Latin America revenue was flat as a steep drop in IPM activity in Mexico/Central America was offset by growth across much of the rest of the Area.</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60"/>
          </w:cols>
          <w:pgMar w:left="240" w:top="459"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Third-quarter 2010 pretax operating income of $1.10 billion was 6% higher year-on-year. Pretax operating margin declined 114 bps to 19.9% as a strong contribution from the increased activity and pricing in North America was insufficient to offset the impact of lower activity and pricing in Europe/CIS/Africa and the severe drop in IPM activity in Latin America.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Third-quarter 2010 revenue of $1.26 billion was 53% higher than the same period last year. US land revenue more than doubled compared to 2009 due to strong activity in unconventional oil and gas reservoirs and improved pricing that benefited Well Services, Wireline and Drilling &amp; Measurements technologies. Canada revenue also increased significantly from stronger activity in oil basins. These increases were partially offset by a decrease in the US Gulf of Mexico revenue as a result of the moratorium on deepwater drilling.</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Year-on-year, pretax operating margin increased 14 percentage points to 17.4% primarily due to the significant increase in activity and improved pricing in the US land partially offset by the impact of the drilling moratorium in the US Gulf of Mexico.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Third-quarter 2010 revenue of $1.07 billion was flat with the previous year. Strong offshore exploration activity in the Brazil GeoMarket, increased IPM activity in Columbia/Peru/Ecuador and higher revenue in Argentina/Bolivia/Chile GeoMarket as well as additional revenue from Geoservices were offset by a significant decrease in IPM activity in the Mexico/Central America GeoMarket resulting from client budgetary constraints, poor weather conditions and continuing security issues.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348 bps to 14.9% mostly due to the precipitous drop in activity in Mexico/Central America.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Third-quarter 2010 revenue of $1.73 billion was 3% lower than the same period last year. North Africa GeoMarket revenue declined sharply on lower Testing Services equipment sales and delays in IPM projects. Revenue in the Caspian and Libya GeoMarkets decreased due to lower activity that reduced demand for Wireline and Drilling &amp; Measurements services while Continental Europe GeoMarket revenue was lower on reduced demand for Well Services and Drilling &amp; Measurements technologies. These decreases were partially offset by additional revenue from the Geoservices acquisition as well as increased integrated services activity in Russia and higher exploration activity in the North Sea.</w:t>
      </w:r>
    </w:p>
    <w:p>
      <w:pPr>
        <w:spacing w:after="0" w:line="143"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Year-on-year, pretax operating margin declined 542 bps to 18.3% primarily due to the impact of the significantly lower activity and equipment sales in North Africa, reduced activity in the Caspian, a less favorable revenue mix in West &amp; South Africa and generally lower pricing across the Area.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Third-quarter 2010 revenue of $1.40 billion was 14% higher than the previous year. The growth was largely due to increased IPM activity as well as demand for Well Services technologies in the Middle Eastern GeoMarkets, strong exploration activity in the East Asia GeoMarket, a surge in offshore activity in the Australia/Papua New Guinea GeoMarket and higher activity in the China/Japan/Korea GeoMarket. The acquisition of Geoservices also contributed to the increase in Area revenue.</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Year-on-year, pretax operating margin decreased 144 bps to 30.3% primarily reflecting the impact of weaker activity in the Indonesia GeoMarket, start-up costs in Iraq and lower pricing across the Area.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Third-quarter 2010 revenue of $478 million increased 3% compared to the same period last year mostly from higher Multiclient activity in North America.</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Year-on-year, pretax operating margin declined 474 bps to 8.3% as strong contribution from the higher Multiclient activity was insufficient to offset the impact of lower pricing in Marine and reduced profitability from Land activity.</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Nine Months 2010 Compared to Nine Months 2009</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Nine Months</w:t>
            </w:r>
          </w:p>
        </w:tc>
        <w:tc>
          <w:tcPr>
            <w:tcW w:w="1700" w:type="dxa"/>
            <w:vAlign w:val="bottom"/>
            <w:gridSpan w:val="4"/>
          </w:tcPr>
          <w:p>
            <w:pPr>
              <w:jc w:val="right"/>
              <w:ind w:right="2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7"/>
              </w:rPr>
              <w:t>% chg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16,070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w w:val="83"/>
              </w:rPr>
              <w:t>15,349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3,320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2"/>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WesternGeco</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1,573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212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M-I SWACO </w:t>
            </w:r>
            <w:r>
              <w:rPr>
                <w:rFonts w:ascii="Arial" w:cs="Arial" w:eastAsia="Arial" w:hAnsi="Arial"/>
                <w:sz w:val="11"/>
                <w:szCs w:val="11"/>
                <w:b w:val="1"/>
                <w:bCs w:val="1"/>
                <w:color w:val="auto"/>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383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Smith Oilfield </w:t>
            </w:r>
            <w:r>
              <w:rPr>
                <w:rFonts w:ascii="Arial" w:cs="Arial" w:eastAsia="Arial" w:hAnsi="Arial"/>
                <w:sz w:val="11"/>
                <w:szCs w:val="11"/>
                <w:b w:val="1"/>
                <w:bCs w:val="1"/>
                <w:color w:val="auto"/>
              </w:rPr>
              <w:t>(1)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Distribution </w:t>
            </w:r>
            <w:r>
              <w:rPr>
                <w:rFonts w:ascii="Arial" w:cs="Arial" w:eastAsia="Arial" w:hAnsi="Arial"/>
                <w:sz w:val="11"/>
                <w:szCs w:val="11"/>
                <w:b w:val="1"/>
                <w:bCs w:val="1"/>
                <w:color w:val="auto"/>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Represents one month of post-merger activity following the merger with Smith on August 27, 2010. See Note 4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for further details.</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Revenue for the nine month period ended September 30, 2010 was $18.38 billion was 8% higher than the same period last year. The increase in revenue was mainly due to the acquisitions of Smith and Geoservices in 2010 as well as significantly improved activity and pricing for Oilfield Services US land activity in North America.</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Net income attributable to Schlumberger, excluding charges and credits, for the nine months ended September 2010 was $2.44 billion compared to $2.54 billion for the same period last year.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Nine-month revenue of $16.07 billion was 5% higher than the same period last year. Revenue growth was led by the North America Area mostly from increased activity and pricing for Well Services technologies. Latin America revenue increased on strong activity in the Brazil and Peru/Ecuador/Colombia GeoMarkets partially offset by reduced IPM activity in Mexico/Central America due to client budgetary constraints. Middle East &amp; Asia Area revenue increased primarily due to higher drilling activity in the Australia/Papua New Guinea, China/Japan and East Asia GeoMarkets. The addition of Geoservices also contributed to the increase in revenue. These increases were partially offset by a decrease in Europe/CIS/Africa revenue due to reduced activity in several GeoMarkets as well as generally lower pricing across the Area.</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Year-to-date pretax operating margin declined 207 bps to 19.6% mostly due to reduced activity and weaker pricing in the Europe/CIS/Africa Area and lower IPM activity in Latin America partially offset by the affects of the increased activity and pricing in North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Nine-month revenue of $3.41 billion was 20% higher than the same period last year primarily due to strong activity in unconventional oil and gas reservoirs and improved pricing in the US Land GeoMarket for Well Services technologies and improved activity levels in oil basins in Canada. These increases were partially offset by a decrease in the US Gulf of Mexico revenue as a result of the moratorium on deepwater drilling.</w:t>
      </w:r>
    </w:p>
    <w:p>
      <w:pPr>
        <w:spacing w:after="0" w:line="10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Year-on-year, pretax operating margin increased 525 bps to 12.3% due to the stronger activity and improved pricing in the US land, and partially offset by the impact of the slow-down in the US Gulf of Mexico as a consequence of the deepwater drilling moratorium.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Year-to-date revenue of $3.27 billion was 6% higher than the previous year. Growth was strongest in the Brazil GeoMarket where higher offshore activity increased demand for Wireline and Drilling &amp; Measurements services. Revenue also increased significantly in the Peru/Ecuador/Colombia GeoMarket due to strong IPM activity and higher Artificial Lift systems sales. The addition of Geoservices also contributed to the growth. These increases were partially offset by a decrease in Mexico/Central America GeoMarket revenue as client budgetary constraints reduced IPM activity.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178 bps to 16.8% primarily due to the reduced activity levels in Mexico/Central America.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Nine-month revenue of $5.10 billion was 5% lower year-on-year. This decrease was largely attributable to lower pricing across much of the Area and reduced activity in the Caspian, North Africa, Libya, Continental Europe, North Sea and West &amp; South Africa GeoMarkets. These decreases were partially offset by increases in Russia due to higher IPM activity and in the Nigeria &amp; Gulf of Guinea GeoMarket on strong demand for Well Services technologies. The addition of Geoservices also contributed to Area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638 bps to 18.2% primarily due to the lower overall activity levels and reduced pricing.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Year-to-date revenue of $4.10 billion was 4% higher than the previous year as strong drilling activity in Asia, particularly in the Australia/Papua New Guinea, China/Japan/Korea and East Asia GeoMarkets, was only partially offset by generally lower activity across the Middle Eastern GeoMarkets. The addition of Geoservices also contributed to the increase in Area revenue.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151 bps to 30.8% primarily due the impact of lower pricing across the Area.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Nine month revenue of $1.43 billion was 9% lower year-on-year primarily due to reduced activity and pricing in Marine. This decrease was partially offset by an increase in Multiclient revenue as the result of increased acquisition of wide-azimuth surveys in the US Gulf of Mexico.</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Year-on-year, pretax operating margin decreased 268 bps to 10.8% as the result of the lower pricing and activity in Marine and reduced profitability in Land and Data Processing. These decreases were partially offset by an improvement in Multiclient margins on the increased activity.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&amp; OTHER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Interest &amp; other income consisted of the following for the third quarter and nine months ended September 30, 2010 and 2009:</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6"/>
          </w:tcPr>
          <w:p>
            <w:pPr>
              <w:ind w:left="360"/>
              <w:spacing w:after="0"/>
              <w:rPr>
                <w:sz w:val="20"/>
                <w:szCs w:val="20"/>
                <w:color w:val="auto"/>
              </w:rPr>
            </w:pPr>
            <w:r>
              <w:rPr>
                <w:rFonts w:ascii="Arial" w:cs="Arial" w:eastAsia="Arial" w:hAnsi="Arial"/>
                <w:sz w:val="14"/>
                <w:szCs w:val="14"/>
                <w:i w:val="1"/>
                <w:iCs w:val="1"/>
                <w:color w:val="auto"/>
                <w:w w:val="95"/>
              </w:rPr>
              <w:t>(Stated in millions)</w:t>
            </w:r>
          </w:p>
        </w:tc>
      </w:tr>
      <w:tr>
        <w:trPr>
          <w:trHeight w:val="161"/>
        </w:trPr>
        <w:tc>
          <w:tcPr>
            <w:tcW w:w="7280" w:type="dxa"/>
            <w:vAlign w:val="bottom"/>
          </w:tcPr>
          <w:p>
            <w:pPr>
              <w:spacing w:after="0"/>
              <w:rPr>
                <w:sz w:val="14"/>
                <w:szCs w:val="14"/>
                <w:color w:val="auto"/>
              </w:rPr>
            </w:pPr>
          </w:p>
        </w:tc>
        <w:tc>
          <w:tcPr>
            <w:tcW w:w="1740" w:type="dxa"/>
            <w:vAlign w:val="bottom"/>
            <w:gridSpan w:val="6"/>
          </w:tcPr>
          <w:p>
            <w:pPr>
              <w:ind w:left="180"/>
              <w:spacing w:after="0"/>
              <w:rPr>
                <w:sz w:val="20"/>
                <w:szCs w:val="20"/>
                <w:color w:val="auto"/>
              </w:rPr>
            </w:pPr>
            <w:r>
              <w:rPr>
                <w:rFonts w:ascii="Arial" w:cs="Arial" w:eastAsia="Arial" w:hAnsi="Arial"/>
                <w:sz w:val="14"/>
                <w:szCs w:val="14"/>
                <w:b w:val="1"/>
                <w:bCs w:val="1"/>
                <w:color w:val="auto"/>
              </w:rPr>
              <w:t>Third Quarter</w:t>
            </w:r>
          </w:p>
        </w:tc>
        <w:tc>
          <w:tcPr>
            <w:tcW w:w="1480" w:type="dxa"/>
            <w:vAlign w:val="bottom"/>
            <w:gridSpan w:val="6"/>
          </w:tcPr>
          <w:p>
            <w:pPr>
              <w:ind w:left="320"/>
              <w:spacing w:after="0"/>
              <w:rPr>
                <w:sz w:val="20"/>
                <w:szCs w:val="20"/>
                <w:color w:val="auto"/>
              </w:rPr>
            </w:pPr>
            <w:r>
              <w:rPr>
                <w:rFonts w:ascii="Arial" w:cs="Arial" w:eastAsia="Arial" w:hAnsi="Arial"/>
                <w:sz w:val="14"/>
                <w:szCs w:val="14"/>
                <w:b w:val="1"/>
                <w:bCs w:val="1"/>
                <w:color w:val="auto"/>
              </w:rPr>
              <w:t>Nine Months</w:t>
            </w:r>
          </w:p>
        </w:tc>
      </w:tr>
      <w:tr>
        <w:trPr>
          <w:trHeight w:val="142"/>
        </w:trPr>
        <w:tc>
          <w:tcPr>
            <w:tcW w:w="72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$ 46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8"/>
              </w:rPr>
              <w:t>$ 129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15</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7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 xml:space="preserve"> 54</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$ 169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decrease in equity in net earnings of affiliated companies is primarily attributable to the loss of equity earnings from the M-I SWACO joint venture as Schlumberger now owns 100% of this venture following its merger with Smith on August 27,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gross margin follows: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80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4"/>
                <w:szCs w:val="14"/>
                <w:b w:val="1"/>
                <w:bCs w:val="1"/>
                <w:color w:val="auto"/>
              </w:rPr>
              <w:t>Third Quarter</w:t>
            </w:r>
          </w:p>
        </w:tc>
        <w:tc>
          <w:tcPr>
            <w:tcW w:w="280" w:type="dxa"/>
            <w:vAlign w:val="bottom"/>
          </w:tcPr>
          <w:p>
            <w:pPr>
              <w:spacing w:after="0"/>
              <w:rPr>
                <w:sz w:val="14"/>
                <w:szCs w:val="14"/>
                <w:color w:val="auto"/>
              </w:rPr>
            </w:pPr>
          </w:p>
        </w:tc>
        <w:tc>
          <w:tcPr>
            <w:tcW w:w="11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8"/>
              </w:rPr>
              <w:t>Nine Months</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760" w:type="dxa"/>
            <w:vAlign w:val="bottom"/>
          </w:tcPr>
          <w:p>
            <w:pPr>
              <w:spacing w:after="0"/>
              <w:rPr>
                <w:sz w:val="12"/>
                <w:szCs w:val="12"/>
                <w:color w:val="auto"/>
              </w:rPr>
            </w:pPr>
          </w:p>
        </w:tc>
        <w:tc>
          <w:tcPr>
            <w:tcW w:w="760" w:type="dxa"/>
            <w:vAlign w:val="bottom"/>
            <w:tcBorders>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7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24.2%</w:t>
            </w:r>
          </w:p>
        </w:tc>
      </w:tr>
    </w:tbl>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margin decreased from 23.7% in the third quarter of 2009 to 21.4% in the third quarter of 2010. This decrease was primarily attributable to the inclusion of the acquired Smith businesses as well as lower activity and pricing pressure for Oilfield Services, particularly in the Europe/CIS/Africa Area, partially offset by improved activity levels and pricing in the North America Area.</w:t>
      </w:r>
    </w:p>
    <w:p>
      <w:pPr>
        <w:spacing w:after="0" w:line="14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Gross margin decreased from 24.2% for the nine months ended September 30, 2009 to 22.2% for the nine months ended September 30, 2010. This decrease was primarily due to lower activity and the consequent pricing pressure for Oilfield Services particularly in the Europe/CIS/Africa Area partially offset by improved activity levels and pricing in the North America Area.</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for the third quarter and nine months ended September 30, 2010</w:t>
      </w:r>
      <w:r>
        <w:rPr>
          <w:rFonts w:ascii="Arial" w:cs="Arial" w:eastAsia="Arial" w:hAnsi="Arial"/>
          <w:sz w:val="18"/>
          <w:szCs w:val="18"/>
          <w:i w:val="1"/>
          <w:iCs w:val="1"/>
          <w:color w:val="auto"/>
        </w:rPr>
        <w:t xml:space="preserve"> </w:t>
      </w:r>
      <w:r>
        <w:rPr>
          <w:rFonts w:ascii="Arial" w:cs="Arial" w:eastAsia="Arial" w:hAnsi="Arial"/>
          <w:sz w:val="18"/>
          <w:szCs w:val="18"/>
          <w:color w:val="auto"/>
        </w:rPr>
        <w:t>and 2009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3"/>
              </w:rPr>
              <w:t>Third Quarter</w:t>
            </w:r>
          </w:p>
        </w:tc>
        <w:tc>
          <w:tcPr>
            <w:tcW w:w="36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Nine Months</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8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7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8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Research &amp; engineering</w:t>
            </w:r>
          </w:p>
        </w:tc>
        <w:tc>
          <w:tcPr>
            <w:tcW w:w="40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3.5%</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w:t>
            </w:r>
          </w:p>
        </w:tc>
        <w:tc>
          <w:tcPr>
            <w:tcW w:w="12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b w:val="1"/>
                <w:bCs w:val="1"/>
                <w:color w:val="auto"/>
              </w:rPr>
              <w:t>3.6%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28"/>
        </w:trPr>
        <w:tc>
          <w:tcPr>
            <w:tcW w:w="348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40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2.4%</w:t>
            </w:r>
          </w:p>
        </w:tc>
        <w:tc>
          <w:tcPr>
            <w:tcW w:w="4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2.4%</w:t>
            </w:r>
          </w:p>
        </w:tc>
        <w:tc>
          <w:tcPr>
            <w:tcW w:w="120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rPr>
              <w:t>2.5%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350"/>
        </w:trPr>
        <w:tc>
          <w:tcPr>
            <w:tcW w:w="3480" w:type="dxa"/>
            <w:vAlign w:val="bottom"/>
          </w:tcPr>
          <w:p>
            <w:pPr>
              <w:spacing w:after="0"/>
              <w:rPr>
                <w:sz w:val="24"/>
                <w:szCs w:val="24"/>
                <w:color w:val="auto"/>
              </w:rPr>
            </w:pPr>
          </w:p>
        </w:tc>
        <w:tc>
          <w:tcPr>
            <w:tcW w:w="2840" w:type="dxa"/>
            <w:vAlign w:val="bottom"/>
          </w:tcPr>
          <w:p>
            <w:pPr>
              <w:jc w:val="right"/>
              <w:ind w:right="892"/>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Research and engineering expenditures for the third quarter and nine months ended September 30, 2010 and 2009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gridSpan w:val="5"/>
          </w:tcPr>
          <w:p>
            <w:pPr>
              <w:ind w:left="420"/>
              <w:spacing w:after="0"/>
              <w:rPr>
                <w:sz w:val="20"/>
                <w:szCs w:val="20"/>
                <w:color w:val="auto"/>
              </w:rPr>
            </w:pPr>
            <w:r>
              <w:rPr>
                <w:rFonts w:ascii="Arial" w:cs="Arial" w:eastAsia="Arial" w:hAnsi="Arial"/>
                <w:sz w:val="14"/>
                <w:szCs w:val="14"/>
                <w:i w:val="1"/>
                <w:iCs w:val="1"/>
                <w:color w:val="auto"/>
                <w:w w:val="95"/>
              </w:rPr>
              <w:t>(Stated in millions)</w:t>
            </w:r>
          </w:p>
        </w:tc>
      </w:tr>
      <w:tr>
        <w:trPr>
          <w:trHeight w:val="161"/>
        </w:trPr>
        <w:tc>
          <w:tcPr>
            <w:tcW w:w="4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9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Third Quarter</w:t>
            </w:r>
          </w:p>
        </w:tc>
        <w:tc>
          <w:tcPr>
            <w:tcW w:w="1540" w:type="dxa"/>
            <w:vAlign w:val="bottom"/>
            <w:gridSpan w:val="5"/>
          </w:tcPr>
          <w:p>
            <w:pPr>
              <w:ind w:left="360"/>
              <w:spacing w:after="0"/>
              <w:rPr>
                <w:sz w:val="20"/>
                <w:szCs w:val="20"/>
                <w:color w:val="auto"/>
              </w:rPr>
            </w:pPr>
            <w:r>
              <w:rPr>
                <w:rFonts w:ascii="Arial" w:cs="Arial" w:eastAsia="Arial" w:hAnsi="Arial"/>
                <w:sz w:val="14"/>
                <w:szCs w:val="14"/>
                <w:b w:val="1"/>
                <w:bCs w:val="1"/>
                <w:color w:val="auto"/>
              </w:rPr>
              <w:t>Nine Months</w:t>
            </w:r>
          </w:p>
        </w:tc>
      </w:tr>
      <w:tr>
        <w:trPr>
          <w:trHeight w:val="142"/>
        </w:trPr>
        <w:tc>
          <w:tcPr>
            <w:tcW w:w="44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w:t>
            </w:r>
          </w:p>
        </w:tc>
        <w:tc>
          <w:tcPr>
            <w:tcW w:w="3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$ 192</w:t>
            </w: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$ 169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$ 562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WesternGeco</w:t>
            </w:r>
          </w:p>
        </w:tc>
        <w:tc>
          <w:tcPr>
            <w:tcW w:w="32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25</w:t>
            </w: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26</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Acquired Smith businesses</w:t>
            </w:r>
          </w:p>
        </w:tc>
        <w:tc>
          <w:tcPr>
            <w:tcW w:w="3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Other</w:t>
            </w:r>
          </w:p>
        </w:tc>
        <w:tc>
          <w:tcPr>
            <w:tcW w:w="256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w:t>
            </w: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3</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7"/>
        </w:trPr>
        <w:tc>
          <w:tcPr>
            <w:tcW w:w="44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6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$ 240</w:t>
            </w: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$ 198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$ 662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The effective tax rate for the third quarter of 2010 was 10.8% compared to 19.5% for the same period in 2009. The third quarter 2010 effective tax rate was significantly impacted by the charges and credits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Excluding the impact of the third quarter 2010 charges and credits, the effective tax rate was 21.0%. This increase as compared to the same period in 2009 was primarily attributable to the fact that both Oilfield Services and WesternGeco generated a larger proportion of their pretax earnings in North America in the third quarter of 2010 as well as the inclusion of one month of results from the merger with Smith. Smith, which as a US company has a US tax rate applicable to its worldwide operations and as such, will serve to increase Schlumberger’s overall effective tax rate.</w:t>
      </w:r>
    </w:p>
    <w:p>
      <w:pPr>
        <w:spacing w:after="0" w:line="14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The effective tax rate for the nine months ended September 30, 2010 was 15.7% compared to 20.2% for the same period of the prior year. The effective tax rate for the nine months ended September 30, 2010 was also significantly impacted by the charges and credits described in Note 2 to the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The effective tax rate for the nine months ended September 30, 2009 was also impacted by charges, but to a much less significant extent.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and credits the effective tax rates for both periods was essentially flat at 19.3% for the nine months ended September 30, 2010 as compared to 19.7% for the nine months ended September 30, 2009.</w:t>
      </w:r>
    </w:p>
    <w:p>
      <w:pPr>
        <w:spacing w:after="0" w:line="14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effective tax rate, excluding the impact of charges and credits, is expected to increase in the fourth quarter of 2010 as compared to the third quarter of 2010 due to the inclusion of Smith for an entire quarter combined with the effects of the continued positive momentum in North America.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AND CREDITS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Schlumberger recorded charges and credits during the first nine months of 2010 and 2009. These charges and credits, which are summarized below, are more fully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third quarter 2010 charges and credits: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gridSpan w:val="2"/>
          </w:tcPr>
          <w:p>
            <w:pPr>
              <w:ind w:left="90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Pretax</w:t>
            </w:r>
          </w:p>
        </w:tc>
        <w:tc>
          <w:tcPr>
            <w:tcW w:w="8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14"/>
                <w:szCs w:val="14"/>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Net</w:t>
            </w:r>
          </w:p>
        </w:tc>
        <w:tc>
          <w:tcPr>
            <w:tcW w:w="202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Income Statement Classification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Restructuring and Merger-related Charges:</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Severance and other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77</w:t>
            </w:r>
          </w:p>
        </w:tc>
        <w:tc>
          <w:tcPr>
            <w:tcW w:w="2020" w:type="dxa"/>
            <w:vAlign w:val="bottom"/>
            <w:gridSpan w:val="2"/>
          </w:tcPr>
          <w:p>
            <w:pPr>
              <w:ind w:left="6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Impairment relating to WesternGeco’s firstgeneration Q-Land acquisition system</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w:t>
            </w:r>
          </w:p>
        </w:tc>
        <w:tc>
          <w:tcPr>
            <w:tcW w:w="20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Other WesternGeco-related charges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63</w:t>
            </w:r>
          </w:p>
        </w:tc>
        <w:tc>
          <w:tcPr>
            <w:tcW w:w="2020" w:type="dxa"/>
            <w:vAlign w:val="bottom"/>
            <w:gridSpan w:val="2"/>
          </w:tcPr>
          <w:p>
            <w:pPr>
              <w:ind w:left="6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fees and other</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w:t>
            </w:r>
          </w:p>
        </w:tc>
        <w:tc>
          <w:tcPr>
            <w:tcW w:w="20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Merger-related employee benefits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35</w:t>
            </w:r>
          </w:p>
        </w:tc>
        <w:tc>
          <w:tcPr>
            <w:tcW w:w="2020" w:type="dxa"/>
            <w:vAlign w:val="bottom"/>
            <w:gridSpan w:val="2"/>
          </w:tcPr>
          <w:p>
            <w:pPr>
              <w:ind w:left="6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 fair value adjustments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w:t>
            </w:r>
          </w:p>
        </w:tc>
        <w:tc>
          <w:tcPr>
            <w:tcW w:w="20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Mexico restructuring</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36</w:t>
            </w:r>
          </w:p>
        </w:tc>
        <w:tc>
          <w:tcPr>
            <w:tcW w:w="2020" w:type="dxa"/>
            <w:vAlign w:val="bottom"/>
            <w:gridSpan w:val="2"/>
          </w:tcPr>
          <w:p>
            <w:pPr>
              <w:ind w:left="6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bonds</w:t>
            </w: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860"/>
              <w:spacing w:after="0"/>
              <w:rPr>
                <w:sz w:val="20"/>
                <w:szCs w:val="20"/>
                <w:color w:val="auto"/>
              </w:rPr>
            </w:pPr>
            <w:r>
              <w:rPr>
                <w:rFonts w:ascii="Arial" w:cs="Arial" w:eastAsia="Arial" w:hAnsi="Arial"/>
                <w:sz w:val="18"/>
                <w:szCs w:val="18"/>
                <w:i w:val="1"/>
                <w:iCs w:val="1"/>
                <w:color w:val="auto"/>
              </w:rPr>
              <w:t>Total restructuring and merger-related charges</w:t>
            </w: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4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Gain on investment in M-I SWACO</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(1,270)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(32)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(1,238)</w:t>
            </w:r>
          </w:p>
        </w:tc>
        <w:tc>
          <w:tcPr>
            <w:tcW w:w="20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w w:val="94"/>
              </w:rPr>
              <w:t>Gain on Investment in M-I</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SWACO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(859)</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jc w:val="right"/>
              <w:ind w:right="752"/>
              <w:spacing w:after="0"/>
              <w:rPr>
                <w:sz w:val="20"/>
                <w:szCs w:val="20"/>
                <w:color w:val="auto"/>
              </w:rPr>
            </w:pPr>
            <w:r>
              <w:rPr>
                <w:rFonts w:ascii="Arial" w:cs="Arial" w:eastAsia="Arial" w:hAnsi="Arial"/>
                <w:sz w:val="18"/>
                <w:szCs w:val="18"/>
                <w:color w:val="auto"/>
              </w:rPr>
              <w:t>33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first quarter 2010 charges: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8"/>
          </w:tcPr>
          <w:p>
            <w:pPr>
              <w:ind w:left="20"/>
              <w:spacing w:after="0"/>
              <w:rPr>
                <w:sz w:val="20"/>
                <w:szCs w:val="20"/>
                <w:color w:val="auto"/>
              </w:rPr>
            </w:pPr>
            <w:r>
              <w:rPr>
                <w:rFonts w:ascii="Arial" w:cs="Arial" w:eastAsia="Arial" w:hAnsi="Arial"/>
                <w:sz w:val="14"/>
                <w:szCs w:val="14"/>
                <w:i w:val="1"/>
                <w:iCs w:val="1"/>
                <w:color w:val="auto"/>
              </w:rPr>
              <w:t>(Stated in millions)</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5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4"/>
              </w:rPr>
              <w:t>Pretax</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Tax</w:t>
            </w:r>
          </w:p>
        </w:tc>
        <w:tc>
          <w:tcPr>
            <w:tcW w:w="440" w:type="dxa"/>
            <w:vAlign w:val="bottom"/>
            <w:gridSpan w:val="2"/>
          </w:tcPr>
          <w:p>
            <w:pPr>
              <w:spacing w:after="0"/>
              <w:rPr>
                <w:sz w:val="14"/>
                <w:szCs w:val="14"/>
                <w:color w:val="auto"/>
              </w:rPr>
            </w:pPr>
          </w:p>
        </w:tc>
        <w:tc>
          <w:tcPr>
            <w:tcW w:w="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Merger-related transaction costs</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972"/>
              <w:spacing w:after="0"/>
              <w:rPr>
                <w:sz w:val="20"/>
                <w:szCs w:val="20"/>
                <w:color w:val="auto"/>
              </w:rPr>
            </w:pPr>
            <w:r>
              <w:rPr>
                <w:rFonts w:ascii="Arial" w:cs="Arial" w:eastAsia="Arial" w:hAnsi="Arial"/>
                <w:sz w:val="18"/>
                <w:szCs w:val="18"/>
                <w:i w:val="1"/>
                <w:iCs w:val="1"/>
                <w:color w:val="auto"/>
                <w:w w:val="93"/>
              </w:rPr>
              <w:t>Merger &amp; integration</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w w:val="99"/>
              </w:rPr>
              <w:t>Impact of elimination of tax deduction related to Medicare Part D subsidy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2600" w:type="dxa"/>
            <w:vAlign w:val="bottom"/>
            <w:gridSpan w:val="2"/>
          </w:tcPr>
          <w:p>
            <w:pPr>
              <w:ind w:left="20"/>
              <w:spacing w:after="0"/>
              <w:rPr>
                <w:sz w:val="20"/>
                <w:szCs w:val="20"/>
                <w:color w:val="auto"/>
              </w:rPr>
            </w:pPr>
            <w:r>
              <w:rPr>
                <w:rFonts w:ascii="Arial" w:cs="Arial" w:eastAsia="Arial" w:hAnsi="Arial"/>
                <w:sz w:val="18"/>
                <w:szCs w:val="18"/>
                <w:i w:val="1"/>
                <w:iCs w:val="1"/>
                <w:color w:val="auto"/>
              </w:rPr>
              <w:t>Taxes on income</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w:t>
            </w: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The following is a summary of the second quarter 2009 charges:</w:t>
            </w: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7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7"/>
          </w:tcPr>
          <w:p>
            <w:pPr>
              <w:ind w:left="80"/>
              <w:spacing w:after="0"/>
              <w:rPr>
                <w:sz w:val="20"/>
                <w:szCs w:val="20"/>
                <w:color w:val="auto"/>
              </w:rPr>
            </w:pPr>
            <w:r>
              <w:rPr>
                <w:rFonts w:ascii="Arial" w:cs="Arial" w:eastAsia="Arial" w:hAnsi="Arial"/>
                <w:sz w:val="14"/>
                <w:szCs w:val="14"/>
                <w:i w:val="1"/>
                <w:iCs w:val="1"/>
                <w:color w:val="auto"/>
                <w:w w:val="95"/>
              </w:rPr>
              <w:t>(Stated in millions)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5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4"/>
              </w:rPr>
              <w:t>Pretax</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74"/>
              </w:rPr>
              <w:t>Tax</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Workforce reductions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85</w:t>
            </w:r>
          </w:p>
        </w:tc>
        <w:tc>
          <w:tcPr>
            <w:tcW w:w="2920" w:type="dxa"/>
            <w:vAlign w:val="bottom"/>
            <w:gridSpan w:val="3"/>
            <w:shd w:val="clear" w:color="auto" w:fill="CCEEFF"/>
          </w:tcPr>
          <w:p>
            <w:pPr>
              <w:jc w:val="center"/>
              <w:ind w:right="652"/>
              <w:spacing w:after="0"/>
              <w:rPr>
                <w:sz w:val="20"/>
                <w:szCs w:val="20"/>
                <w:color w:val="auto"/>
              </w:rPr>
            </w:pPr>
            <w:r>
              <w:rPr>
                <w:rFonts w:ascii="Arial" w:cs="Arial" w:eastAsia="Arial" w:hAnsi="Arial"/>
                <w:sz w:val="18"/>
                <w:szCs w:val="18"/>
                <w:i w:val="1"/>
                <w:iCs w:val="1"/>
                <w:color w:val="auto"/>
                <w:w w:val="91"/>
              </w:rPr>
              <w:t>Restructuring &amp; other</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Postretirement benefits curtailment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w w:val="79"/>
              </w:rPr>
              <w:t>122</w:t>
            </w:r>
          </w:p>
        </w:tc>
        <w:tc>
          <w:tcPr>
            <w:tcW w:w="2920" w:type="dxa"/>
            <w:vAlign w:val="bottom"/>
            <w:gridSpan w:val="3"/>
          </w:tcPr>
          <w:p>
            <w:pPr>
              <w:jc w:val="center"/>
              <w:ind w:right="652"/>
              <w:spacing w:after="0"/>
              <w:rPr>
                <w:sz w:val="20"/>
                <w:szCs w:val="20"/>
                <w:color w:val="auto"/>
              </w:rPr>
            </w:pPr>
            <w:r>
              <w:rPr>
                <w:rFonts w:ascii="Arial" w:cs="Arial" w:eastAsia="Arial" w:hAnsi="Arial"/>
                <w:sz w:val="18"/>
                <w:szCs w:val="18"/>
                <w:i w:val="1"/>
                <w:iCs w:val="1"/>
                <w:color w:val="auto"/>
                <w:w w:val="91"/>
              </w:rPr>
              <w:t>Restructuring &amp; other</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207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SMITH PURCHASE ACCOUNTING</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connection with the Smith merger, Schlumberger recorded goodwill of $7.7 billion and identifiable intangible assets of $4.1 billion. In addition, an adjustment of $0.4 billion was recorded to increase Smith’s long-term fixed rate debt to its estimated fair value.</w:t>
      </w:r>
    </w:p>
    <w:p>
      <w:pPr>
        <w:spacing w:after="0" w:line="13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As a result of fair value adjustments to Smith’s acquired assets, Schlumberger will record annual pretax depreciation and amortization expense of approximately $200 million. Prior to the merger, Smith’s annual pretax amortization expense was approximately $50 million. Consequently, the merger will result in recurring incremental depreciation and amortization expense of approximately $150 million ($95 million after-tax or $0.07 per diluted share). This increased depreciation and amortization expense will be offset in part by an annual pretax reduction in interest expense of approximately $50 million ($30 million after-tax or $0.02 per diluted share) as a result of fair value adjustments relating to Smith’s long-term fixed rate debt. In total, the purchase accounting adjustments will result in an incremental net reduction to the annual earnings per share of the merged company of approximately $0.05 on an annual basis.</w:t>
      </w:r>
    </w:p>
    <w:p>
      <w:pPr>
        <w:spacing w:after="0" w:line="12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Included in Schlumberger’s third quarter 2010 results is pretax depreciation and amortization expense associated with fair value adjustments to Smith’s acquired assets of $16.5 million. Such amount is included in “Corporate and Other” and is not allocated to the segments. This expense was offset in part by a pretax reduction in interest expense during the quarter of approximately $6 million as a result of the previously mentioned fair value adjustment to debt.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Debt follow: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5"/>
          </w:tcPr>
          <w:p>
            <w:pPr>
              <w:spacing w:after="0"/>
              <w:rPr>
                <w:sz w:val="20"/>
                <w:szCs w:val="20"/>
                <w:color w:val="auto"/>
              </w:rPr>
            </w:pPr>
            <w:r>
              <w:rPr>
                <w:rFonts w:ascii="Arial" w:cs="Arial" w:eastAsia="Arial" w:hAnsi="Arial"/>
                <w:sz w:val="14"/>
                <w:szCs w:val="14"/>
                <w:i w:val="1"/>
                <w:iCs w:val="1"/>
                <w:color w:val="auto"/>
                <w:w w:val="95"/>
              </w:rPr>
              <w:t>(Stated in millions)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Sept. 30,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Sept. 30,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year</w:t>
            </w:r>
          </w:p>
        </w:tc>
        <w:tc>
          <w:tcPr>
            <w:tcW w:w="2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  (126)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3,222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2,344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1,951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1,848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Gain on investment in M-I SWACO</w:t>
            </w:r>
          </w:p>
        </w:tc>
        <w:tc>
          <w:tcPr>
            <w:tcW w:w="20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(1,270)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Non-cash charges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Non-cash postretirement benefits curtailment charge</w:t>
            </w:r>
          </w:p>
        </w:tc>
        <w:tc>
          <w:tcPr>
            <w:tcW w:w="1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136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Pension and other postretirement benefits expense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Pension and other postretirement benefits funding</w:t>
            </w:r>
          </w:p>
        </w:tc>
        <w:tc>
          <w:tcPr>
            <w:tcW w:w="20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(615)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(952)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of equity income over dividends received</w:t>
            </w:r>
          </w:p>
        </w:tc>
        <w:tc>
          <w:tcPr>
            <w:tcW w:w="2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Stock-based compensation expense</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Increase in working capital</w:t>
            </w:r>
          </w:p>
        </w:tc>
        <w:tc>
          <w:tcPr>
            <w:tcW w:w="2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(607)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Capital expenditure</w:t>
            </w:r>
          </w:p>
        </w:tc>
        <w:tc>
          <w:tcPr>
            <w:tcW w:w="20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(1,907)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(1,719)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Multiclient seismic data capitalized</w:t>
            </w:r>
          </w:p>
        </w:tc>
        <w:tc>
          <w:tcPr>
            <w:tcW w:w="2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(241)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Dividends paid</w:t>
            </w:r>
          </w:p>
        </w:tc>
        <w:tc>
          <w:tcPr>
            <w:tcW w:w="20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(756)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(758)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repurchase program</w:t>
            </w:r>
          </w:p>
        </w:tc>
        <w:tc>
          <w:tcPr>
            <w:tcW w:w="2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(1,268)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Proceeds from employee stock plans</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292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156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debt assumed in merger with Smith</w:t>
            </w:r>
          </w:p>
        </w:tc>
        <w:tc>
          <w:tcPr>
            <w:tcW w:w="2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(1,829)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Geoservices acquisition, net of debt acquired</w:t>
            </w:r>
          </w:p>
        </w:tc>
        <w:tc>
          <w:tcPr>
            <w:tcW w:w="20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(1,033)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business acquisitions and minority interest investments</w:t>
            </w:r>
          </w:p>
        </w:tc>
        <w:tc>
          <w:tcPr>
            <w:tcW w:w="2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Conversion of debentures</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Translation effect on Net Debt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2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(3,511)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8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35"/>
        </w:trPr>
        <w:tc>
          <w:tcPr>
            <w:tcW w:w="6760" w:type="dxa"/>
            <w:vAlign w:val="bottom"/>
            <w:gridSpan w:val="5"/>
          </w:tcPr>
          <w:p>
            <w:pPr>
              <w:spacing w:after="0"/>
              <w:rPr>
                <w:sz w:val="20"/>
                <w:szCs w:val="20"/>
                <w:color w:val="auto"/>
              </w:rPr>
            </w:pPr>
            <w:r>
              <w:rPr>
                <w:rFonts w:ascii="Arial" w:cs="Arial" w:eastAsia="Arial" w:hAnsi="Arial"/>
                <w:sz w:val="18"/>
                <w:szCs w:val="18"/>
                <w:color w:val="auto"/>
              </w:rPr>
              <w:t>(1)   Includes multiclient seismic data costs.</w:t>
            </w: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4"/>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w w:val="97"/>
              </w:rPr>
              <w:t>(Stated in millions)</w:t>
            </w: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Sept. 30,</w:t>
            </w:r>
          </w:p>
        </w:tc>
        <w:tc>
          <w:tcPr>
            <w:tcW w:w="320" w:type="dxa"/>
            <w:vAlign w:val="bottom"/>
          </w:tcPr>
          <w:p>
            <w:pPr>
              <w:spacing w:after="0"/>
              <w:rPr>
                <w:sz w:val="12"/>
                <w:szCs w:val="12"/>
                <w:color w:val="auto"/>
              </w:rPr>
            </w:pPr>
          </w:p>
        </w:tc>
        <w:tc>
          <w:tcPr>
            <w:tcW w:w="6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Sept. 30,</w:t>
            </w:r>
          </w:p>
        </w:tc>
        <w:tc>
          <w:tcPr>
            <w:tcW w:w="580" w:type="dxa"/>
            <w:vAlign w:val="bottom"/>
          </w:tcPr>
          <w:p>
            <w:pPr>
              <w:spacing w:after="0"/>
              <w:rPr>
                <w:sz w:val="12"/>
                <w:szCs w:val="12"/>
                <w:color w:val="auto"/>
              </w:rPr>
            </w:pPr>
          </w:p>
        </w:tc>
        <w:tc>
          <w:tcPr>
            <w:tcW w:w="660" w:type="dxa"/>
            <w:vAlign w:val="bottom"/>
            <w:gridSpan w:val="4"/>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Dec. 31,</w:t>
            </w:r>
          </w:p>
        </w:tc>
      </w:tr>
      <w:tr>
        <w:trPr>
          <w:trHeight w:val="161"/>
        </w:trPr>
        <w:tc>
          <w:tcPr>
            <w:tcW w:w="460" w:type="dxa"/>
            <w:vAlign w:val="bottom"/>
          </w:tcPr>
          <w:p>
            <w:pPr>
              <w:spacing w:after="0"/>
              <w:rPr>
                <w:sz w:val="14"/>
                <w:szCs w:val="14"/>
                <w:color w:val="auto"/>
              </w:rPr>
            </w:pPr>
          </w:p>
        </w:tc>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Components of Net Debt</w:t>
            </w:r>
          </w:p>
        </w:tc>
        <w:tc>
          <w:tcPr>
            <w:tcW w:w="4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6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$ 1,114</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r>
      <w:tr>
        <w:trPr>
          <w:trHeight w:val="216"/>
        </w:trPr>
        <w:tc>
          <w:tcPr>
            <w:tcW w:w="460" w:type="dxa"/>
            <w:vAlign w:val="bottom"/>
          </w:tcPr>
          <w:p>
            <w:pPr>
              <w:spacing w:after="0"/>
              <w:rPr>
                <w:sz w:val="18"/>
                <w:szCs w:val="18"/>
                <w:color w:val="auto"/>
              </w:rPr>
            </w:pPr>
          </w:p>
        </w:tc>
        <w:tc>
          <w:tcPr>
            <w:tcW w:w="6300" w:type="dxa"/>
            <w:vAlign w:val="bottom"/>
            <w:gridSpan w:val="4"/>
          </w:tcPr>
          <w:p>
            <w:pPr>
              <w:spacing w:after="0"/>
              <w:rPr>
                <w:sz w:val="20"/>
                <w:szCs w:val="20"/>
                <w:color w:val="auto"/>
              </w:rPr>
            </w:pPr>
            <w:r>
              <w:rPr>
                <w:rFonts w:ascii="Arial" w:cs="Arial" w:eastAsia="Arial" w:hAnsi="Arial"/>
                <w:sz w:val="18"/>
                <w:szCs w:val="18"/>
                <w:color w:val="auto"/>
              </w:rPr>
              <w:t>Short-term investments</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1,511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3,707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75"/>
              </w:rPr>
              <w:t>3,999</w:t>
            </w:r>
          </w:p>
        </w:tc>
      </w:tr>
      <w:tr>
        <w:trPr>
          <w:trHeight w:val="216"/>
        </w:trPr>
        <w:tc>
          <w:tcPr>
            <w:tcW w:w="460" w:type="dxa"/>
            <w:vAlign w:val="bottom"/>
          </w:tcPr>
          <w:p>
            <w:pPr>
              <w:spacing w:after="0"/>
              <w:rPr>
                <w:sz w:val="18"/>
                <w:szCs w:val="18"/>
                <w:color w:val="auto"/>
              </w:rPr>
            </w:pPr>
          </w:p>
        </w:tc>
        <w:tc>
          <w:tcPr>
            <w:tcW w:w="6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r>
      <w:tr>
        <w:trPr>
          <w:trHeight w:val="216"/>
        </w:trPr>
        <w:tc>
          <w:tcPr>
            <w:tcW w:w="460" w:type="dxa"/>
            <w:vAlign w:val="bottom"/>
          </w:tcPr>
          <w:p>
            <w:pPr>
              <w:spacing w:after="0"/>
              <w:rPr>
                <w:sz w:val="18"/>
                <w:szCs w:val="18"/>
                <w:color w:val="auto"/>
              </w:rPr>
            </w:pPr>
          </w:p>
        </w:tc>
        <w:tc>
          <w:tcPr>
            <w:tcW w:w="6300" w:type="dxa"/>
            <w:vAlign w:val="bottom"/>
            <w:gridSpan w:val="4"/>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20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(1,916)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(879)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(804)</w:t>
            </w:r>
          </w:p>
        </w:tc>
      </w:tr>
      <w:tr>
        <w:trPr>
          <w:trHeight w:val="216"/>
        </w:trPr>
        <w:tc>
          <w:tcPr>
            <w:tcW w:w="460" w:type="dxa"/>
            <w:vAlign w:val="bottom"/>
          </w:tcPr>
          <w:p>
            <w:pPr>
              <w:spacing w:after="0"/>
              <w:rPr>
                <w:sz w:val="18"/>
                <w:szCs w:val="18"/>
                <w:color w:val="auto"/>
              </w:rPr>
            </w:pPr>
          </w:p>
        </w:tc>
        <w:tc>
          <w:tcPr>
            <w:tcW w:w="6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Convertible debentures</w:t>
            </w:r>
          </w:p>
        </w:tc>
        <w:tc>
          <w:tcPr>
            <w:tcW w:w="11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(321)</w:t>
            </w:r>
          </w:p>
        </w:tc>
      </w:tr>
      <w:tr>
        <w:trPr>
          <w:trHeight w:val="216"/>
        </w:trPr>
        <w:tc>
          <w:tcPr>
            <w:tcW w:w="460" w:type="dxa"/>
            <w:vAlign w:val="bottom"/>
          </w:tcPr>
          <w:p>
            <w:pPr>
              <w:spacing w:after="0"/>
              <w:rPr>
                <w:sz w:val="18"/>
                <w:szCs w:val="18"/>
                <w:color w:val="auto"/>
              </w:rPr>
            </w:pPr>
          </w:p>
        </w:tc>
        <w:tc>
          <w:tcPr>
            <w:tcW w:w="630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(4,820)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(4,313)</w:t>
            </w:r>
          </w:p>
        </w:tc>
        <w:tc>
          <w:tcPr>
            <w:tcW w:w="1240" w:type="dxa"/>
            <w:vAlign w:val="bottom"/>
            <w:gridSpan w:val="5"/>
          </w:tcPr>
          <w:p>
            <w:pPr>
              <w:jc w:val="right"/>
              <w:ind w:right="40"/>
              <w:spacing w:after="0"/>
              <w:rPr>
                <w:sz w:val="20"/>
                <w:szCs w:val="20"/>
                <w:color w:val="auto"/>
              </w:rPr>
            </w:pPr>
            <w:r>
              <w:rPr>
                <w:rFonts w:ascii="Arial" w:cs="Arial" w:eastAsia="Arial" w:hAnsi="Arial"/>
                <w:sz w:val="18"/>
                <w:szCs w:val="18"/>
                <w:color w:val="auto"/>
              </w:rPr>
              <w:t>(4,355)</w:t>
            </w: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u w:val="single" w:color="auto"/>
                <w:color w:val="auto"/>
                <w:w w:val="80"/>
              </w:rPr>
              <w:t>$</w:t>
            </w:r>
            <w:r>
              <w:rPr>
                <w:rFonts w:ascii="Arial" w:cs="Arial" w:eastAsia="Arial" w:hAnsi="Arial"/>
                <w:sz w:val="18"/>
                <w:szCs w:val="18"/>
                <w:b w:val="1"/>
                <w:bCs w:val="1"/>
                <w:color w:val="auto"/>
                <w:w w:val="80"/>
              </w:rPr>
              <w:t xml:space="preserve"> (3,511)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(126)</w:t>
            </w: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nine months of 2010 and 2009 included:</w:t>
      </w:r>
    </w:p>
    <w:p>
      <w:pPr>
        <w:spacing w:after="0" w:line="90" w:lineRule="exact"/>
        <w:rPr>
          <w:sz w:val="20"/>
          <w:szCs w:val="20"/>
          <w:color w:val="auto"/>
        </w:rPr>
      </w:pPr>
    </w:p>
    <w:p>
      <w:pPr>
        <w:ind w:left="900" w:right="20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a result of the Smith merger, Schlumberger assumed net debt of $1.8 billion. This amount consisted of $2.2 billion of debt (including a $0.4 billion adjustment to increase Smith’s long-term fixed rate debt to its estimated fair value) and $0.4 billion of cash.</w:t>
      </w:r>
    </w:p>
    <w:p>
      <w:pPr>
        <w:spacing w:after="0" w:line="7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24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right="1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During the second quarter of 2010, Schlumberger completed the acquisition of Geoservices for cash of $0.9 billion. Schlumberger assumed net debt of $0.1 billion in connection with this transaction.</w:t>
      </w:r>
    </w:p>
    <w:p>
      <w:pPr>
        <w:spacing w:after="0" w:line="50" w:lineRule="exact"/>
        <w:rPr>
          <w:rFonts w:ascii="Arial" w:cs="Arial" w:eastAsia="Arial" w:hAnsi="Arial"/>
          <w:sz w:val="18"/>
          <w:szCs w:val="18"/>
          <w:color w:val="auto"/>
        </w:rPr>
      </w:pPr>
    </w:p>
    <w:p>
      <w:pPr>
        <w:ind w:left="900" w:right="460" w:hanging="446"/>
        <w:spacing w:after="0" w:line="357" w:lineRule="auto"/>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On April 17, 2008, the Schlumberger Board of Directors approved an $8 billion share repurchase program for shares of Schlumberger common stock, to be acquired in the open market before December 31, 2011, of which $2.70 billion had been repurchased as of September 30, 2010.</w:t>
      </w:r>
    </w:p>
    <w:p>
      <w:pPr>
        <w:ind w:left="900"/>
        <w:spacing w:after="0"/>
        <w:rPr>
          <w:rFonts w:ascii="Arial" w:cs="Arial" w:eastAsia="Arial" w:hAnsi="Arial"/>
          <w:sz w:val="15"/>
          <w:szCs w:val="15"/>
          <w:color w:val="auto"/>
        </w:rPr>
      </w:pPr>
      <w:r>
        <w:rPr>
          <w:rFonts w:ascii="Arial" w:cs="Arial" w:eastAsia="Arial" w:hAnsi="Arial"/>
          <w:sz w:val="16"/>
          <w:szCs w:val="16"/>
          <w:color w:val="auto"/>
        </w:rPr>
        <w:t>The following table summarizes the activity, during the nine months ended September 30, 2010, under the April 17, 2008 share repurchase program:</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20" w:type="dxa"/>
            <w:vAlign w:val="bottom"/>
            <w:gridSpan w:val="6"/>
          </w:tcPr>
          <w:p>
            <w:pPr>
              <w:ind w:left="260"/>
              <w:spacing w:after="0"/>
              <w:rPr>
                <w:sz w:val="20"/>
                <w:szCs w:val="20"/>
                <w:color w:val="auto"/>
              </w:rPr>
            </w:pPr>
            <w:r>
              <w:rPr>
                <w:rFonts w:ascii="Arial" w:cs="Arial" w:eastAsia="Arial" w:hAnsi="Arial"/>
                <w:sz w:val="14"/>
                <w:szCs w:val="14"/>
                <w:i w:val="1"/>
                <w:iCs w:val="1"/>
                <w:color w:val="auto"/>
                <w:w w:val="88"/>
              </w:rPr>
              <w:t>(Stated in thousands except per share amounts)</w:t>
            </w:r>
          </w:p>
        </w:tc>
      </w:tr>
      <w:tr>
        <w:trPr>
          <w:trHeight w:val="149"/>
        </w:trPr>
        <w:tc>
          <w:tcPr>
            <w:tcW w:w="56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Total cost</w:t>
            </w:r>
          </w:p>
        </w:tc>
        <w:tc>
          <w:tcPr>
            <w:tcW w:w="4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6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of shares</w:t>
            </w:r>
          </w:p>
        </w:tc>
        <w:tc>
          <w:tcPr>
            <w:tcW w:w="4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shares</w:t>
            </w:r>
          </w:p>
        </w:tc>
        <w:tc>
          <w:tcPr>
            <w:tcW w:w="72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4"/>
              </w:rPr>
              <w:t>Average price</w:t>
            </w:r>
          </w:p>
        </w:tc>
      </w:tr>
      <w:tr>
        <w:trPr>
          <w:trHeight w:val="161"/>
        </w:trPr>
        <w:tc>
          <w:tcPr>
            <w:tcW w:w="56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7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paid per share</w:t>
            </w: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2010</w:t>
            </w: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$1,267,715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20,569.5</w:t>
            </w:r>
          </w:p>
        </w:tc>
        <w:tc>
          <w:tcPr>
            <w:tcW w:w="7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Schlumberger did not repurchase any shares during the nine months ended September 30, 2009.</w:t>
      </w:r>
    </w:p>
    <w:p>
      <w:pPr>
        <w:spacing w:after="0" w:line="90" w:lineRule="exact"/>
        <w:rPr>
          <w:sz w:val="20"/>
          <w:szCs w:val="20"/>
          <w:color w:val="auto"/>
        </w:rPr>
      </w:pPr>
    </w:p>
    <w:p>
      <w:pPr>
        <w:ind w:left="900" w:right="4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first nine months of 2010 Schlumberger made contributions of $615 million to its defined benefit pension plans as compared to $952 million during the same period last year.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Cash flow provided by operations was $3.1 billion in the first nine months of 2010 compared to $3.3 billion in the first nine months of 2009.</w:t>
      </w:r>
    </w:p>
    <w:p>
      <w:pPr>
        <w:spacing w:after="0" w:line="113" w:lineRule="exact"/>
        <w:rPr>
          <w:rFonts w:ascii="Arial" w:cs="Arial" w:eastAsia="Arial" w:hAnsi="Arial"/>
          <w:sz w:val="16"/>
          <w:szCs w:val="16"/>
          <w:color w:val="auto"/>
        </w:rPr>
      </w:pPr>
    </w:p>
    <w:p>
      <w:pPr>
        <w:ind w:left="900" w:right="48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Capital expenditures were $1.9 billion in the first nine months of 2010 compared to $1.7 billion during the first nine months of 2009. Capital expenditures for the full year of 2010 are expected to approach $3.1 billion (inclusive of approximately $260 million relating to four months of activity of the acquired Smith businesses) as compared to $2.4 billion in 2009.</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third quarter of 2010, Schlumberger repurchased $352 million of its $650 million 6.50% Notes due 2012. The premium paid to repurchase these notes was approximately $32 million. Schlumberger expects to repurchase the remaining $298 million of the notes during the fourth quarter of 2010.</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third quarter of 2010, Schlumberger repurchased $98 million of the 6.75% Senior Notes due 2011 which were assumed in the Smith transaction. Schlumberger expects to spend approximately $430 million during the fourth quarter of 2010 to repurchase a further portion of the long-term debt assumed in the Smith transaction.</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During the first nine months of 2010, $320 million of the 2.125% Series B Convertible Debentures due June 1, 2023 were converted by holders into 8.0 million shares of Schlumberger common stock and the remaining $1 million of outstanding Series B debentures were redeemed for cash.</w:t>
      </w:r>
    </w:p>
    <w:p>
      <w:pPr>
        <w:spacing w:after="0" w:line="4"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first quarter of 2009, Schlumberger entered into a €3.0 billion Euro Medium Term Note program. This program provides for the issuance of various types of debt instruments such as fixed or floating rate notes in Euro, US dollar or other currencies.</w:t>
      </w:r>
    </w:p>
    <w:p>
      <w:pPr>
        <w:spacing w:after="0" w:line="5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first quarter of 2009, Schlumberger issued €1.0 billion 4.50% Guaranteed Notes due 2014 under this program. Schlumberger entered into agreements to swap these euro notes for US dollars on the date of issue until maturity, effectively making this a US dollar denominated debt on which Schlumberger will pay interest in US dollars at a rate of 4.95%. The proceeds from these notes were used to refinance existing debt obligations and for general corporate purposes.</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September 30, 2010 Schlumberger had $2.6 billion of cash and short-term investments on hand. Schlumberger had separate committed debt facility agreements aggregating $4.5 billion with commercial banks, of which $3.2 billion was available and unused as of September 30, 2010. This included $1.6 billion of unused committed facilities which support commercial paper borrowings in the United States and Europe.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Schlumberger believes that these amounts are sufficient to meet future business requirements for at least the next twelve months.</w:t>
      </w:r>
    </w:p>
    <w:p>
      <w:pPr>
        <w:spacing w:after="0" w:line="17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Schlumberger’s total outstanding debt at September 30, 2010 was $6.7 billion and included $0.8 billion of commercial paper borrowings. Excluding the previously mentioned $320 million of convertible debentures that were converted into Schlumberger common stock, the total outstanding debt increased $1.6 billion compared to December 31, 2009.</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current portion of long-term debt increased from $0.4 billion at December 31, 2009 to $1.5 billion at September 30, 2010. This increase is primarily due to $0.7 billion of debt assumed in the Smith transaction that is expected to be repaid within the next twelve months as well as the fact that the remaining $0.3 billion of Schlumberger’s 6.50% Notes due 2012 are now being classified as current.</w:t>
      </w:r>
    </w:p>
    <w:p>
      <w:pPr>
        <w:spacing w:after="0" w:line="14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non-current portion of long-term debt has increased $0.5 billion from December 31, 2009 to September 30, 2010. This increase is primarily attributable to $1.3 billion of debt assumed in the Smith transaction being classified as non-current offset by the impact of Schlumberger’s $650 million 6.50% Notes either being repaid or classified as current.</w:t>
      </w:r>
    </w:p>
    <w:p>
      <w:pPr>
        <w:spacing w:after="0" w:line="14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Although the functional currency of Schlumberger’s operations in Venezuela is the US dollar, a portion of the transactions are denominated in local currency. For financial reporting purposes, such transactions are remeasured into US dollars at the official exchange rate, which until January 2010 was fixed at 2.15 Venezuela bolivares fuertes per US dollars, despite significant inflation in recent periods. In January 2010, Venezuela’s currency was devalued and a new dual exchange rate system was announced. During the first quarter of 2010, Schlumberger began to apply an exchange rate of 4.3 Venezuelan bolivares fuertes per US dollar to its local currency denominated transactions in Venezuela. The devaluation did not have an immediate significant impact to Schlumberger. Further, although this devaluation does result in a reduction in the US dollar reported amount of local currency denominated revenues and expenses, the impact is not material to Schlumberger’s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the integration of both Smith and Geoservices into our business; the anticipated benefits of those transactions; oil and natural gas demand and production growth; oil and natural gas prices; operating margins; Schlumberger’s effective tax rate;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the current global economic downturn; changes in exploration and production spending by Schlumberger’s customers and changes in the level of oil and natural gas exploration and development; general economic and business conditions in key regions of the world; pricing erosion; seasonal factors; changes in government regulations and regulatory requirements, including those related to offshore oil and gas exploration, radioactive sources, explosives, chemicals, hydraulic fracturing services and climate-related initiatives; continuing operational delays or program reductions as of result of the recently-lifted drilling moratorium in the US Gulf of Mexico; the inability to successfully integrate the merged Smith and Geoservices businesses and to realize expected synergies; the inability to retain key employees; and other risks and uncertainties detailed in our third-quarter 2010 earnings release, our most recent Form 10-K, the Risk Factors section of this Form 10-Q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2009. Schlumberger’s exposure to market risk has not changed materially since December 31, 2009.</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quarter to which this report relates that has materially affected, or is reasonably likely to materially affect, Schlumberger’s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PART II.</w:t>
      </w:r>
      <w:r>
        <w:rPr>
          <w:sz w:val="20"/>
          <w:szCs w:val="20"/>
          <w:color w:val="auto"/>
        </w:rPr>
        <w:tab/>
      </w:r>
      <w:r>
        <w:rPr>
          <w:rFonts w:ascii="Arial" w:cs="Arial" w:eastAsia="Arial" w:hAnsi="Arial"/>
          <w:sz w:val="18"/>
          <w:szCs w:val="18"/>
          <w:b w:val="1"/>
          <w:bCs w:val="1"/>
          <w:u w:val="single" w:color="auto"/>
          <w:color w:val="auto"/>
        </w:rPr>
        <w:t>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with respect to Item 1 is set forth under Note 13 -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of the date of this filing, there have been no material changes from the risk factors previously disclosed in Part 1, Item 1A, of Schlumberger’s Annual Report on Form 10-K for the fiscal year ended December 31, 2009, except as follows:</w:t>
      </w:r>
    </w:p>
    <w:p>
      <w:pPr>
        <w:spacing w:after="0" w:line="207"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The merger with Smith will be dilutive to Schlumberger’s earnings per share in the near term, which may negatively affect the market price of Schlumberger common stock.</w:t>
      </w:r>
    </w:p>
    <w:p>
      <w:pPr>
        <w:spacing w:after="0" w:line="4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Our recently completed merger with Smith will be dilutive to earnings per share in the near term. Future events and conditions could decrease or delay any accretion, result in dilution or cause greater dilution than is currently expected, including adverse changes in:</w:t>
      </w:r>
    </w:p>
    <w:p>
      <w:pPr>
        <w:spacing w:after="0" w:line="5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energy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commodity prices for oil, natural gas and natural gas liquids;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production levels;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reserve levels;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laws and regulations affecting the energy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capital expenditure obligations;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Any dilution of, or decrease or delay of any accretion to, Schlumberger’s earnings per share could cause the price of Schlumberger’s common stock to decline.</w:t>
      </w:r>
    </w:p>
    <w:p>
      <w:pPr>
        <w:spacing w:after="0" w:line="269"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b w:val="1"/>
          <w:bCs w:val="1"/>
          <w:color w:val="auto"/>
        </w:rPr>
        <w:t>Our offshore oil and gas operations could be adversely impacted by the Deepwater Horizon drilling rig accident and resulting oil spill; changes in and compliance with restrictions or regulations on offshore drilling in the US Gulf of Mexico and in other areas around the world may adversely affect our business and operating results.</w:t>
      </w:r>
    </w:p>
    <w:p>
      <w:pPr>
        <w:spacing w:after="0" w:line="5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On April 20, 2010, a fire and explosion occurred onboard the semisubmersible drilling rig </w:t>
      </w:r>
      <w:r>
        <w:rPr>
          <w:rFonts w:ascii="Arial" w:cs="Arial" w:eastAsia="Arial" w:hAnsi="Arial"/>
          <w:sz w:val="16"/>
          <w:szCs w:val="16"/>
          <w:i w:val="1"/>
          <w:iCs w:val="1"/>
          <w:color w:val="auto"/>
        </w:rPr>
        <w:t>Deepwater Horizon</w:t>
      </w:r>
      <w:r>
        <w:rPr>
          <w:rFonts w:ascii="Arial" w:cs="Arial" w:eastAsia="Arial" w:hAnsi="Arial"/>
          <w:sz w:val="16"/>
          <w:szCs w:val="16"/>
          <w:color w:val="auto"/>
        </w:rPr>
        <w:t>, owned by Transocean Ltd. and under contract to a subsidiary of BP plc. As a result of the incident and related oil spill, the Secretary of the US Department of the Interior directed the Bureau of Ocean Energy Management, Regulation and Enforcement, or BOEM, to issue a suspension until November 30, 2010 of drilling activities for specified drilling configurations and technologies. Although this moratorium was lifted on October 12, 2010, effective immediately, we cannot predict with certainty when drilling operations will resume in the US Gulf of Mexico. The BOEM has also issued new guidelines and regulations regarding safety, environmental matters, drilling equipment and decommissioning applicable to drilling in the US Gulf of Mexico, and may take other additional steps that could increase the costs of exploration and production, reduce the area of operations and result in permitting delays.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At this time, we cannot predict with any certainty what further impact, if any, the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incident may have on the regulation of offshore oil and gas exploration and development activity, or on the cost or availability of insurance coverage to cover the risks of such operations. Ongoing effects of and delays from the lifted suspension of drilling activity in the US Gulf of Mexico, or the enactment of new or stricter regulations in the United States and other countries where we operate, could materially adversely affect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products and services could be reduced or eliminated by governmental regulation or a change in the law.</w:t>
      </w:r>
    </w:p>
    <w:p>
      <w:pPr>
        <w:spacing w:after="0" w:line="9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International, national, and state governments and agencies are currently evaluating and promulgating climate-related legislation and regulations that are focused on restricting greenhouse gas (“GHG”) emissions. In the United States, the Environmental Protection Agency (“EPA”) is taking steps to require monitoring and reporting of GHG emissions and to regulate GHGs as pollutants under the Clean Air Act (“CAA”). The EPA’s “Mandatory Reporting of Greenhouse Gases” rule established a comprehensive scheme of regulations that require monitoring and reporting of GHG emissions that began in 2010. Furthermore, the EPA recently proposed additional GHG reporting rules specifically for the oil and gas industry. The EPA has also published a final rule, the “Endangerment Finding,” finding that GHGs in the atmosphere endanger public health and welfare, and that emissions of GHGs from mobile sources cause or contribute to the GHG pollution. Following issuance of the Endangerment Finding, the EPA promulgated final motor vehicle GHG emission standards on April 1, 2010. The EPA has asserted that the final motor vehicle GHG emission standards will trigger construction and operating permit requirements for stationary sources. In addition, climate change legislation is pending in the United States Congress. These developments may curtail production and demand for fossil fuels such as oil and gas in areas of the world where our customers operate and thus adversely affect future demand for our services and products, which may in turn adversely affect future results of operations. Additionally, legislation to reduce greenhouse gases may have an adverse effect on our operations, including payment of additional costs due to carbon emissions. Higher carbon emission activities include transportation, including marine vessels, cement production (by third party suppliers), and electricity generation (by third party suppliers) as well as other activities. Finally, our business could be negatively affected by climate change related physical changes or changes in weather patterns, which could result in damages to or loss of our physical assets, impacts to our ability to conduct operations and/or disruption of our customers’ operations.</w:t>
      </w:r>
    </w:p>
    <w:p>
      <w:pPr>
        <w:spacing w:after="0" w:line="12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Legislation is pending in the United States Congress that would authorize the EPA to regulate hydraulic fracturing. The legislation would require the reporting and public disclosure of chemicals that could adversely affect drinking water supplies. In addition a number of states are evaluating the adoption of legislation or regulations governing hydraulic fracturing. Such regulations or legislation could reduce demand for pressure pumping services. If federal and/or state legislation or regulations were enacted, it could adversely affect our financial condition, results of operations and cash flows. We are unable to predict whether the proposed legislation, regulations, or any other proposals will ultimately be enacted.</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April 17, 2008, the Schlumberger Board of Directors approved an $8 billion share repurchase program for Schlumberger common stock, to be acquired in the open market before December 31,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program activity for the three months ended September 30, 2010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2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w w:val="99"/>
              </w:rPr>
              <w:t>(Stated in thousands, except per share amounts)</w:t>
            </w:r>
          </w:p>
        </w:tc>
      </w:tr>
      <w:tr>
        <w:trPr>
          <w:trHeight w:val="149"/>
        </w:trPr>
        <w:tc>
          <w:tcPr>
            <w:tcW w:w="5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 of</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84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Maximum value of</w:t>
            </w:r>
          </w:p>
        </w:tc>
      </w:tr>
      <w:tr>
        <w:trPr>
          <w:trHeight w:val="149"/>
        </w:trPr>
        <w:tc>
          <w:tcPr>
            <w:tcW w:w="5040" w:type="dxa"/>
            <w:vAlign w:val="bottom"/>
          </w:tcPr>
          <w:p>
            <w:pPr>
              <w:spacing w:after="0"/>
              <w:rPr>
                <w:sz w:val="12"/>
                <w:szCs w:val="12"/>
                <w:color w:val="auto"/>
              </w:rPr>
            </w:pPr>
          </w:p>
        </w:tc>
        <w:tc>
          <w:tcPr>
            <w:tcW w:w="16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85"/>
              </w:rPr>
              <w:t>Total number</w:t>
            </w:r>
          </w:p>
        </w:tc>
        <w:tc>
          <w:tcPr>
            <w:tcW w:w="1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as part of publicly</w:t>
            </w:r>
          </w:p>
        </w:tc>
        <w:tc>
          <w:tcPr>
            <w:tcW w:w="84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shares that may yet</w:t>
            </w:r>
          </w:p>
        </w:tc>
      </w:tr>
      <w:tr>
        <w:trPr>
          <w:trHeight w:val="149"/>
        </w:trPr>
        <w:tc>
          <w:tcPr>
            <w:tcW w:w="5040" w:type="dxa"/>
            <w:vAlign w:val="bottom"/>
          </w:tcPr>
          <w:p>
            <w:pPr>
              <w:spacing w:after="0"/>
              <w:rPr>
                <w:sz w:val="12"/>
                <w:szCs w:val="12"/>
                <w:color w:val="auto"/>
              </w:rPr>
            </w:pPr>
          </w:p>
        </w:tc>
        <w:tc>
          <w:tcPr>
            <w:tcW w:w="162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w w:val="99"/>
              </w:rPr>
              <w:t>of shares</w:t>
            </w:r>
          </w:p>
        </w:tc>
        <w:tc>
          <w:tcPr>
            <w:tcW w:w="120" w:type="dxa"/>
            <w:vAlign w:val="bottom"/>
          </w:tcPr>
          <w:p>
            <w:pPr>
              <w:spacing w:after="0"/>
              <w:rPr>
                <w:sz w:val="12"/>
                <w:szCs w:val="12"/>
                <w:color w:val="auto"/>
              </w:rPr>
            </w:pPr>
          </w:p>
        </w:tc>
        <w:tc>
          <w:tcPr>
            <w:tcW w:w="152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w w:val="91"/>
              </w:rPr>
              <w:t>paid per</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announced</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be purchased</w:t>
            </w:r>
          </w:p>
        </w:tc>
      </w:tr>
      <w:tr>
        <w:trPr>
          <w:trHeight w:val="161"/>
        </w:trPr>
        <w:tc>
          <w:tcPr>
            <w:tcW w:w="5040" w:type="dxa"/>
            <w:vAlign w:val="bottom"/>
          </w:tcPr>
          <w:p>
            <w:pPr>
              <w:spacing w:after="0"/>
              <w:rPr>
                <w:sz w:val="14"/>
                <w:szCs w:val="14"/>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3"/>
              </w:rPr>
              <w:t>purchased</w:t>
            </w:r>
          </w:p>
        </w:tc>
        <w:tc>
          <w:tcPr>
            <w:tcW w:w="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share</w:t>
            </w:r>
          </w:p>
        </w:tc>
        <w:tc>
          <w:tcPr>
            <w:tcW w:w="84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program</w:t>
            </w:r>
          </w:p>
        </w:tc>
        <w:tc>
          <w:tcPr>
            <w:tcW w:w="840" w:type="dxa"/>
            <w:vAlign w:val="bottom"/>
          </w:tcPr>
          <w:p>
            <w:pPr>
              <w:spacing w:after="0"/>
              <w:rPr>
                <w:sz w:val="14"/>
                <w:szCs w:val="14"/>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under the program</w:t>
            </w:r>
          </w:p>
        </w:tc>
        <w:tc>
          <w:tcPr>
            <w:tcW w:w="100" w:type="dxa"/>
            <w:vAlign w:val="bottom"/>
          </w:tcPr>
          <w:p>
            <w:pPr>
              <w:spacing w:after="0"/>
              <w:rPr>
                <w:sz w:val="14"/>
                <w:szCs w:val="14"/>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July 1 through July 31, 2010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2,593.3</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57.82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2,593.3</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5,543,798</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August 1 through August 31, 2010</w:t>
            </w:r>
          </w:p>
        </w:tc>
        <w:tc>
          <w:tcPr>
            <w:tcW w:w="16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5,543,798</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September 1 through September 30, 2010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4,241.4</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57.</w:t>
            </w:r>
            <w:r>
              <w:rPr>
                <w:rFonts w:ascii="Arial" w:cs="Arial" w:eastAsia="Arial" w:hAnsi="Arial"/>
                <w:sz w:val="18"/>
                <w:szCs w:val="18"/>
                <w:u w:val="single" w:color="auto"/>
                <w:color w:val="auto"/>
              </w:rPr>
              <w:t>97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4,241.4</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5,297,904</w:t>
            </w:r>
          </w:p>
        </w:tc>
        <w:tc>
          <w:tcPr>
            <w:tcW w:w="100" w:type="dxa"/>
            <w:vAlign w:val="bottom"/>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0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6,834.7</w:t>
            </w:r>
          </w:p>
        </w:tc>
        <w:tc>
          <w:tcPr>
            <w:tcW w:w="8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57.</w:t>
            </w:r>
            <w:r>
              <w:rPr>
                <w:rFonts w:ascii="Arial" w:cs="Arial" w:eastAsia="Arial" w:hAnsi="Arial"/>
                <w:sz w:val="18"/>
                <w:szCs w:val="18"/>
                <w:u w:val="single" w:color="auto"/>
                <w:color w:val="auto"/>
              </w:rPr>
              <w:t>91</w:t>
            </w:r>
          </w:p>
        </w:tc>
        <w:tc>
          <w:tcPr>
            <w:tcW w:w="1060" w:type="dxa"/>
            <w:vAlign w:val="bottom"/>
          </w:tcPr>
          <w:p>
            <w:pPr>
              <w:jc w:val="right"/>
              <w:spacing w:after="0"/>
              <w:rPr>
                <w:sz w:val="20"/>
                <w:szCs w:val="20"/>
                <w:color w:val="auto"/>
              </w:rPr>
            </w:pPr>
            <w:r>
              <w:rPr>
                <w:rFonts w:ascii="Arial" w:cs="Arial" w:eastAsia="Arial" w:hAnsi="Arial"/>
                <w:sz w:val="18"/>
                <w:szCs w:val="18"/>
                <w:color w:val="auto"/>
              </w:rPr>
              <w:t>6,834.7</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5"/>
          <w:szCs w:val="15"/>
          <w:b w:val="1"/>
          <w:bCs w:val="1"/>
          <w:u w:val="single" w:color="auto"/>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[Removed and Reserved].</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6"/>
          <w:szCs w:val="16"/>
          <w:b w:val="1"/>
          <w:bCs w:val="1"/>
          <w:u w:val="single" w:color="auto"/>
          <w:color w:val="auto"/>
        </w:rPr>
        <w:t>Other Information.</w:t>
      </w:r>
    </w:p>
    <w:p>
      <w:pPr>
        <w:spacing w:after="0" w:line="9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Prior to October 10, 2010, the Netherlands Antilles, together with Aruba and the Netherlands, formed the Kingdom of the Netherlands, with Curaçao being an island territory of the Netherlands Antilles. Under a constitutional restructuring of the Kingdom of the Netherlands agreed upon among the Netherlands Antilles, Aruba and the Netherlands, the Netherlands Antilles was dissolved effective October 10, 2010. Also effective October 10, 2010, Curaçao became an individual constitutional entity within the Kingdom of the Netherlands, having its own government and laws. As a result of the constitutional restructuring and the dissolution of the Netherlands Antilles, Netherlands Antilles law ceased to exist and Schlumberger Limited is now a Curaçao legal entity subject to Curaçao law. Although Curaçao has become a separate and autonomous country with its own laws and regulations, the civil and corporate Netherlands Antilles law as they applied to Schlumberger before October 10, 2010, did not change under the constitutional restructuring, nor are any material changes expected (other than non-substantive, technical changes to the laws). In effect, Curaçao has adopted the Netherlands Antilles civil and corporate law (to which Schlumberger Limited was subject) that was in effect prior to October 10, 2010.</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5"/>
          <w:szCs w:val="15"/>
          <w:b w:val="1"/>
          <w:bCs w:val="1"/>
          <w:u w:val="single" w:color="auto"/>
          <w:color w:val="auto"/>
        </w:rPr>
        <w:t>Exhibits.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Exhibit 3.1 - Articles of Incorporation of Schlumberger Limited (Schlumberger N.V.) (incorporated by reference to Exhibit 3.1 to Schlumberger’s Quarterly Report on Form 10-Q for the fiscal quarter ended March 31, 2006).</w:t>
      </w:r>
    </w:p>
    <w:p>
      <w:pPr>
        <w:spacing w:after="0" w:line="51"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Exhibit 3.2 - Amended and Restated Bylaws of Schlumberger Limited (Schlumberger N.V.) (incorporated by reference to Exhibit 3.1 to Schlumberger’s Current Report on Form 8-K filed on April 22, 2005).</w:t>
      </w:r>
    </w:p>
    <w:p>
      <w:pPr>
        <w:spacing w:after="0" w:line="51"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Exhibit 10.1 - Smith International, Inc. 1989 Long-Term Incentive Compensation Plan, as amended and restated effective January 1, 2008 (incorporated by reference to Annex C to Smith International, Inc.’s Proxy Statement filed on July 21, 2010). (+)</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Exhibit 10.2 - Smith International, Inc. Form of Nonstatutory Option Agreement as amended December 2006 (incorporated by reference to Exhibit 10.5 to Smith International Inc.’s Annual Report on Form 10-K for the year ended December 31, 2006). (+)</w:t>
      </w:r>
    </w:p>
    <w:p>
      <w:pPr>
        <w:spacing w:after="0" w:line="51" w:lineRule="exact"/>
        <w:rPr>
          <w:sz w:val="20"/>
          <w:szCs w:val="20"/>
          <w:color w:val="auto"/>
        </w:rPr>
      </w:pPr>
    </w:p>
    <w:p>
      <w:pPr>
        <w:ind w:left="600" w:hanging="136"/>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Exhibit 10.3 - Smith International, Inc. 2010 Form of Restricted Stock Unit Agreement. (+)</w:t>
      </w:r>
    </w:p>
    <w:p>
      <w:pPr>
        <w:spacing w:after="0" w:line="90" w:lineRule="exact"/>
        <w:rPr>
          <w:rFonts w:ascii="Arial" w:cs="Arial" w:eastAsia="Arial" w:hAnsi="Arial"/>
          <w:sz w:val="18"/>
          <w:szCs w:val="18"/>
          <w:color w:val="auto"/>
        </w:rPr>
      </w:pPr>
    </w:p>
    <w:p>
      <w:pPr>
        <w:ind w:left="460" w:right="440" w:firstLine="4"/>
        <w:spacing w:after="0" w:line="268" w:lineRule="auto"/>
        <w:tabs>
          <w:tab w:leader="none" w:pos="5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Exhibit 31.1 - Certification of Chief Executive Officer pursuant to Rule 13a-14(a) of the Securities Exchange Act of 1934, as amended, as adopted pursuant to Section 302 of the Sarbanes-Oxley Act of 2002.</w:t>
      </w:r>
    </w:p>
    <w:p>
      <w:pPr>
        <w:spacing w:after="0" w:line="50" w:lineRule="exact"/>
        <w:rPr>
          <w:rFonts w:ascii="Arial" w:cs="Arial" w:eastAsia="Arial" w:hAnsi="Arial"/>
          <w:sz w:val="18"/>
          <w:szCs w:val="18"/>
          <w:color w:val="auto"/>
        </w:rPr>
      </w:pPr>
    </w:p>
    <w:p>
      <w:pPr>
        <w:ind w:left="460" w:right="500" w:firstLine="4"/>
        <w:spacing w:after="0" w:line="268" w:lineRule="auto"/>
        <w:tabs>
          <w:tab w:leader="none" w:pos="5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Exhibit 31.2 - Certification of Chief Financial Officer pursuant to Rule 13a-14(a) of the Securities Exchange Act of 1934, as amended, as adopted pursuant to Section 302 of the Sarbanes-Oxley Act of 2002.</w:t>
      </w:r>
    </w:p>
    <w:p>
      <w:pPr>
        <w:spacing w:after="0" w:line="51" w:lineRule="exact"/>
        <w:rPr>
          <w:sz w:val="20"/>
          <w:szCs w:val="20"/>
          <w:color w:val="auto"/>
        </w:rPr>
      </w:pPr>
    </w:p>
    <w:p>
      <w:pPr>
        <w:ind w:left="460" w:right="160" w:firstLine="4"/>
        <w:spacing w:after="0" w:line="268" w:lineRule="auto"/>
        <w:tabs>
          <w:tab w:leader="none" w:pos="6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Exhibit 32.1 - Certification of Chief Executive Officer pursuant to 18 U.S.C. Section 1350, as adopted pursuant to Section 906 of the Sarbanes-Oxley Act of 2002.</w:t>
      </w:r>
    </w:p>
    <w:p>
      <w:pPr>
        <w:spacing w:after="0" w:line="50" w:lineRule="exact"/>
        <w:rPr>
          <w:rFonts w:ascii="Arial" w:cs="Arial" w:eastAsia="Arial" w:hAnsi="Arial"/>
          <w:sz w:val="18"/>
          <w:szCs w:val="18"/>
          <w:color w:val="auto"/>
        </w:rPr>
      </w:pPr>
    </w:p>
    <w:p>
      <w:pPr>
        <w:ind w:left="460" w:right="100" w:firstLine="4"/>
        <w:spacing w:after="0" w:line="268" w:lineRule="auto"/>
        <w:tabs>
          <w:tab w:leader="none" w:pos="6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Exhibit 32.2 - Certification Chief Financial Officer pursuant to 18 U.S.C. Section 1350, as adopted pursuant to Section 906 of the Sarbanes-Oxley Act of 2002.</w:t>
      </w:r>
    </w:p>
    <w:p>
      <w:pPr>
        <w:spacing w:after="0" w:line="50" w:lineRule="exact"/>
        <w:rPr>
          <w:rFonts w:ascii="Arial" w:cs="Arial" w:eastAsia="Arial" w:hAnsi="Arial"/>
          <w:sz w:val="18"/>
          <w:szCs w:val="18"/>
          <w:color w:val="auto"/>
        </w:rPr>
      </w:pPr>
    </w:p>
    <w:p>
      <w:pPr>
        <w:ind w:left="460" w:right="80" w:firstLine="4"/>
        <w:spacing w:after="0" w:line="306" w:lineRule="auto"/>
        <w:tabs>
          <w:tab w:leader="none" w:pos="6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Exhibit 101 - The following materials from Schlumberger Limited’s Quarterly Report on Form 10-Q for the quarter ended September 30, 2010, formatted in XBRL (Extensible Business Reporting Language): (i) Consolidated Statement of Income, (ii) Consolidated Balance Sheet, (iii) Consolidated Statement of Cash Flows, (iv) Consolidated Statement of Equity and (v) Notes to Consolidated Financial Statements.</w:t>
      </w:r>
    </w:p>
    <w:p>
      <w:pPr>
        <w:spacing w:after="0" w:line="9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with this Form 10-Q.</w:t>
      </w:r>
    </w:p>
    <w:p>
      <w:pPr>
        <w:spacing w:after="0" w:line="15"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Furnished with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-292735</wp:posOffset>
            </wp:positionV>
            <wp:extent cx="7200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contracts or compensatory plans or arrangements.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SIGNATURE</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8" w:lineRule="exact"/>
        <w:rPr>
          <w:sz w:val="20"/>
          <w:szCs w:val="20"/>
          <w:color w:val="auto"/>
        </w:rPr>
      </w:pPr>
    </w:p>
    <w:p>
      <w:pPr>
        <w:spacing w:after="0"/>
        <w:tabs>
          <w:tab w:leader="none" w:pos="6160" w:val="left"/>
          <w:tab w:leader="none" w:pos="6500" w:val="left"/>
        </w:tabs>
        <w:rPr>
          <w:sz w:val="20"/>
          <w:szCs w:val="20"/>
          <w:color w:val="auto"/>
        </w:rPr>
      </w:pPr>
      <w:r>
        <w:rPr>
          <w:rFonts w:ascii="Arial" w:cs="Arial" w:eastAsia="Arial" w:hAnsi="Arial"/>
          <w:sz w:val="18"/>
          <w:szCs w:val="18"/>
          <w:color w:val="auto"/>
        </w:rPr>
        <w:t>Date: October 29, 2010</w:t>
      </w:r>
      <w:r>
        <w:rPr>
          <w:sz w:val="20"/>
          <w:szCs w:val="20"/>
          <w:color w:val="auto"/>
        </w:rPr>
        <w:tab/>
      </w:r>
      <w:r>
        <w:rPr>
          <w:rFonts w:ascii="Arial" w:cs="Arial" w:eastAsia="Arial" w:hAnsi="Arial"/>
          <w:sz w:val="18"/>
          <w:szCs w:val="18"/>
          <w:color w:val="auto"/>
        </w:rPr>
        <w:t>/s/</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Chief Accounting Officer and Duly Authorized Signatory</w:t>
      </w:r>
    </w:p>
    <w:p>
      <w:pPr>
        <w:spacing w:after="0" w:line="17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240" w:top="459" w:right="7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20"/>
                <w:szCs w:val="20"/>
                <w:color w:val="auto"/>
              </w:rPr>
            </w:pPr>
            <w:r>
              <w:rPr>
                <w:rFonts w:ascii="Arial" w:cs="Arial" w:eastAsia="Arial" w:hAnsi="Arial"/>
                <w:sz w:val="18"/>
                <w:szCs w:val="18"/>
                <w:b w:val="1"/>
                <w:bCs w:val="1"/>
                <w:color w:val="auto"/>
              </w:rPr>
              <w:t>Grantee:</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&lt;Name&gt;</w:t>
            </w: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6"/>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Employee Number:</w:t>
            </w:r>
          </w:p>
        </w:tc>
        <w:tc>
          <w:tcPr>
            <w:tcW w:w="3040" w:type="dxa"/>
            <w:vAlign w:val="bottom"/>
            <w:gridSpan w:val="4"/>
          </w:tcPr>
          <w:p>
            <w:pPr>
              <w:ind w:left="60"/>
              <w:spacing w:after="0"/>
              <w:rPr>
                <w:sz w:val="20"/>
                <w:szCs w:val="20"/>
                <w:color w:val="auto"/>
              </w:rPr>
            </w:pPr>
            <w:r>
              <w:rPr>
                <w:rFonts w:ascii="Arial" w:cs="Arial" w:eastAsia="Arial" w:hAnsi="Arial"/>
                <w:sz w:val="18"/>
                <w:szCs w:val="18"/>
                <w:color w:val="auto"/>
              </w:rPr>
              <w:t>&lt;Employee Number&gt;</w:t>
            </w: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080" w:type="dxa"/>
            <w:vAlign w:val="bottom"/>
          </w:tcPr>
          <w:p>
            <w:pPr>
              <w:spacing w:after="0"/>
              <w:rPr>
                <w:sz w:val="20"/>
                <w:szCs w:val="20"/>
                <w:color w:val="auto"/>
              </w:rPr>
            </w:pPr>
            <w:r>
              <w:rPr>
                <w:rFonts w:ascii="Arial" w:cs="Arial" w:eastAsia="Arial" w:hAnsi="Arial"/>
                <w:sz w:val="18"/>
                <w:szCs w:val="18"/>
                <w:b w:val="1"/>
                <w:bCs w:val="1"/>
                <w:color w:val="auto"/>
              </w:rPr>
              <w:t>Grant ID:</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&lt;ID&gt;</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08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1460" w:type="dxa"/>
            <w:vAlign w:val="bottom"/>
            <w:gridSpan w:val="2"/>
          </w:tcPr>
          <w:p>
            <w:pPr>
              <w:ind w:left="360"/>
              <w:spacing w:after="0"/>
              <w:rPr>
                <w:sz w:val="20"/>
                <w:szCs w:val="20"/>
                <w:color w:val="auto"/>
              </w:rPr>
            </w:pPr>
            <w:r>
              <w:rPr>
                <w:rFonts w:ascii="Arial" w:cs="Arial" w:eastAsia="Arial" w:hAnsi="Arial"/>
                <w:sz w:val="18"/>
                <w:szCs w:val="18"/>
                <w:color w:val="auto"/>
              </w:rPr>
              <w:t>&lt;GrantDate&gt;</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4980" w:type="dxa"/>
            <w:vAlign w:val="bottom"/>
            <w:gridSpan w:val="6"/>
          </w:tcPr>
          <w:p>
            <w:pPr>
              <w:spacing w:after="0"/>
              <w:rPr>
                <w:sz w:val="20"/>
                <w:szCs w:val="20"/>
                <w:color w:val="auto"/>
              </w:rPr>
            </w:pPr>
            <w:r>
              <w:rPr>
                <w:rFonts w:ascii="Arial" w:cs="Arial" w:eastAsia="Arial" w:hAnsi="Arial"/>
                <w:sz w:val="18"/>
                <w:szCs w:val="18"/>
                <w:b w:val="1"/>
                <w:bCs w:val="1"/>
                <w:color w:val="auto"/>
                <w:w w:val="93"/>
              </w:rPr>
              <w:t xml:space="preserve">Grant Expiration (10-years from Grant Date):  </w:t>
            </w:r>
            <w:r>
              <w:rPr>
                <w:rFonts w:ascii="Arial" w:cs="Arial" w:eastAsia="Arial" w:hAnsi="Arial"/>
                <w:sz w:val="18"/>
                <w:szCs w:val="18"/>
                <w:color w:val="auto"/>
                <w:w w:val="93"/>
              </w:rPr>
              <w:t>&lt;ExpirationDate&gt;</w:t>
            </w: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080" w:type="dxa"/>
            <w:vAlign w:val="bottom"/>
          </w:tcPr>
          <w:p>
            <w:pPr>
              <w:spacing w:after="0"/>
              <w:rPr>
                <w:sz w:val="20"/>
                <w:szCs w:val="20"/>
                <w:color w:val="auto"/>
              </w:rPr>
            </w:pPr>
            <w:r>
              <w:rPr>
                <w:rFonts w:ascii="Arial" w:cs="Arial" w:eastAsia="Arial" w:hAnsi="Arial"/>
                <w:sz w:val="18"/>
                <w:szCs w:val="18"/>
                <w:b w:val="1"/>
                <w:bCs w:val="1"/>
                <w:color w:val="auto"/>
              </w:rPr>
              <w:t>Grant Price:</w:t>
            </w:r>
          </w:p>
        </w:tc>
        <w:tc>
          <w:tcPr>
            <w:tcW w:w="860" w:type="dxa"/>
            <w:vAlign w:val="bottom"/>
          </w:tcPr>
          <w:p>
            <w:pPr>
              <w:jc w:val="right"/>
              <w:spacing w:after="0"/>
              <w:rPr>
                <w:sz w:val="20"/>
                <w:szCs w:val="20"/>
                <w:color w:val="auto"/>
              </w:rPr>
            </w:pPr>
            <w:r>
              <w:rPr>
                <w:rFonts w:ascii="Arial" w:cs="Arial" w:eastAsia="Arial" w:hAnsi="Arial"/>
                <w:sz w:val="18"/>
                <w:szCs w:val="18"/>
                <w:color w:val="auto"/>
              </w:rPr>
              <w:t>$0.00</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36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8"/>
              </w:rPr>
              <w:t>Grant Type: Time-Based Restricted Stock Units</w:t>
            </w:r>
          </w:p>
        </w:tc>
        <w:tc>
          <w:tcPr>
            <w:tcW w:w="138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7"/>
        </w:trPr>
        <w:tc>
          <w:tcPr>
            <w:tcW w:w="2540" w:type="dxa"/>
            <w:vAlign w:val="bottom"/>
            <w:gridSpan w:val="3"/>
          </w:tcPr>
          <w:p>
            <w:pPr>
              <w:spacing w:after="0"/>
              <w:rPr>
                <w:sz w:val="20"/>
                <w:szCs w:val="20"/>
                <w:color w:val="auto"/>
              </w:rPr>
            </w:pPr>
            <w:r>
              <w:rPr>
                <w:rFonts w:ascii="Arial" w:cs="Arial" w:eastAsia="Arial" w:hAnsi="Arial"/>
                <w:sz w:val="18"/>
                <w:szCs w:val="18"/>
                <w:b w:val="1"/>
                <w:bCs w:val="1"/>
                <w:color w:val="auto"/>
              </w:rPr>
              <w:t>Total Restricted Stock Units:</w:t>
            </w:r>
          </w:p>
        </w:tc>
        <w:tc>
          <w:tcPr>
            <w:tcW w:w="2440" w:type="dxa"/>
            <w:vAlign w:val="bottom"/>
            <w:gridSpan w:val="3"/>
          </w:tcPr>
          <w:p>
            <w:pPr>
              <w:ind w:left="160"/>
              <w:spacing w:after="0"/>
              <w:rPr>
                <w:sz w:val="20"/>
                <w:szCs w:val="20"/>
                <w:color w:val="auto"/>
              </w:rPr>
            </w:pPr>
            <w:r>
              <w:rPr>
                <w:rFonts w:ascii="Arial" w:cs="Arial" w:eastAsia="Arial" w:hAnsi="Arial"/>
                <w:sz w:val="18"/>
                <w:szCs w:val="18"/>
                <w:color w:val="auto"/>
              </w:rPr>
              <w:t>&lt;Total Units&gt;</w:t>
            </w: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0"/>
        </w:trPr>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w w:val="88"/>
              </w:rPr>
              <w:t>Vesting Date</w:t>
            </w:r>
          </w:p>
        </w:tc>
        <w:tc>
          <w:tcPr>
            <w:tcW w:w="1080" w:type="dxa"/>
            <w:vAlign w:val="bottom"/>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Units</w:t>
            </w:r>
          </w:p>
        </w:tc>
      </w:tr>
      <w:tr>
        <w:trPr>
          <w:trHeight w:val="20"/>
        </w:trPr>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line="202" w:lineRule="exact"/>
              <w:rPr>
                <w:sz w:val="20"/>
                <w:szCs w:val="20"/>
                <w:color w:val="auto"/>
              </w:rPr>
            </w:pPr>
            <w:r>
              <w:rPr>
                <w:rFonts w:ascii="Arial" w:cs="Arial" w:eastAsia="Arial" w:hAnsi="Arial"/>
                <w:sz w:val="18"/>
                <w:szCs w:val="18"/>
                <w:color w:val="auto"/>
                <w:w w:val="91"/>
              </w:rPr>
              <w:t>&lt;VestDate1&gt;</w:t>
            </w:r>
          </w:p>
        </w:tc>
        <w:tc>
          <w:tcPr>
            <w:tcW w:w="108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&lt;Installment1&gt;</w:t>
            </w:r>
          </w:p>
        </w:tc>
        <w:tc>
          <w:tcPr>
            <w:tcW w:w="20" w:type="dxa"/>
            <w:vAlign w:val="bottom"/>
          </w:tcPr>
          <w:p>
            <w:pPr>
              <w:spacing w:after="0"/>
              <w:rPr>
                <w:sz w:val="17"/>
                <w:szCs w:val="17"/>
                <w:color w:val="auto"/>
              </w:rPr>
            </w:pPr>
          </w:p>
        </w:tc>
      </w:tr>
      <w:tr>
        <w:trPr>
          <w:trHeight w:val="216"/>
        </w:trPr>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1"/>
              </w:rPr>
              <w:t>&lt;VestDate2&gt;</w:t>
            </w:r>
          </w:p>
        </w:tc>
        <w:tc>
          <w:tcPr>
            <w:tcW w:w="108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&lt;Installment2&gt;</w:t>
            </w:r>
          </w:p>
        </w:tc>
      </w:tr>
      <w:tr>
        <w:trPr>
          <w:trHeight w:val="216"/>
        </w:trPr>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1"/>
              </w:rPr>
              <w:t>&lt;VestDate3&gt;</w:t>
            </w:r>
          </w:p>
        </w:tc>
        <w:tc>
          <w:tcPr>
            <w:tcW w:w="108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&lt;Installment3&gt;</w:t>
            </w:r>
          </w:p>
        </w:tc>
      </w:tr>
      <w:tr>
        <w:trPr>
          <w:trHeight w:val="222"/>
        </w:trPr>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1"/>
              </w:rPr>
              <w:t>&lt;VestDate4&gt;</w:t>
            </w:r>
          </w:p>
        </w:tc>
        <w:tc>
          <w:tcPr>
            <w:tcW w:w="108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&lt;Installment4&gt;</w:t>
            </w:r>
          </w:p>
        </w:tc>
      </w:tr>
      <w:tr>
        <w:trPr>
          <w:trHeight w:val="224"/>
        </w:trPr>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tcPr>
          <w:p>
            <w:pPr>
              <w:spacing w:after="0"/>
              <w:rPr>
                <w:sz w:val="19"/>
                <w:szCs w:val="19"/>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&lt;Total Units&gt;</w:t>
            </w:r>
          </w:p>
        </w:tc>
        <w:tc>
          <w:tcPr>
            <w:tcW w:w="20" w:type="dxa"/>
            <w:vAlign w:val="bottom"/>
          </w:tcPr>
          <w:p>
            <w:pPr>
              <w:spacing w:after="0"/>
              <w:rPr>
                <w:sz w:val="19"/>
                <w:szCs w:val="19"/>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SMITH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15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 xml:space="preserve">THIS RESTRICTED STOCK UNIT AGREEMENT </w:t>
      </w:r>
      <w:r>
        <w:rPr>
          <w:rFonts w:ascii="Arial" w:cs="Arial" w:eastAsia="Arial" w:hAnsi="Arial"/>
          <w:sz w:val="16"/>
          <w:szCs w:val="16"/>
          <w:color w:val="auto"/>
        </w:rPr>
        <w:t>(this</w:t>
      </w:r>
      <w:r>
        <w:rPr>
          <w:rFonts w:ascii="Arial" w:cs="Arial" w:eastAsia="Arial" w:hAnsi="Arial"/>
          <w:sz w:val="16"/>
          <w:szCs w:val="16"/>
          <w:b w:val="1"/>
          <w:bCs w:val="1"/>
          <w:color w:val="auto"/>
        </w:rPr>
        <w:t xml:space="preserve"> “Agreement”</w:t>
      </w:r>
      <w:r>
        <w:rPr>
          <w:rFonts w:ascii="Arial" w:cs="Arial" w:eastAsia="Arial" w:hAnsi="Arial"/>
          <w:sz w:val="16"/>
          <w:szCs w:val="16"/>
          <w:color w:val="auto"/>
        </w:rPr>
        <w:t>) is made and entered into by and between Smith International, Inc., a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individual named above, an individual and Employee of the Company or one of its Subsidiaries (“</w:t>
      </w:r>
      <w:r>
        <w:rPr>
          <w:rFonts w:ascii="Arial" w:cs="Arial" w:eastAsia="Arial" w:hAnsi="Arial"/>
          <w:sz w:val="16"/>
          <w:szCs w:val="16"/>
          <w:b w:val="1"/>
          <w:bCs w:val="1"/>
          <w:color w:val="auto"/>
        </w:rPr>
        <w:t>Grantee</w:t>
      </w:r>
      <w:r>
        <w:rPr>
          <w:rFonts w:ascii="Arial" w:cs="Arial" w:eastAsia="Arial" w:hAnsi="Arial"/>
          <w:sz w:val="16"/>
          <w:szCs w:val="16"/>
          <w:color w:val="auto"/>
        </w:rPr>
        <w:t xml:space="preserve">”), on the issue date (or grant date) indicated above, subject to the terms and provisions of the Smith International, Inc., Third Amended and Restated 1989 Long-Term Incentive Compensation Plan, as amended from time to time (the </w:t>
      </w:r>
      <w:r>
        <w:rPr>
          <w:rFonts w:ascii="Arial" w:cs="Arial" w:eastAsia="Arial" w:hAnsi="Arial"/>
          <w:sz w:val="16"/>
          <w:szCs w:val="16"/>
          <w:b w:val="1"/>
          <w:bCs w:val="1"/>
          <w:color w:val="auto"/>
        </w:rPr>
        <w:t>“Plan”</w:t>
      </w:r>
      <w:r>
        <w:rPr>
          <w:rFonts w:ascii="Arial" w:cs="Arial" w:eastAsia="Arial" w:hAnsi="Arial"/>
          <w:sz w:val="16"/>
          <w:szCs w:val="16"/>
          <w:color w:val="auto"/>
        </w:rPr>
        <w:t>). The Plan is hereby incorporated herein in its entirety by this reference. Capitalized terms not otherwise defined in this Agreement shall have the meaning given to such terms in the Plan.</w:t>
      </w:r>
    </w:p>
    <w:p>
      <w:pPr>
        <w:spacing w:after="0" w:line="108"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Grantee is an Employee of the Company or one of its Subsidiaries, and in connection therewith, the Company desires to grant to Grantee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w:t>
      </w:r>
      <w:r>
        <w:rPr>
          <w:rFonts w:ascii="Arial" w:cs="Arial" w:eastAsia="Arial" w:hAnsi="Arial"/>
          <w:sz w:val="18"/>
          <w:szCs w:val="18"/>
          <w:b w:val="1"/>
          <w:bCs w:val="1"/>
          <w:color w:val="auto"/>
        </w:rPr>
        <w:t>“Units”</w:t>
      </w:r>
      <w:r>
        <w:rPr>
          <w:rFonts w:ascii="Arial" w:cs="Arial" w:eastAsia="Arial" w:hAnsi="Arial"/>
          <w:sz w:val="18"/>
          <w:szCs w:val="18"/>
          <w:color w:val="auto"/>
        </w:rPr>
        <w:t>), subject to the terms and conditions of this Agreement and the Plan, with a view to increasing Grantee’s interest in the Company’s success and growth; and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Grantee desires to be the holder of such Units subject to the terms and conditions of this Agreement;</w:t>
      </w:r>
    </w:p>
    <w:p>
      <w:pPr>
        <w:spacing w:after="0" w:line="90" w:lineRule="exact"/>
        <w:rPr>
          <w:sz w:val="20"/>
          <w:szCs w:val="20"/>
          <w:color w:val="auto"/>
        </w:rPr>
      </w:pPr>
    </w:p>
    <w:p>
      <w:pPr>
        <w:ind w:right="420"/>
        <w:spacing w:after="0" w:line="339"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mutual covenants and agreements contained herein, and other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sufficiency of which is hereby acknowledged, the parties hereto, intending to be legally bound hereby, agree as follows:</w:t>
      </w:r>
    </w:p>
    <w:p>
      <w:pPr>
        <w:spacing w:after="0" w:line="74" w:lineRule="exact"/>
        <w:rPr>
          <w:sz w:val="20"/>
          <w:szCs w:val="20"/>
          <w:color w:val="auto"/>
        </w:rPr>
      </w:pPr>
    </w:p>
    <w:p>
      <w:pPr>
        <w:ind w:right="80" w:firstLine="8"/>
        <w:spacing w:after="0" w:line="301" w:lineRule="auto"/>
        <w:tabs>
          <w:tab w:leader="none" w:pos="176"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Units. </w:t>
      </w:r>
      <w:r>
        <w:rPr>
          <w:rFonts w:ascii="Arial" w:cs="Arial" w:eastAsia="Arial" w:hAnsi="Arial"/>
          <w:sz w:val="16"/>
          <w:szCs w:val="16"/>
          <w:color w:val="auto"/>
        </w:rPr>
        <w:t>Subject to the terms and conditions of this Agreement and the Plan, the Company hereby grants to Grantee the number of units indicated</w:t>
      </w:r>
      <w:r>
        <w:rPr>
          <w:rFonts w:ascii="Arial" w:cs="Arial" w:eastAsia="Arial" w:hAnsi="Arial"/>
          <w:sz w:val="16"/>
          <w:szCs w:val="16"/>
          <w:b w:val="1"/>
          <w:bCs w:val="1"/>
          <w:color w:val="auto"/>
        </w:rPr>
        <w:t xml:space="preserve"> </w:t>
      </w:r>
      <w:r>
        <w:rPr>
          <w:rFonts w:ascii="Arial" w:cs="Arial" w:eastAsia="Arial" w:hAnsi="Arial"/>
          <w:sz w:val="16"/>
          <w:szCs w:val="16"/>
          <w:color w:val="auto"/>
        </w:rPr>
        <w:t>above. On any date, the value of each Unit shall be the Fair Market Value of one share of the Company’s Common Stock (“</w:t>
      </w:r>
      <w:r>
        <w:rPr>
          <w:rFonts w:ascii="Arial" w:cs="Arial" w:eastAsia="Arial" w:hAnsi="Arial"/>
          <w:sz w:val="16"/>
          <w:szCs w:val="16"/>
          <w:b w:val="1"/>
          <w:bCs w:val="1"/>
          <w:color w:val="auto"/>
        </w:rPr>
        <w:t>Share</w:t>
      </w:r>
      <w:r>
        <w:rPr>
          <w:rFonts w:ascii="Arial" w:cs="Arial" w:eastAsia="Arial" w:hAnsi="Arial"/>
          <w:sz w:val="16"/>
          <w:szCs w:val="16"/>
          <w:color w:val="auto"/>
        </w:rPr>
        <w:t>”), $1.00 par value, as determined pursuant to the Plan. Each Unit represents an unsecured promise of the Company to deliver Shares to Grantee pursuant to the terms and conditions of the Plan and this Agreement. As a holder of Units, Grantee has only the rights of a general unsecured creditor of the Company.</w:t>
      </w:r>
    </w:p>
    <w:p>
      <w:pPr>
        <w:sectPr>
          <w:pgSz w:w="11900" w:h="16838" w:orient="portrait"/>
          <w:cols w:equalWidth="0" w:num="1">
            <w:col w:w="11420"/>
          </w:cols>
          <w:pgMar w:left="240" w:top="125" w:right="239" w:bottom="1440" w:gutter="0" w:footer="0" w:header="0"/>
        </w:sectPr>
      </w:pPr>
    </w:p>
    <w:bookmarkStart w:id="44" w:name="page45"/>
    <w:bookmarkEnd w:id="44"/>
    <w:p>
      <w:pPr>
        <w:jc w:val="both"/>
        <w:ind w:right="360" w:firstLine="8"/>
        <w:spacing w:after="0" w:line="262" w:lineRule="auto"/>
        <w:tabs>
          <w:tab w:leader="none" w:pos="176"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Restrictions</w:t>
      </w:r>
      <w:r>
        <w:rPr>
          <w:rFonts w:ascii="Arial" w:cs="Arial" w:eastAsia="Arial" w:hAnsi="Arial"/>
          <w:sz w:val="18"/>
          <w:szCs w:val="18"/>
          <w:color w:val="auto"/>
        </w:rPr>
        <w:t>. Grantee shall not sell, assign, transfer, exchange, pledge, encumber, gift, devise, hypothecate or otherwise dispose of (collectively,</w:t>
      </w:r>
      <w:r>
        <w:rPr>
          <w:rFonts w:ascii="Arial" w:cs="Arial" w:eastAsia="Arial" w:hAnsi="Arial"/>
          <w:sz w:val="18"/>
          <w:szCs w:val="18"/>
          <w:b w:val="1"/>
          <w:bCs w:val="1"/>
          <w:color w:val="auto"/>
        </w:rPr>
        <w:t xml:space="preserve"> “Transfer”</w:t>
      </w:r>
      <w:r>
        <w:rPr>
          <w:rFonts w:ascii="Arial" w:cs="Arial" w:eastAsia="Arial" w:hAnsi="Arial"/>
          <w:sz w:val="18"/>
          <w:szCs w:val="18"/>
          <w:color w:val="auto"/>
        </w:rPr>
        <w:t>) any Units granted hereunder. Any purported Transfer of Units in breach of this Agreement shall be void and ineffective, and shall not operate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any interest or title in the purported transferee.</w:t>
      </w:r>
    </w:p>
    <w:p>
      <w:pPr>
        <w:spacing w:after="0" w:line="132" w:lineRule="exact"/>
        <w:rPr>
          <w:rFonts w:ascii="Arial" w:cs="Arial" w:eastAsia="Arial" w:hAnsi="Arial"/>
          <w:sz w:val="18"/>
          <w:szCs w:val="18"/>
          <w:b w:val="1"/>
          <w:bCs w:val="1"/>
          <w:color w:val="auto"/>
        </w:rPr>
      </w:pPr>
    </w:p>
    <w:p>
      <w:pPr>
        <w:ind w:left="180" w:hanging="172"/>
        <w:spacing w:after="0"/>
        <w:tabs>
          <w:tab w:leader="none" w:pos="1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Payment of Units</w:t>
      </w:r>
      <w:r>
        <w:rPr>
          <w:rFonts w:ascii="Arial" w:cs="Arial" w:eastAsia="Arial" w:hAnsi="Arial"/>
          <w:sz w:val="18"/>
          <w:szCs w:val="18"/>
          <w:color w:val="auto"/>
        </w:rPr>
        <w:t>.</w:t>
      </w:r>
    </w:p>
    <w:p>
      <w:pPr>
        <w:spacing w:after="0" w:line="177" w:lineRule="exact"/>
        <w:rPr>
          <w:rFonts w:ascii="Arial" w:cs="Arial" w:eastAsia="Arial" w:hAnsi="Arial"/>
          <w:sz w:val="18"/>
          <w:szCs w:val="18"/>
          <w:b w:val="1"/>
          <w:bCs w:val="1"/>
          <w:color w:val="auto"/>
        </w:rPr>
      </w:pPr>
    </w:p>
    <w:p>
      <w:pPr>
        <w:ind w:firstLine="464"/>
        <w:spacing w:after="0" w:line="323" w:lineRule="auto"/>
        <w:tabs>
          <w:tab w:leader="none" w:pos="695" w:val="left"/>
        </w:tabs>
        <w:numPr>
          <w:ilvl w:val="1"/>
          <w:numId w:val="40"/>
        </w:numPr>
        <w:rPr>
          <w:rFonts w:ascii="Arial" w:cs="Arial" w:eastAsia="Arial" w:hAnsi="Arial"/>
          <w:sz w:val="15"/>
          <w:szCs w:val="15"/>
          <w:color w:val="auto"/>
        </w:rPr>
      </w:pPr>
      <w:r>
        <w:rPr>
          <w:rFonts w:ascii="Arial" w:cs="Arial" w:eastAsia="Arial" w:hAnsi="Arial"/>
          <w:sz w:val="15"/>
          <w:szCs w:val="15"/>
          <w:i w:val="1"/>
          <w:iCs w:val="1"/>
          <w:u w:val="single" w:color="auto"/>
          <w:color w:val="auto"/>
        </w:rPr>
        <w:t>Vesting Generally</w:t>
      </w:r>
      <w:r>
        <w:rPr>
          <w:rFonts w:ascii="Arial" w:cs="Arial" w:eastAsia="Arial" w:hAnsi="Arial"/>
          <w:sz w:val="15"/>
          <w:szCs w:val="15"/>
          <w:color w:val="auto"/>
        </w:rPr>
        <w:t>. Grantee’s interest in the Units granted hereunder shall vest in accordance with the schedule above, conditioned on Grantee’s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continued employment with the Company or one of its Subsidiaries as of each such vesting date (the </w:t>
      </w:r>
      <w:r>
        <w:rPr>
          <w:rFonts w:ascii="Arial" w:cs="Arial" w:eastAsia="Arial" w:hAnsi="Arial"/>
          <w:sz w:val="15"/>
          <w:szCs w:val="15"/>
          <w:b w:val="1"/>
          <w:bCs w:val="1"/>
          <w:color w:val="auto"/>
        </w:rPr>
        <w:t>“Vesting Date”</w:t>
      </w:r>
      <w:r>
        <w:rPr>
          <w:rFonts w:ascii="Arial" w:cs="Arial" w:eastAsia="Arial" w:hAnsi="Arial"/>
          <w:sz w:val="15"/>
          <w:szCs w:val="15"/>
          <w:color w:val="auto"/>
        </w:rPr>
        <w:t xml:space="preserve">), except as provided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hereof; provided, however, that within ninety (90) days after the Units are granted, the Grantee must open a brokerage account with the brokerage firm or third-party administrator designated by the Company to receive the Shares obtained pursuant to </w:t>
      </w:r>
      <w:r>
        <w:rPr>
          <w:rFonts w:ascii="Arial" w:cs="Arial" w:eastAsia="Arial" w:hAnsi="Arial"/>
          <w:sz w:val="15"/>
          <w:szCs w:val="15"/>
          <w:u w:val="single" w:color="auto"/>
          <w:color w:val="auto"/>
        </w:rPr>
        <w:t>Section 3(b)</w:t>
      </w:r>
      <w:r>
        <w:rPr>
          <w:rFonts w:ascii="Arial" w:cs="Arial" w:eastAsia="Arial" w:hAnsi="Arial"/>
          <w:sz w:val="15"/>
          <w:szCs w:val="15"/>
          <w:color w:val="auto"/>
        </w:rPr>
        <w:t>, or such Units shall be forfeited and lapse without further notice.</w:t>
      </w:r>
    </w:p>
    <w:p>
      <w:pPr>
        <w:spacing w:after="0" w:line="97" w:lineRule="exact"/>
        <w:rPr>
          <w:rFonts w:ascii="Arial" w:cs="Arial" w:eastAsia="Arial" w:hAnsi="Arial"/>
          <w:sz w:val="15"/>
          <w:szCs w:val="15"/>
          <w:color w:val="auto"/>
        </w:rPr>
      </w:pPr>
    </w:p>
    <w:p>
      <w:pPr>
        <w:ind w:right="20" w:firstLine="464"/>
        <w:spacing w:after="0" w:line="291" w:lineRule="auto"/>
        <w:tabs>
          <w:tab w:leader="none" w:pos="705" w:val="left"/>
        </w:tabs>
        <w:numPr>
          <w:ilvl w:val="1"/>
          <w:numId w:val="40"/>
        </w:numPr>
        <w:rPr>
          <w:rFonts w:ascii="Arial" w:cs="Arial" w:eastAsia="Arial" w:hAnsi="Arial"/>
          <w:sz w:val="16"/>
          <w:szCs w:val="16"/>
          <w:color w:val="auto"/>
        </w:rPr>
      </w:pPr>
      <w:r>
        <w:rPr>
          <w:rFonts w:ascii="Arial" w:cs="Arial" w:eastAsia="Arial" w:hAnsi="Arial"/>
          <w:sz w:val="16"/>
          <w:szCs w:val="16"/>
          <w:i w:val="1"/>
          <w:iCs w:val="1"/>
          <w:u w:val="single" w:color="auto"/>
          <w:color w:val="auto"/>
        </w:rPr>
        <w:t>Settlement of Units</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6</w:t>
      </w:r>
      <w:r>
        <w:rPr>
          <w:rFonts w:ascii="Arial" w:cs="Arial" w:eastAsia="Arial" w:hAnsi="Arial"/>
          <w:sz w:val="16"/>
          <w:szCs w:val="16"/>
          <w:i w:val="1"/>
          <w:iCs w:val="1"/>
          <w:color w:val="auto"/>
        </w:rPr>
        <w:t xml:space="preserve"> </w:t>
      </w:r>
      <w:r>
        <w:rPr>
          <w:rFonts w:ascii="Arial" w:cs="Arial" w:eastAsia="Arial" w:hAnsi="Arial"/>
          <w:sz w:val="16"/>
          <w:szCs w:val="16"/>
          <w:color w:val="auto"/>
        </w:rPr>
        <w:t>hereof, the Company shall grant to Grantee within thirty (30) days after each Vesting Date, or such other 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upon which Units become vested as provided in this Agreement, a number of Shares equal to the number of such vested Units (provided Grantee has not terminated employment prior to such Vesting Date), unless otherwise provided under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Each vested Unit shall thus be exchanged by the Company for one Share, and such Unit shall be cancelled as of the effective time of such exchange as reflected on the Company’s stock records. All Shares delivered to or on behalf of Grantee in exchange for vested Units shall be free of any further vesting, transfer or other restrictions, except as may otherwise be required by securities law or other applicable law as determined by the Company.</w:t>
      </w:r>
    </w:p>
    <w:p>
      <w:pPr>
        <w:spacing w:after="0" w:line="120" w:lineRule="exact"/>
        <w:rPr>
          <w:rFonts w:ascii="Arial" w:cs="Arial" w:eastAsia="Arial" w:hAnsi="Arial"/>
          <w:sz w:val="16"/>
          <w:szCs w:val="16"/>
          <w:color w:val="auto"/>
        </w:rPr>
      </w:pPr>
    </w:p>
    <w:p>
      <w:pPr>
        <w:ind w:firstLine="464"/>
        <w:spacing w:after="0" w:line="291" w:lineRule="auto"/>
        <w:tabs>
          <w:tab w:leader="none" w:pos="695" w:val="left"/>
        </w:tabs>
        <w:numPr>
          <w:ilvl w:val="1"/>
          <w:numId w:val="40"/>
        </w:numPr>
        <w:rPr>
          <w:rFonts w:ascii="Arial" w:cs="Arial" w:eastAsia="Arial" w:hAnsi="Arial"/>
          <w:sz w:val="16"/>
          <w:szCs w:val="16"/>
          <w:color w:val="auto"/>
        </w:rPr>
      </w:pPr>
      <w:r>
        <w:rPr>
          <w:rFonts w:ascii="Arial" w:cs="Arial" w:eastAsia="Arial" w:hAnsi="Arial"/>
          <w:sz w:val="16"/>
          <w:szCs w:val="16"/>
          <w:i w:val="1"/>
          <w:iCs w:val="1"/>
          <w:u w:val="single" w:color="auto"/>
          <w:color w:val="auto"/>
        </w:rPr>
        <w:t>Dividends, Splits and Voting Rights</w:t>
      </w:r>
      <w:r>
        <w:rPr>
          <w:rFonts w:ascii="Arial" w:cs="Arial" w:eastAsia="Arial" w:hAnsi="Arial"/>
          <w:sz w:val="16"/>
          <w:szCs w:val="16"/>
          <w:i w:val="1"/>
          <w:iCs w:val="1"/>
          <w:color w:val="auto"/>
        </w:rPr>
        <w:t xml:space="preserve">. </w:t>
      </w:r>
      <w:r>
        <w:rPr>
          <w:rFonts w:ascii="Arial" w:cs="Arial" w:eastAsia="Arial" w:hAnsi="Arial"/>
          <w:sz w:val="16"/>
          <w:szCs w:val="16"/>
          <w:color w:val="auto"/>
        </w:rPr>
        <w:t>If the Company (i) declares a stock dividend or makes a distribution on Common Stock in Shares, (ii) subdivides or</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reclassifies outstanding Shares into a greater number of Shares or (iii) combines or reclassifies outstanding Shares into a smaller number of Shares, then the number of Units granted under this Agreement shall be proportionately increased or reduced, as applicable, so as to prevent the enlargement or dilution of Grantee’s rights and duties hereunder. The determination of the Compensation and Benefits Committee (the “</w:t>
      </w:r>
      <w:r>
        <w:rPr>
          <w:rFonts w:ascii="Arial" w:cs="Arial" w:eastAsia="Arial" w:hAnsi="Arial"/>
          <w:sz w:val="16"/>
          <w:szCs w:val="16"/>
          <w:b w:val="1"/>
          <w:bCs w:val="1"/>
          <w:color w:val="auto"/>
        </w:rPr>
        <w:t>Committee</w:t>
      </w:r>
      <w:r>
        <w:rPr>
          <w:rFonts w:ascii="Arial" w:cs="Arial" w:eastAsia="Arial" w:hAnsi="Arial"/>
          <w:sz w:val="16"/>
          <w:szCs w:val="16"/>
          <w:color w:val="auto"/>
        </w:rPr>
        <w:t xml:space="preserve">”) of the Company’s Board of Directors regarding such adjustments shall be binding. Until such time as Shares are actually delivered to Grantee in exchange for vested Units pursuant to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(above), Grantee shall have no voting, dividend or other ownership rights in such Shares.</w:t>
      </w:r>
    </w:p>
    <w:p>
      <w:pPr>
        <w:spacing w:after="0" w:line="114" w:lineRule="exact"/>
        <w:rPr>
          <w:rFonts w:ascii="Arial" w:cs="Arial" w:eastAsia="Arial" w:hAnsi="Arial"/>
          <w:sz w:val="16"/>
          <w:szCs w:val="16"/>
          <w:color w:val="auto"/>
        </w:rPr>
      </w:pPr>
    </w:p>
    <w:p>
      <w:pPr>
        <w:ind w:left="180" w:hanging="172"/>
        <w:spacing w:after="0"/>
        <w:tabs>
          <w:tab w:leader="none" w:pos="1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w:t>
      </w:r>
    </w:p>
    <w:p>
      <w:pPr>
        <w:spacing w:after="0" w:line="177" w:lineRule="exact"/>
        <w:rPr>
          <w:rFonts w:ascii="Arial" w:cs="Arial" w:eastAsia="Arial" w:hAnsi="Arial"/>
          <w:sz w:val="18"/>
          <w:szCs w:val="18"/>
          <w:b w:val="1"/>
          <w:bCs w:val="1"/>
          <w:color w:val="auto"/>
        </w:rPr>
      </w:pPr>
    </w:p>
    <w:p>
      <w:pPr>
        <w:ind w:right="160" w:firstLine="464"/>
        <w:spacing w:after="0" w:line="259" w:lineRule="auto"/>
        <w:tabs>
          <w:tab w:leader="none" w:pos="695" w:val="left"/>
        </w:tabs>
        <w:numPr>
          <w:ilvl w:val="1"/>
          <w:numId w:val="40"/>
        </w:numPr>
        <w:rPr>
          <w:rFonts w:ascii="Arial" w:cs="Arial" w:eastAsia="Arial" w:hAnsi="Arial"/>
          <w:sz w:val="18"/>
          <w:szCs w:val="18"/>
          <w:color w:val="auto"/>
        </w:rPr>
      </w:pPr>
      <w:r>
        <w:rPr>
          <w:rFonts w:ascii="Arial" w:cs="Arial" w:eastAsia="Arial" w:hAnsi="Arial"/>
          <w:sz w:val="18"/>
          <w:szCs w:val="18"/>
          <w:i w:val="1"/>
          <w:iCs w:val="1"/>
          <w:u w:val="single" w:color="auto"/>
          <w:color w:val="auto"/>
        </w:rPr>
        <w:t>Termination Due to Death or Disability</w:t>
      </w:r>
      <w:r>
        <w:rPr>
          <w:rFonts w:ascii="Arial" w:cs="Arial" w:eastAsia="Arial" w:hAnsi="Arial"/>
          <w:sz w:val="18"/>
          <w:szCs w:val="18"/>
          <w:color w:val="auto"/>
        </w:rPr>
        <w:t>. If Grantee’s employment with the Company or one of its Subsidiaries is terminated due to death or Disability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Grantee, then, in either such event, all outstanding Units hereunder shall become fully vested as of such termination date and payable to Grantee in Shares within thirty (30) days after such date.</w:t>
      </w:r>
    </w:p>
    <w:p>
      <w:pPr>
        <w:spacing w:after="0" w:line="14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4(a)</w:t>
      </w:r>
      <w:r>
        <w:rPr>
          <w:rFonts w:ascii="Arial" w:cs="Arial" w:eastAsia="Arial" w:hAnsi="Arial"/>
          <w:sz w:val="16"/>
          <w:szCs w:val="16"/>
          <w:color w:val="auto"/>
        </w:rPr>
        <w:t>, “Disability” means, as determined by the Committee in its discretion exercised in good faith, a physical or mental condition of Grantee that would entitle Grantee to payment of disability income payments under the Company’s long-term disability insurance policy or plan for employees, as then effective, if any; or in the event that Grantee is not covered, for whatever reason, under the Company’s long-term disability insurance policy or plan, “Disability” means a permanent and total disability as defined in Section 22(e)(3)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 determination of Disability may be made by a physician selected or approved by the Committee and, in this respect, Grantee must submit to any reasonable examination(s) required by such physician upon request in order to render an opinion regarding whether there is a Disability.</w:t>
      </w:r>
    </w:p>
    <w:p>
      <w:pPr>
        <w:spacing w:after="0" w:line="120" w:lineRule="exact"/>
        <w:rPr>
          <w:sz w:val="20"/>
          <w:szCs w:val="20"/>
          <w:color w:val="auto"/>
        </w:rPr>
      </w:pPr>
    </w:p>
    <w:p>
      <w:pPr>
        <w:ind w:right="260" w:firstLine="464"/>
        <w:spacing w:after="0" w:line="298" w:lineRule="auto"/>
        <w:tabs>
          <w:tab w:leader="none" w:pos="705" w:val="left"/>
        </w:tabs>
        <w:numPr>
          <w:ilvl w:val="0"/>
          <w:numId w:val="41"/>
        </w:numPr>
        <w:rPr>
          <w:rFonts w:ascii="Arial" w:cs="Arial" w:eastAsia="Arial" w:hAnsi="Arial"/>
          <w:sz w:val="16"/>
          <w:szCs w:val="16"/>
          <w:color w:val="auto"/>
        </w:rPr>
      </w:pPr>
      <w:r>
        <w:rPr>
          <w:rFonts w:ascii="Arial" w:cs="Arial" w:eastAsia="Arial" w:hAnsi="Arial"/>
          <w:sz w:val="16"/>
          <w:szCs w:val="16"/>
          <w:i w:val="1"/>
          <w:iCs w:val="1"/>
          <w:u w:val="single" w:color="auto"/>
          <w:color w:val="auto"/>
        </w:rPr>
        <w:t>Termination Other than Death or Disability</w:t>
      </w:r>
      <w:r>
        <w:rPr>
          <w:rFonts w:ascii="Arial" w:cs="Arial" w:eastAsia="Arial" w:hAnsi="Arial"/>
          <w:sz w:val="16"/>
          <w:szCs w:val="16"/>
          <w:color w:val="auto"/>
        </w:rPr>
        <w:t>. If Grantee’s employment with the Company or one of its Subsidiaries is voluntarily or involuntarily</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by the Company or one of its Subsidiaries or Grantee for any reason other than due to death or Disability, then Grantee shall immediately forfeit all Units which are not already vested as of such date. Upon the forfeiture of any Units hereunder, Grantee shall cease to have any rights in connection with such Units as of the date of such forfeiture. A transfer of employment by Grantee, without an</w:t>
      </w:r>
    </w:p>
    <w:p>
      <w:pPr>
        <w:sectPr>
          <w:pgSz w:w="11900" w:h="16838" w:orient="portrait"/>
          <w:cols w:equalWidth="0" w:num="1">
            <w:col w:w="11400"/>
          </w:cols>
          <w:pgMar w:left="240" w:top="341" w:right="259" w:bottom="1440" w:gutter="0" w:footer="0" w:header="0"/>
        </w:sectPr>
      </w:pPr>
    </w:p>
    <w:bookmarkStart w:id="45" w:name="page46"/>
    <w:bookmarkEnd w:id="4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interruption of employment service, between or among the Company and any Subsidiary of the Company shall not be considered a termination of employment for purposes of this Agreement.</w:t>
      </w:r>
    </w:p>
    <w:p>
      <w:pPr>
        <w:spacing w:after="0" w:line="132" w:lineRule="exact"/>
        <w:rPr>
          <w:sz w:val="20"/>
          <w:szCs w:val="20"/>
          <w:color w:val="auto"/>
        </w:rPr>
      </w:pPr>
    </w:p>
    <w:p>
      <w:pPr>
        <w:ind w:right="20" w:firstLine="464"/>
        <w:spacing w:after="0" w:line="289" w:lineRule="auto"/>
        <w:tabs>
          <w:tab w:leader="none" w:pos="695" w:val="left"/>
        </w:tabs>
        <w:numPr>
          <w:ilvl w:val="1"/>
          <w:numId w:val="42"/>
        </w:numPr>
        <w:rPr>
          <w:rFonts w:ascii="Arial" w:cs="Arial" w:eastAsia="Arial" w:hAnsi="Arial"/>
          <w:sz w:val="16"/>
          <w:szCs w:val="16"/>
          <w:color w:val="auto"/>
        </w:rPr>
      </w:pPr>
      <w:r>
        <w:rPr>
          <w:rFonts w:ascii="Arial" w:cs="Arial" w:eastAsia="Arial" w:hAnsi="Arial"/>
          <w:sz w:val="16"/>
          <w:szCs w:val="16"/>
          <w:i w:val="1"/>
          <w:iCs w:val="1"/>
          <w:u w:val="single" w:color="auto"/>
          <w:color w:val="auto"/>
        </w:rPr>
        <w:t>Change in Control</w:t>
      </w:r>
      <w:r>
        <w:rPr>
          <w:rFonts w:ascii="Arial" w:cs="Arial" w:eastAsia="Arial" w:hAnsi="Arial"/>
          <w:sz w:val="16"/>
          <w:szCs w:val="16"/>
          <w:color w:val="auto"/>
        </w:rPr>
        <w:t>. Notwithstanding the provisions of Section 3 and the foregoing provisions of this Section 4, in the event of a Change in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a Change in Control resulting from consummation of the transactions contemplated by the Agreement and Plan of Merger among Schlumberger Limited (“Schlumberger”), Turnberry Merger Sub Inc., and the Company, dated as of February 21, 2010 (the “Schlumberger Agreement”)), all unvested Units shall vest in full. Notwithstanding the provisions of Section 3, the foregoing provisions of this Section 4, and the provisions of the Plan, in the event of a Change in Control resulting from consummation of the transactions contemplated by the Schlumberger Agreement, no Units shall vest automatically upon such Change in Control (and such units shall instead be converted into Schlumberger stock units on the terms contemplated by the Schlumberger Agreement, provided that all unvested Units shall vest in full in the event that Grantee’s employment with the Company or one of its Subsidiaries is involuntarily terminated other than for Cause subsequent to such Change in Control (or otherwise under circumstances entitling Grantee to severance under an individual agreement).</w:t>
      </w:r>
    </w:p>
    <w:p>
      <w:pPr>
        <w:spacing w:after="0" w:line="112" w:lineRule="exact"/>
        <w:rPr>
          <w:rFonts w:ascii="Arial" w:cs="Arial" w:eastAsia="Arial" w:hAnsi="Arial"/>
          <w:sz w:val="16"/>
          <w:szCs w:val="16"/>
          <w:color w:val="auto"/>
        </w:rPr>
      </w:pPr>
    </w:p>
    <w:p>
      <w:pPr>
        <w:ind w:right="20" w:firstLine="8"/>
        <w:spacing w:after="0" w:line="301" w:lineRule="auto"/>
        <w:tabs>
          <w:tab w:leader="none" w:pos="176"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Grantee’s Representations. </w:t>
      </w:r>
      <w:r>
        <w:rPr>
          <w:rFonts w:ascii="Arial" w:cs="Arial" w:eastAsia="Arial" w:hAnsi="Arial"/>
          <w:sz w:val="16"/>
          <w:szCs w:val="16"/>
          <w:color w:val="auto"/>
        </w:rPr>
        <w:t>Notwithstanding any provision hereof to the contrary, Grantee hereby agrees and represents that Grantee will not acquire any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and that the Company will not be obligated to issue any Shares to Grantee hereunder, if the issuance of such Shares constitutes a violation by Grantee or the Company of any law or regulation of any governmental authority. Any determination in this regard that is made by the Committee, in good faith, shall be final and binding. The rights and obligations of the Company and Grantee are subject to all applicable laws and regulations.</w:t>
      </w:r>
    </w:p>
    <w:p>
      <w:pPr>
        <w:spacing w:after="0" w:line="103" w:lineRule="exact"/>
        <w:rPr>
          <w:rFonts w:ascii="Arial" w:cs="Arial" w:eastAsia="Arial" w:hAnsi="Arial"/>
          <w:sz w:val="16"/>
          <w:szCs w:val="16"/>
          <w:b w:val="1"/>
          <w:bCs w:val="1"/>
          <w:color w:val="auto"/>
        </w:rPr>
      </w:pPr>
    </w:p>
    <w:p>
      <w:pPr>
        <w:ind w:right="60" w:firstLine="8"/>
        <w:spacing w:after="0" w:line="288" w:lineRule="auto"/>
        <w:tabs>
          <w:tab w:leader="none" w:pos="176"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Tax Withholding. </w:t>
      </w:r>
      <w:r>
        <w:rPr>
          <w:rFonts w:ascii="Arial" w:cs="Arial" w:eastAsia="Arial" w:hAnsi="Arial"/>
          <w:sz w:val="16"/>
          <w:szCs w:val="16"/>
          <w:color w:val="auto"/>
        </w:rPr>
        <w:t>To the extent that the receipt of Shares hereunder results in compensation income to Grantee for local income tax purposes under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 the Company, in its complete discretion, is authorized to (a) withhold, at such time as determined by the Company, from any cash or other remuneration (including withholding from delivery to Grantee a number of Shares, based on the market value of such Shares, as of the applicable Vesting Date), or a combination thereof, then or thereafter payable to Grantee, the sum that the Company requires to meet its tax withholding obligations under applicable law or regulation (the “</w:t>
      </w:r>
      <w:r>
        <w:rPr>
          <w:rFonts w:ascii="Arial" w:cs="Arial" w:eastAsia="Arial" w:hAnsi="Arial"/>
          <w:sz w:val="16"/>
          <w:szCs w:val="16"/>
          <w:b w:val="1"/>
          <w:bCs w:val="1"/>
          <w:color w:val="auto"/>
        </w:rPr>
        <w:t>Withholding Liability</w:t>
      </w:r>
      <w:r>
        <w:rPr>
          <w:rFonts w:ascii="Arial" w:cs="Arial" w:eastAsia="Arial" w:hAnsi="Arial"/>
          <w:sz w:val="16"/>
          <w:szCs w:val="16"/>
          <w:color w:val="auto"/>
        </w:rPr>
        <w:t>”); (b) require Grantee to pay an amount, at such time as the Company shall specify, equal to the Withholding Liability in cash, by certified or cashier’s check payable to the Company, or in any other form acceptable to the Company; or (c) cause a sale or sales of Shares on behalf of Grantee pursuant to which all or a portion of the proceeds are paid to the Company to satisfy the Withholding Liability and all remaining proceeds (if any) are delivered to Grantee, and Grantee agrees to take all such action as may be necessary or appropriate to effect such sales. Further, the Company’s obligation to deliver vested Shares, or any stock certificate or certificates representing vested Shares, to Grantee shall be subject to, and conditioned upon, payment of the Withholding Liability.</w:t>
      </w:r>
    </w:p>
    <w:p>
      <w:pPr>
        <w:spacing w:after="0" w:line="115" w:lineRule="exact"/>
        <w:rPr>
          <w:rFonts w:ascii="Arial" w:cs="Arial" w:eastAsia="Arial" w:hAnsi="Arial"/>
          <w:sz w:val="16"/>
          <w:szCs w:val="16"/>
          <w:b w:val="1"/>
          <w:bCs w:val="1"/>
          <w:color w:val="auto"/>
        </w:rPr>
      </w:pPr>
    </w:p>
    <w:p>
      <w:pPr>
        <w:ind w:right="20" w:firstLine="8"/>
        <w:spacing w:after="0" w:line="258" w:lineRule="auto"/>
        <w:tabs>
          <w:tab w:leader="none" w:pos="17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Par Value Paid Consideration for Shares</w:t>
      </w:r>
      <w:r>
        <w:rPr>
          <w:rFonts w:ascii="Arial" w:cs="Arial" w:eastAsia="Arial" w:hAnsi="Arial"/>
          <w:sz w:val="18"/>
          <w:szCs w:val="18"/>
          <w:color w:val="auto"/>
        </w:rPr>
        <w:t>. In addition to the valuable services rendered by Grantee for the Company, upon the issuance of any Shares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they become vested hereunder, to the extent permitted by applicable law, a portion of the resulting compensation that is includible in Grantee’s income for income tax purposes under applicable law shall represent consideration paid by Grantee for such Shares in an amount equal to the aggregate par value of such vested Shares.</w:t>
      </w:r>
    </w:p>
    <w:p>
      <w:pPr>
        <w:spacing w:after="0" w:line="136" w:lineRule="exact"/>
        <w:rPr>
          <w:rFonts w:ascii="Arial" w:cs="Arial" w:eastAsia="Arial" w:hAnsi="Arial"/>
          <w:sz w:val="18"/>
          <w:szCs w:val="18"/>
          <w:b w:val="1"/>
          <w:bCs w:val="1"/>
          <w:color w:val="auto"/>
        </w:rPr>
      </w:pPr>
    </w:p>
    <w:p>
      <w:pPr>
        <w:ind w:left="180" w:hanging="172"/>
        <w:spacing w:after="0"/>
        <w:tabs>
          <w:tab w:leader="none" w:pos="1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77" w:lineRule="exact"/>
        <w:rPr>
          <w:rFonts w:ascii="Arial" w:cs="Arial" w:eastAsia="Arial" w:hAnsi="Arial"/>
          <w:sz w:val="18"/>
          <w:szCs w:val="18"/>
          <w:b w:val="1"/>
          <w:bCs w:val="1"/>
          <w:color w:val="auto"/>
        </w:rPr>
      </w:pPr>
    </w:p>
    <w:p>
      <w:pPr>
        <w:ind w:right="280" w:firstLine="464"/>
        <w:spacing w:after="0" w:line="268" w:lineRule="auto"/>
        <w:tabs>
          <w:tab w:leader="none" w:pos="695" w:val="left"/>
        </w:tabs>
        <w:numPr>
          <w:ilvl w:val="1"/>
          <w:numId w:val="43"/>
        </w:numPr>
        <w:rPr>
          <w:rFonts w:ascii="Arial" w:cs="Arial" w:eastAsia="Arial" w:hAnsi="Arial"/>
          <w:sz w:val="18"/>
          <w:szCs w:val="18"/>
          <w:color w:val="auto"/>
        </w:rPr>
      </w:pPr>
      <w:r>
        <w:rPr>
          <w:rFonts w:ascii="Arial" w:cs="Arial" w:eastAsia="Arial" w:hAnsi="Arial"/>
          <w:sz w:val="18"/>
          <w:szCs w:val="18"/>
          <w:i w:val="1"/>
          <w:iCs w:val="1"/>
          <w:u w:val="single" w:color="auto"/>
          <w:color w:val="auto"/>
        </w:rPr>
        <w:t>No Fractional Shares</w:t>
      </w:r>
      <w:r>
        <w:rPr>
          <w:rFonts w:ascii="Arial" w:cs="Arial" w:eastAsia="Arial" w:hAnsi="Arial"/>
          <w:sz w:val="18"/>
          <w:szCs w:val="18"/>
          <w:color w:val="auto"/>
        </w:rPr>
        <w:t>. All provisions of this Agreement concern whole Shares. If the application of any provision hereunder would yield a fractional</w:t>
      </w:r>
      <w:r>
        <w:rPr>
          <w:rFonts w:ascii="Arial" w:cs="Arial" w:eastAsia="Arial" w:hAnsi="Arial"/>
          <w:sz w:val="18"/>
          <w:szCs w:val="18"/>
          <w:i w:val="1"/>
          <w:iCs w:val="1"/>
          <w:color w:val="auto"/>
        </w:rPr>
        <w:t xml:space="preserve"> </w:t>
      </w:r>
      <w:r>
        <w:rPr>
          <w:rFonts w:ascii="Arial" w:cs="Arial" w:eastAsia="Arial" w:hAnsi="Arial"/>
          <w:sz w:val="18"/>
          <w:szCs w:val="18"/>
          <w:color w:val="auto"/>
        </w:rPr>
        <w:t>Share, such fractional Share shall be rounded down to the next whole Share.</w:t>
      </w:r>
    </w:p>
    <w:p>
      <w:pPr>
        <w:spacing w:after="0" w:line="131" w:lineRule="exact"/>
        <w:rPr>
          <w:rFonts w:ascii="Arial" w:cs="Arial" w:eastAsia="Arial" w:hAnsi="Arial"/>
          <w:sz w:val="18"/>
          <w:szCs w:val="18"/>
          <w:color w:val="auto"/>
        </w:rPr>
      </w:pPr>
    </w:p>
    <w:p>
      <w:pPr>
        <w:ind w:right="180" w:firstLine="464"/>
        <w:spacing w:after="0" w:line="306" w:lineRule="auto"/>
        <w:tabs>
          <w:tab w:leader="none" w:pos="705" w:val="left"/>
        </w:tabs>
        <w:numPr>
          <w:ilvl w:val="1"/>
          <w:numId w:val="43"/>
        </w:numPr>
        <w:rPr>
          <w:rFonts w:ascii="Arial" w:cs="Arial" w:eastAsia="Arial" w:hAnsi="Arial"/>
          <w:sz w:val="16"/>
          <w:szCs w:val="16"/>
          <w:color w:val="auto"/>
        </w:rPr>
      </w:pPr>
      <w:r>
        <w:rPr>
          <w:rFonts w:ascii="Arial" w:cs="Arial" w:eastAsia="Arial" w:hAnsi="Arial"/>
          <w:sz w:val="16"/>
          <w:szCs w:val="16"/>
          <w:i w:val="1"/>
          <w:iCs w:val="1"/>
          <w:u w:val="single" w:color="auto"/>
          <w:color w:val="auto"/>
        </w:rPr>
        <w:t>No Effect on Employment or Service</w:t>
      </w:r>
      <w:r>
        <w:rPr>
          <w:rFonts w:ascii="Arial" w:cs="Arial" w:eastAsia="Arial" w:hAnsi="Arial"/>
          <w:sz w:val="16"/>
          <w:szCs w:val="16"/>
          <w:color w:val="auto"/>
        </w:rPr>
        <w:t>. Grantee acknowledges and agrees that the vesting of the Units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w:t>
      </w:r>
      <w:r>
        <w:rPr>
          <w:rFonts w:ascii="Arial" w:cs="Arial" w:eastAsia="Arial" w:hAnsi="Arial"/>
          <w:sz w:val="16"/>
          <w:szCs w:val="16"/>
          <w:i w:val="1"/>
          <w:iCs w:val="1"/>
          <w:color w:val="auto"/>
        </w:rPr>
        <w:t xml:space="preserve"> </w:t>
      </w:r>
      <w:r>
        <w:rPr>
          <w:rFonts w:ascii="Arial" w:cs="Arial" w:eastAsia="Arial" w:hAnsi="Arial"/>
          <w:sz w:val="16"/>
          <w:szCs w:val="16"/>
          <w:color w:val="auto"/>
        </w:rPr>
        <w:t>hereof is earned only by</w:t>
      </w:r>
      <w:r>
        <w:rPr>
          <w:rFonts w:ascii="Arial" w:cs="Arial" w:eastAsia="Arial" w:hAnsi="Arial"/>
          <w:sz w:val="16"/>
          <w:szCs w:val="16"/>
          <w:i w:val="1"/>
          <w:iCs w:val="1"/>
          <w:color w:val="auto"/>
        </w:rPr>
        <w:t xml:space="preserve"> </w:t>
      </w:r>
      <w:r>
        <w:rPr>
          <w:rFonts w:ascii="Arial" w:cs="Arial" w:eastAsia="Arial" w:hAnsi="Arial"/>
          <w:sz w:val="16"/>
          <w:szCs w:val="16"/>
          <w:color w:val="auto"/>
        </w:rPr>
        <w:t>continuing as an employee. Grantee further acknowledges and agrees that this Agreement, the transactions contemplated hereunder and the vesting schedule set forth herein do not constitute an express or implied promise of continued engagement as an employee for the vesting period, for</w:t>
      </w:r>
    </w:p>
    <w:p>
      <w:pPr>
        <w:sectPr>
          <w:pgSz w:w="11900" w:h="16838" w:orient="portrait"/>
          <w:cols w:equalWidth="0" w:num="1">
            <w:col w:w="11420"/>
          </w:cols>
          <w:pgMar w:left="240" w:top="280" w:right="239" w:bottom="1440" w:gutter="0" w:footer="0" w:header="0"/>
        </w:sectPr>
      </w:pPr>
    </w:p>
    <w:bookmarkStart w:id="46" w:name="page47"/>
    <w:bookmarkEnd w:id="46"/>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period, or at all, and will not interfere with Grantee’s right, or the Company’s or Subsidiary’s right, to terminate Grantee’s relationship as an employee at any time.</w:t>
      </w:r>
    </w:p>
    <w:p>
      <w:pPr>
        <w:spacing w:after="0" w:line="132" w:lineRule="exact"/>
        <w:rPr>
          <w:sz w:val="20"/>
          <w:szCs w:val="20"/>
          <w:color w:val="auto"/>
        </w:rPr>
      </w:pPr>
    </w:p>
    <w:p>
      <w:pPr>
        <w:ind w:right="140" w:firstLine="464"/>
        <w:spacing w:after="0" w:line="253"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i w:val="1"/>
          <w:iCs w:val="1"/>
          <w:u w:val="single" w:color="auto"/>
          <w:color w:val="auto"/>
        </w:rPr>
        <w:t>Dispute Resolution</w:t>
      </w:r>
      <w:r>
        <w:rPr>
          <w:rFonts w:ascii="Arial" w:cs="Arial" w:eastAsia="Arial" w:hAnsi="Arial"/>
          <w:sz w:val="18"/>
          <w:szCs w:val="18"/>
          <w:color w:val="auto"/>
        </w:rPr>
        <w:t>. To the extent permitted by applicable law, any dispute or controversy arising out of or relating to this Agreement, or any breach</w:t>
      </w:r>
      <w:r>
        <w:rPr>
          <w:rFonts w:ascii="Arial" w:cs="Arial" w:eastAsia="Arial" w:hAnsi="Arial"/>
          <w:sz w:val="18"/>
          <w:szCs w:val="18"/>
          <w:i w:val="1"/>
          <w:iCs w:val="1"/>
          <w:color w:val="auto"/>
        </w:rPr>
        <w:t xml:space="preserve"> </w:t>
      </w:r>
      <w:r>
        <w:rPr>
          <w:rFonts w:ascii="Arial" w:cs="Arial" w:eastAsia="Arial" w:hAnsi="Arial"/>
          <w:sz w:val="18"/>
          <w:szCs w:val="18"/>
          <w:color w:val="auto"/>
        </w:rPr>
        <w:t>hereof, shall be resolved by binding arbitration in accordance with (i) the Commercial Arbitration Rules (the “</w:t>
      </w:r>
      <w:r>
        <w:rPr>
          <w:rFonts w:ascii="Arial" w:cs="Arial" w:eastAsia="Arial" w:hAnsi="Arial"/>
          <w:sz w:val="18"/>
          <w:szCs w:val="18"/>
          <w:b w:val="1"/>
          <w:bCs w:val="1"/>
          <w:color w:val="auto"/>
        </w:rPr>
        <w:t>Rules</w:t>
      </w:r>
      <w:r>
        <w:rPr>
          <w:rFonts w:ascii="Arial" w:cs="Arial" w:eastAsia="Arial" w:hAnsi="Arial"/>
          <w:sz w:val="18"/>
          <w:szCs w:val="18"/>
          <w:color w:val="auto"/>
        </w:rPr>
        <w:t>”) of the American Arbitration Association (“</w:t>
      </w:r>
      <w:r>
        <w:rPr>
          <w:rFonts w:ascii="Arial" w:cs="Arial" w:eastAsia="Arial" w:hAnsi="Arial"/>
          <w:sz w:val="18"/>
          <w:szCs w:val="18"/>
          <w:b w:val="1"/>
          <w:bCs w:val="1"/>
          <w:color w:val="auto"/>
        </w:rPr>
        <w:t>AAA</w:t>
      </w:r>
      <w:r>
        <w:rPr>
          <w:rFonts w:ascii="Arial" w:cs="Arial" w:eastAsia="Arial" w:hAnsi="Arial"/>
          <w:sz w:val="18"/>
          <w:szCs w:val="18"/>
          <w:color w:val="auto"/>
        </w:rPr>
        <w:t>”) before a single arbitrator (unless otherwise mutually agreed by the parties) as selected pursuant to the Rules and (ii) the Federal Arbitration Act. Judgment on any award rendered by the arbitrator may be entered in any court of competent jurisdiction. The venue for any arbitration proceeding shall be in Harris or Montgomery County, Texas, except if otherwise mutually agreed by the parties. The fees of the AAA and the arbitrator shall be split equally by the parties. All other costs and expenses, including attorneys’ fees, relating to the resolution of any such dispute shall be borne by the party incurring such costs and expenses.</w:t>
      </w:r>
    </w:p>
    <w:p>
      <w:pPr>
        <w:spacing w:after="0" w:line="147" w:lineRule="exact"/>
        <w:rPr>
          <w:rFonts w:ascii="Arial" w:cs="Arial" w:eastAsia="Arial" w:hAnsi="Arial"/>
          <w:sz w:val="18"/>
          <w:szCs w:val="18"/>
          <w:color w:val="auto"/>
        </w:rPr>
      </w:pPr>
    </w:p>
    <w:p>
      <w:pPr>
        <w:ind w:right="320" w:firstLine="464"/>
        <w:spacing w:after="0" w:line="306" w:lineRule="auto"/>
        <w:tabs>
          <w:tab w:leader="none" w:pos="705" w:val="left"/>
        </w:tabs>
        <w:numPr>
          <w:ilvl w:val="0"/>
          <w:numId w:val="44"/>
        </w:numPr>
        <w:rPr>
          <w:rFonts w:ascii="Arial" w:cs="Arial" w:eastAsia="Arial" w:hAnsi="Arial"/>
          <w:sz w:val="16"/>
          <w:szCs w:val="16"/>
          <w:color w:val="auto"/>
        </w:rPr>
      </w:pPr>
      <w:r>
        <w:rPr>
          <w:rFonts w:ascii="Arial" w:cs="Arial" w:eastAsia="Arial" w:hAnsi="Arial"/>
          <w:sz w:val="16"/>
          <w:szCs w:val="16"/>
          <w:i w:val="1"/>
          <w:iCs w:val="1"/>
          <w:u w:val="single" w:color="auto"/>
          <w:color w:val="auto"/>
        </w:rPr>
        <w:t>Tax Consultation</w:t>
      </w:r>
      <w:r>
        <w:rPr>
          <w:rFonts w:ascii="Arial" w:cs="Arial" w:eastAsia="Arial" w:hAnsi="Arial"/>
          <w:sz w:val="16"/>
          <w:szCs w:val="16"/>
          <w:color w:val="auto"/>
        </w:rPr>
        <w:t>. Grantee understands that he or she may suffer adverse tax consequences as a result of the grant, vesting or settlement of the Units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hereunder. Grantee represents that he or she has consulted with any tax consultants he or she deems advisable in connection with the acquisition or disposition of the Units and that he or she is not relying on the Company or Subsidiary for any tax advice.</w:t>
      </w:r>
    </w:p>
    <w:p>
      <w:pPr>
        <w:spacing w:after="0" w:line="106" w:lineRule="exact"/>
        <w:rPr>
          <w:rFonts w:ascii="Arial" w:cs="Arial" w:eastAsia="Arial" w:hAnsi="Arial"/>
          <w:sz w:val="16"/>
          <w:szCs w:val="16"/>
          <w:color w:val="auto"/>
        </w:rPr>
      </w:pPr>
    </w:p>
    <w:p>
      <w:pPr>
        <w:ind w:left="700" w:hanging="23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Nature of the Grant</w:t>
      </w:r>
      <w:r>
        <w:rPr>
          <w:rFonts w:ascii="Arial" w:cs="Arial" w:eastAsia="Arial" w:hAnsi="Arial"/>
          <w:sz w:val="18"/>
          <w:szCs w:val="18"/>
          <w:color w:val="auto"/>
        </w:rPr>
        <w:t>. In accepting this Agreement, Grantee acknowledges that:</w:t>
      </w:r>
    </w:p>
    <w:p>
      <w:pPr>
        <w:spacing w:after="0" w:line="171" w:lineRule="exact"/>
        <w:rPr>
          <w:rFonts w:ascii="Arial" w:cs="Arial" w:eastAsia="Arial" w:hAnsi="Arial"/>
          <w:sz w:val="18"/>
          <w:szCs w:val="18"/>
          <w:color w:val="auto"/>
        </w:rPr>
      </w:pPr>
    </w:p>
    <w:p>
      <w:pPr>
        <w:ind w:right="200" w:firstLine="921"/>
        <w:spacing w:after="0" w:line="268" w:lineRule="auto"/>
        <w:tabs>
          <w:tab w:leader="none" w:pos="1123"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modified, amended, suspended or terminated by the Company at any time, unless otherwise provided in the Plan and this Agreement;</w:t>
      </w:r>
    </w:p>
    <w:p>
      <w:pPr>
        <w:spacing w:after="0" w:line="131" w:lineRule="exact"/>
        <w:rPr>
          <w:rFonts w:ascii="Arial" w:cs="Arial" w:eastAsia="Arial" w:hAnsi="Arial"/>
          <w:sz w:val="18"/>
          <w:szCs w:val="18"/>
          <w:color w:val="auto"/>
        </w:rPr>
      </w:pPr>
    </w:p>
    <w:p>
      <w:pPr>
        <w:ind w:right="100" w:firstLine="921"/>
        <w:spacing w:after="0" w:line="268" w:lineRule="auto"/>
        <w:tabs>
          <w:tab w:leader="none" w:pos="1171"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grant of the Units is voluntary and occasional and does not create any contractual or other right to receive future awards of Units, or benefits in lieu of Units, even if Units have been awarded repeatedly in the past;</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decisions with respect to future grants of Units, if any, will be at the sole discretion of the Company;</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Grantee’s participation in the Plan is voluntary;</w:t>
      </w:r>
    </w:p>
    <w:p>
      <w:pPr>
        <w:spacing w:after="0" w:line="171" w:lineRule="exact"/>
        <w:rPr>
          <w:rFonts w:ascii="Arial" w:cs="Arial" w:eastAsia="Arial" w:hAnsi="Arial"/>
          <w:sz w:val="18"/>
          <w:szCs w:val="18"/>
          <w:color w:val="auto"/>
        </w:rPr>
      </w:pPr>
    </w:p>
    <w:p>
      <w:pPr>
        <w:ind w:right="640" w:firstLine="921"/>
        <w:spacing w:after="0" w:line="268" w:lineRule="auto"/>
        <w:tabs>
          <w:tab w:leader="none" w:pos="1162" w:val="left"/>
        </w:tabs>
        <w:numPr>
          <w:ilvl w:val="1"/>
          <w:numId w:val="44"/>
        </w:numPr>
        <w:rPr>
          <w:rFonts w:ascii="Arial" w:cs="Arial" w:eastAsia="Arial" w:hAnsi="Arial"/>
          <w:sz w:val="18"/>
          <w:szCs w:val="18"/>
          <w:color w:val="auto"/>
        </w:rPr>
      </w:pPr>
      <w:r>
        <w:rPr>
          <w:rFonts w:ascii="Arial" w:cs="Arial" w:eastAsia="Arial" w:hAnsi="Arial"/>
          <w:sz w:val="18"/>
          <w:szCs w:val="18"/>
          <w:color w:val="auto"/>
        </w:rPr>
        <w:t>Units are an extraordinary item that do not constitute compensation of any kind for services of any kind rendered to the Company or any Subsidiary, and Units are outside the scope of Grantee’s employment contract, if any;</w:t>
      </w:r>
    </w:p>
    <w:p>
      <w:pPr>
        <w:spacing w:after="0" w:line="131" w:lineRule="exact"/>
        <w:rPr>
          <w:rFonts w:ascii="Arial" w:cs="Arial" w:eastAsia="Arial" w:hAnsi="Arial"/>
          <w:sz w:val="18"/>
          <w:szCs w:val="18"/>
          <w:color w:val="auto"/>
        </w:rPr>
      </w:pPr>
    </w:p>
    <w:p>
      <w:pPr>
        <w:ind w:right="140" w:firstLine="921"/>
        <w:spacing w:after="0" w:line="306" w:lineRule="auto"/>
        <w:tabs>
          <w:tab w:leader="none" w:pos="1210" w:val="left"/>
        </w:tabs>
        <w:numPr>
          <w:ilvl w:val="1"/>
          <w:numId w:val="44"/>
        </w:numPr>
        <w:rPr>
          <w:rFonts w:ascii="Arial" w:cs="Arial" w:eastAsia="Arial" w:hAnsi="Arial"/>
          <w:sz w:val="16"/>
          <w:szCs w:val="16"/>
          <w:color w:val="auto"/>
        </w:rPr>
      </w:pPr>
      <w:r>
        <w:rPr>
          <w:rFonts w:ascii="Arial" w:cs="Arial" w:eastAsia="Arial" w:hAnsi="Arial"/>
          <w:sz w:val="16"/>
          <w:szCs w:val="16"/>
          <w:color w:val="auto"/>
        </w:rPr>
        <w:t>Units are not part of normal or expected compensation or salary for any purpose, including, but not limited to, calculation of any severance, resignation, termination, redundancy, end of service payments, bonuses, long-service awards, pension or retirement benefits or similar payments and in no event should be considered as compensation for, or relating in any way to, past services for the Company or any Subsidiary;</w:t>
      </w:r>
    </w:p>
    <w:p>
      <w:pPr>
        <w:spacing w:after="0" w:line="106" w:lineRule="exact"/>
        <w:rPr>
          <w:rFonts w:ascii="Arial" w:cs="Arial" w:eastAsia="Arial" w:hAnsi="Arial"/>
          <w:sz w:val="16"/>
          <w:szCs w:val="16"/>
          <w:color w:val="auto"/>
        </w:rPr>
      </w:pPr>
    </w:p>
    <w:p>
      <w:pPr>
        <w:ind w:left="1260" w:hanging="339"/>
        <w:spacing w:after="0"/>
        <w:tabs>
          <w:tab w:leader="none" w:pos="12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w:t>
      </w:r>
    </w:p>
    <w:p>
      <w:pPr>
        <w:spacing w:after="0" w:line="171" w:lineRule="exact"/>
        <w:rPr>
          <w:rFonts w:ascii="Arial" w:cs="Arial" w:eastAsia="Arial" w:hAnsi="Arial"/>
          <w:sz w:val="18"/>
          <w:szCs w:val="18"/>
          <w:color w:val="auto"/>
        </w:rPr>
      </w:pPr>
    </w:p>
    <w:p>
      <w:pPr>
        <w:ind w:left="1320" w:hanging="399"/>
        <w:spacing w:after="0"/>
        <w:tabs>
          <w:tab w:leader="none" w:pos="13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value of the Shares acquired upon settlement of the Units may increase or decrease in value; and</w:t>
      </w:r>
    </w:p>
    <w:p>
      <w:pPr>
        <w:spacing w:after="0" w:line="171" w:lineRule="exact"/>
        <w:rPr>
          <w:rFonts w:ascii="Arial" w:cs="Arial" w:eastAsia="Arial" w:hAnsi="Arial"/>
          <w:sz w:val="18"/>
          <w:szCs w:val="18"/>
          <w:color w:val="auto"/>
        </w:rPr>
      </w:pPr>
    </w:p>
    <w:p>
      <w:pPr>
        <w:ind w:firstLine="921"/>
        <w:spacing w:after="0" w:line="294" w:lineRule="auto"/>
        <w:tabs>
          <w:tab w:leader="none" w:pos="1210"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 consideration of the grant of the Units, no claim or entitlement to compensation or damages arises from termination of the Units or diminution in value of the Units or Shares acquired upon settlement of the Units resulting from termination of Grantee’s employment by the Company or any Subsidiary (for any reason whatsoever and whether or not in breach of local labor laws), and Grantee irrevocably releases the Company and each Subsidiary from any such claim that may arise; if, notwithstanding the foregoing, any such claim is found by a court of competent jurisdiction to have arisen, then, by signing this Agreement, Grantee shall be deemed irrevocably to have waived his or her entitlement to pursue such claim.</w:t>
      </w:r>
    </w:p>
    <w:p>
      <w:pPr>
        <w:sectPr>
          <w:pgSz w:w="11900" w:h="16838" w:orient="portrait"/>
          <w:cols w:equalWidth="0" w:num="1">
            <w:col w:w="11400"/>
          </w:cols>
          <w:pgMar w:left="240" w:top="280" w:right="259" w:bottom="1440" w:gutter="0" w:footer="0" w:header="0"/>
        </w:sectPr>
      </w:pPr>
    </w:p>
    <w:bookmarkStart w:id="47" w:name="page48"/>
    <w:bookmarkEnd w:id="47"/>
    <w:p>
      <w:pPr>
        <w:ind w:right="360" w:firstLine="464"/>
        <w:spacing w:after="0" w:line="310" w:lineRule="auto"/>
        <w:tabs>
          <w:tab w:leader="none" w:pos="676"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Data Privacy Notice and Consent</w:t>
      </w:r>
      <w:r>
        <w:rPr>
          <w:rFonts w:ascii="Arial" w:cs="Arial" w:eastAsia="Arial" w:hAnsi="Arial"/>
          <w:sz w:val="16"/>
          <w:szCs w:val="16"/>
          <w:b w:val="1"/>
          <w:bCs w:val="1"/>
          <w:color w:val="auto"/>
        </w:rPr>
        <w:t>. Grantee hereby explicitly and unambiguously consents to the collection, use and transfer, in electronic or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other form, of his or her personal data as described in this Agreement by and among, as applicable, the Company and its Subsidiaries and other affiliates for the exclusive purpose of implementing, administering and managing Grantee’s participation in the Plan.</w:t>
      </w:r>
    </w:p>
    <w:p>
      <w:pPr>
        <w:spacing w:after="0" w:line="97" w:lineRule="exact"/>
        <w:rPr>
          <w:sz w:val="20"/>
          <w:szCs w:val="20"/>
          <w:color w:val="auto"/>
        </w:rPr>
      </w:pPr>
    </w:p>
    <w:p>
      <w:pPr>
        <w:ind w:right="320"/>
        <w:spacing w:after="0" w:line="326" w:lineRule="auto"/>
        <w:rPr>
          <w:sz w:val="20"/>
          <w:szCs w:val="20"/>
          <w:color w:val="auto"/>
        </w:rPr>
      </w:pPr>
      <w:r>
        <w:rPr>
          <w:rFonts w:ascii="Arial" w:cs="Arial" w:eastAsia="Arial" w:hAnsi="Arial"/>
          <w:sz w:val="15"/>
          <w:szCs w:val="15"/>
          <w:b w:val="1"/>
          <w:bCs w:val="1"/>
          <w:color w:val="auto"/>
        </w:rPr>
        <w:t>Grantee understands that the Company and its Subsidiaries may hold certain personal information about Grantee, including, but not limited to, Grantee’s name, home address and telephone number, date of birth, social insurance number or other identification number, salary, nationality, job title, any shares of stock or directorships held in the Company and its Subsidiaries, details of all Units or any other entitlement to Shares awarded, canceled, vested, unvested or outstanding in Grantee’s favor, for the purpose of implementing, administering and managing the Plan (“Data”).</w:t>
      </w:r>
    </w:p>
    <w:p>
      <w:pPr>
        <w:spacing w:after="0" w:line="89" w:lineRule="exact"/>
        <w:rPr>
          <w:sz w:val="20"/>
          <w:szCs w:val="20"/>
          <w:color w:val="auto"/>
        </w:rPr>
      </w:pPr>
    </w:p>
    <w:p>
      <w:pPr>
        <w:spacing w:after="0" w:line="307" w:lineRule="auto"/>
        <w:rPr>
          <w:sz w:val="20"/>
          <w:szCs w:val="20"/>
          <w:color w:val="auto"/>
        </w:rPr>
      </w:pPr>
      <w:r>
        <w:rPr>
          <w:rFonts w:ascii="Arial" w:cs="Arial" w:eastAsia="Arial" w:hAnsi="Arial"/>
          <w:sz w:val="15"/>
          <w:szCs w:val="15"/>
          <w:b w:val="1"/>
          <w:bCs w:val="1"/>
          <w:color w:val="auto"/>
        </w:rPr>
        <w:t>Grantee understands that Data may be transferred to any third parties assisting in the implementation, administration and management of the Plan, that these recipients may be located in Grantee’s country or elsewhere, and that the recipients’ countries may have different data privacy laws and protections than Grantee’s country. Grantee understands that he or she may request a list with the names and addresses of any potential recipients of the Data by contacting his or her local human resources representative. Grantee authorizes the recipients to receive, possess, use, retain and transfer the Data, in electronic or other form, for the purposes of implementing, administering and managing Grantee’s participation in the Plan, including any requisite transfer of such Data as may be required to a broker, escrow agent or other third party with whom the Shares received upon settlement of the Units may be deposited. Grantee understands that Data will be held only as long as is necessary to implement, administer and manage his or her participation in the Plan. Grantee understands that he or she may, at any time, view Data, request additional information about the storage and processing of Data, require any necessary amendments to Data or refuse or withdraw the consent herein, in any case without cost, by contacting in writing his or her local human resources representative. Grantee understands, however, that refusal or withdrawal of consent may affect his or her ability to participate in the Plan and, to the extent permitted by applicable law, may void this Agreement. For more information on the consequences of his or her refusal to consent or withdrawal of consent, Grantee understands that he or she may contact his or her local human resources representative.</w:t>
      </w:r>
    </w:p>
    <w:p>
      <w:pPr>
        <w:spacing w:after="0" w:line="113" w:lineRule="exact"/>
        <w:rPr>
          <w:sz w:val="20"/>
          <w:szCs w:val="20"/>
          <w:color w:val="auto"/>
        </w:rPr>
      </w:pPr>
    </w:p>
    <w:p>
      <w:pPr>
        <w:ind w:right="280" w:firstLine="464"/>
        <w:spacing w:after="0" w:line="268" w:lineRule="auto"/>
        <w:tabs>
          <w:tab w:leader="none" w:pos="705" w:val="left"/>
        </w:tabs>
        <w:numPr>
          <w:ilvl w:val="0"/>
          <w:numId w:val="46"/>
        </w:numPr>
        <w:rPr>
          <w:rFonts w:ascii="Arial" w:cs="Arial" w:eastAsia="Arial" w:hAnsi="Arial"/>
          <w:sz w:val="18"/>
          <w:szCs w:val="18"/>
          <w:color w:val="auto"/>
        </w:rPr>
      </w:pPr>
      <w:r>
        <w:rPr>
          <w:rFonts w:ascii="Arial" w:cs="Arial" w:eastAsia="Arial" w:hAnsi="Arial"/>
          <w:sz w:val="18"/>
          <w:szCs w:val="18"/>
          <w:i w:val="1"/>
          <w:iCs w:val="1"/>
          <w:u w:val="single" w:color="auto"/>
          <w:color w:val="auto"/>
        </w:rPr>
        <w:t>Language</w:t>
      </w:r>
      <w:r>
        <w:rPr>
          <w:rFonts w:ascii="Arial" w:cs="Arial" w:eastAsia="Arial" w:hAnsi="Arial"/>
          <w:sz w:val="18"/>
          <w:szCs w:val="18"/>
          <w:color w:val="auto"/>
        </w:rPr>
        <w:t>. If Grantee has received this Agreement or any other document related to the Plan translated into a language other than English and if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translated version is different than the English version, the English version will control.</w:t>
      </w:r>
    </w:p>
    <w:p>
      <w:pPr>
        <w:spacing w:after="0" w:line="131" w:lineRule="exact"/>
        <w:rPr>
          <w:rFonts w:ascii="Arial" w:cs="Arial" w:eastAsia="Arial" w:hAnsi="Arial"/>
          <w:sz w:val="18"/>
          <w:szCs w:val="18"/>
          <w:color w:val="auto"/>
        </w:rPr>
      </w:pPr>
    </w:p>
    <w:p>
      <w:pPr>
        <w:ind w:firstLine="464"/>
        <w:spacing w:after="0" w:line="253" w:lineRule="auto"/>
        <w:tabs>
          <w:tab w:leader="none" w:pos="705" w:val="left"/>
        </w:tabs>
        <w:numPr>
          <w:ilvl w:val="0"/>
          <w:numId w:val="46"/>
        </w:numPr>
        <w:rPr>
          <w:rFonts w:ascii="Arial" w:cs="Arial" w:eastAsia="Arial" w:hAnsi="Arial"/>
          <w:sz w:val="18"/>
          <w:szCs w:val="18"/>
          <w:color w:val="auto"/>
        </w:rPr>
      </w:pPr>
      <w:r>
        <w:rPr>
          <w:rFonts w:ascii="Arial" w:cs="Arial" w:eastAsia="Arial" w:hAnsi="Arial"/>
          <w:sz w:val="18"/>
          <w:szCs w:val="18"/>
          <w:i w:val="1"/>
          <w:iCs w:val="1"/>
          <w:u w:val="single" w:color="auto"/>
          <w:color w:val="auto"/>
        </w:rPr>
        <w:t>Delivery of Documents and Notices</w:t>
      </w:r>
      <w:r>
        <w:rPr>
          <w:rFonts w:ascii="Arial" w:cs="Arial" w:eastAsia="Arial" w:hAnsi="Arial"/>
          <w:sz w:val="18"/>
          <w:szCs w:val="18"/>
          <w:color w:val="auto"/>
        </w:rPr>
        <w:t>. Any document relating to participating in the Plan and/or notice required or permitted hereunder shall be given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writing and shall be deemed effectively given (except to the extent that this Agreement provides for effectiveness only upon actual receipt of such notice) upon personal delivery, by telegram, telex, telecopy or similar facsimile means, electronic delivery, or upon deposit in the U.S. Post Office or foreign postal service, by certified or registered mail, return receipt requested, with postage and fees prepaid, addressed to the Company at its then-current main corporate address or by electronic mail to </w:t>
      </w:r>
      <w:r>
        <w:rPr>
          <w:rFonts w:ascii="Arial" w:cs="Arial" w:eastAsia="Arial" w:hAnsi="Arial"/>
          <w:sz w:val="18"/>
          <w:szCs w:val="18"/>
          <w:b w:val="1"/>
          <w:bCs w:val="1"/>
          <w:color w:val="auto"/>
        </w:rPr>
        <w:t>StockLink@smith.com</w:t>
      </w:r>
      <w:r>
        <w:rPr>
          <w:rFonts w:ascii="Arial" w:cs="Arial" w:eastAsia="Arial" w:hAnsi="Arial"/>
          <w:sz w:val="18"/>
          <w:szCs w:val="18"/>
          <w:color w:val="auto"/>
        </w:rPr>
        <w:t>, and to Grantee at his or her address indicated on the Company’s records, at the e-mail address, if any, provided for Grantee by the Company or its Subsidiary, or at such other address and number as a party has previously designated in writing from time to time to the other party.</w:t>
      </w:r>
    </w:p>
    <w:p>
      <w:pPr>
        <w:spacing w:after="0" w:line="147" w:lineRule="exact"/>
        <w:rPr>
          <w:rFonts w:ascii="Arial" w:cs="Arial" w:eastAsia="Arial" w:hAnsi="Arial"/>
          <w:sz w:val="18"/>
          <w:szCs w:val="18"/>
          <w:color w:val="auto"/>
        </w:rPr>
      </w:pPr>
    </w:p>
    <w:p>
      <w:pPr>
        <w:ind w:right="20" w:firstLine="921"/>
        <w:spacing w:after="0" w:line="256" w:lineRule="auto"/>
        <w:tabs>
          <w:tab w:leader="none" w:pos="1122"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Description of Electronic Delivery</w:t>
      </w:r>
      <w:r>
        <w:rPr>
          <w:rFonts w:ascii="Arial" w:cs="Arial" w:eastAsia="Arial" w:hAnsi="Arial"/>
          <w:sz w:val="18"/>
          <w:szCs w:val="18"/>
          <w:color w:val="auto"/>
        </w:rPr>
        <w:t>. The Plan documents, which may include but do not necessarily include the Plan Prospectus,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U.S. financial reports of the Company, may be delivered to Grantee electronically. Such means of delivery may include but do not necessarily include the delivery of a link to a Company intranet or the internet site of a third party involved in administering the Plan, the delivery of the document via electronic mail or such other delivery determined at the Company’s discretion.</w:t>
      </w:r>
    </w:p>
    <w:p>
      <w:pPr>
        <w:spacing w:after="0" w:line="143" w:lineRule="exact"/>
        <w:rPr>
          <w:rFonts w:ascii="Arial" w:cs="Arial" w:eastAsia="Arial" w:hAnsi="Arial"/>
          <w:sz w:val="18"/>
          <w:szCs w:val="18"/>
          <w:color w:val="auto"/>
        </w:rPr>
      </w:pPr>
    </w:p>
    <w:p>
      <w:pPr>
        <w:jc w:val="both"/>
        <w:ind w:right="140" w:firstLine="921"/>
        <w:spacing w:after="0" w:line="259" w:lineRule="auto"/>
        <w:tabs>
          <w:tab w:leader="none" w:pos="1171"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Consent to Electronic Delivery</w:t>
      </w:r>
      <w:r>
        <w:rPr>
          <w:rFonts w:ascii="Arial" w:cs="Arial" w:eastAsia="Arial" w:hAnsi="Arial"/>
          <w:sz w:val="18"/>
          <w:szCs w:val="18"/>
          <w:color w:val="auto"/>
        </w:rPr>
        <w:t>. Grantee acknowledges that Grantee has read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8(h)</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Agreement and consents to the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the Plan documents. Grantee acknowledges that he or she may receive from the Company a paper copy of any documents delivered electronically at no cost if Grantee</w:t>
      </w:r>
    </w:p>
    <w:p>
      <w:pPr>
        <w:sectPr>
          <w:pgSz w:w="11900" w:h="16838" w:orient="portrait"/>
          <w:cols w:equalWidth="0" w:num="1">
            <w:col w:w="11360"/>
          </w:cols>
          <w:pgMar w:left="240" w:top="341" w:right="299" w:bottom="1440" w:gutter="0" w:footer="0" w:header="0"/>
        </w:sectPr>
      </w:pPr>
    </w:p>
    <w:bookmarkStart w:id="48" w:name="page49"/>
    <w:bookmarkEnd w:id="4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contacts the Company by telephone, through a postal service or electronic mail at </w:t>
      </w:r>
      <w:r>
        <w:rPr>
          <w:rFonts w:ascii="Arial" w:cs="Arial" w:eastAsia="Arial" w:hAnsi="Arial"/>
          <w:sz w:val="16"/>
          <w:szCs w:val="16"/>
          <w:b w:val="1"/>
          <w:bCs w:val="1"/>
          <w:color w:val="auto"/>
        </w:rPr>
        <w:t>StockLink@smith.com</w:t>
      </w:r>
      <w:r>
        <w:rPr>
          <w:rFonts w:ascii="Arial" w:cs="Arial" w:eastAsia="Arial" w:hAnsi="Arial"/>
          <w:sz w:val="16"/>
          <w:szCs w:val="16"/>
          <w:color w:val="auto"/>
        </w:rPr>
        <w:t xml:space="preserve">. Grantee further acknowledges that Grantee will be provided with a paper copy of any documents delivered electronically if electronic delivery fails; similarly, Grantee understands that Grantee must provide the Company or any designated third party with a paper copy of any documents delivered electronically by Grantee if electronic delivery fails. Grantee understands that Grantee’s consent may be revoked or changed, including any change in the electronic mail address to which documents are delivered (if Grantee has provided an electronic mail address), at any time by notifying the Company of such revised or revoked consent by telephone, postal service or electronic mail at </w:t>
      </w:r>
      <w:r>
        <w:rPr>
          <w:rFonts w:ascii="Arial" w:cs="Arial" w:eastAsia="Arial" w:hAnsi="Arial"/>
          <w:sz w:val="16"/>
          <w:szCs w:val="16"/>
          <w:b w:val="1"/>
          <w:bCs w:val="1"/>
          <w:color w:val="auto"/>
        </w:rPr>
        <w:t>StockLink@smith.com</w:t>
      </w:r>
      <w:r>
        <w:rPr>
          <w:rFonts w:ascii="Arial" w:cs="Arial" w:eastAsia="Arial" w:hAnsi="Arial"/>
          <w:sz w:val="16"/>
          <w:szCs w:val="16"/>
          <w:color w:val="auto"/>
        </w:rPr>
        <w:t>. Finally, Grantee understands that he or she is not required to consent to electronic delivery but that, to the extent permitted by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 such refusal may affect Grantee’s ability to participate in the Plan.</w:t>
      </w:r>
    </w:p>
    <w:p>
      <w:pPr>
        <w:spacing w:after="0" w:line="119" w:lineRule="exact"/>
        <w:rPr>
          <w:sz w:val="20"/>
          <w:szCs w:val="20"/>
          <w:color w:val="auto"/>
        </w:rPr>
      </w:pPr>
    </w:p>
    <w:p>
      <w:pPr>
        <w:ind w:right="20" w:firstLine="464"/>
        <w:spacing w:after="0" w:line="291" w:lineRule="auto"/>
        <w:tabs>
          <w:tab w:leader="none" w:pos="666" w:val="left"/>
        </w:tabs>
        <w:numPr>
          <w:ilvl w:val="0"/>
          <w:numId w:val="47"/>
        </w:numPr>
        <w:rPr>
          <w:rFonts w:ascii="Arial" w:cs="Arial" w:eastAsia="Arial" w:hAnsi="Arial"/>
          <w:sz w:val="16"/>
          <w:szCs w:val="16"/>
          <w:color w:val="auto"/>
        </w:rPr>
      </w:pPr>
      <w:r>
        <w:rPr>
          <w:rFonts w:ascii="Arial" w:cs="Arial" w:eastAsia="Arial" w:hAnsi="Arial"/>
          <w:sz w:val="16"/>
          <w:szCs w:val="16"/>
          <w:i w:val="1"/>
          <w:iCs w:val="1"/>
          <w:u w:val="single" w:color="auto"/>
          <w:color w:val="auto"/>
        </w:rPr>
        <w:t>Amendment, Termination and Waiver</w:t>
      </w:r>
      <w:r>
        <w:rPr>
          <w:rFonts w:ascii="Arial" w:cs="Arial" w:eastAsia="Arial" w:hAnsi="Arial"/>
          <w:sz w:val="16"/>
          <w:szCs w:val="16"/>
          <w:color w:val="auto"/>
        </w:rPr>
        <w:t>. This Agreement may be amended, modified, terminated or superseded only by written instrument executed by or</w:t>
      </w:r>
      <w:r>
        <w:rPr>
          <w:rFonts w:ascii="Arial" w:cs="Arial" w:eastAsia="Arial" w:hAnsi="Arial"/>
          <w:sz w:val="16"/>
          <w:szCs w:val="16"/>
          <w:i w:val="1"/>
          <w:iCs w:val="1"/>
          <w:color w:val="auto"/>
        </w:rPr>
        <w:t xml:space="preserve"> </w:t>
      </w:r>
      <w:r>
        <w:rPr>
          <w:rFonts w:ascii="Arial" w:cs="Arial" w:eastAsia="Arial" w:hAnsi="Arial"/>
          <w:sz w:val="16"/>
          <w:szCs w:val="16"/>
          <w:color w:val="auto"/>
        </w:rPr>
        <w:t>on behalf of the Company and by Grantee. Any waiver of the terms or conditions hereof shall be made only by a written instrument executed and delivered by the party waiving compliance. Any waiver granted by the Company shall be effective only if executed and delivered by a duly authorized executive officer of the Company other than Grantee. The failure of any party at any time or times to require performance of any provisions hereof shall in no manner affect the right to enforce the same. No waiver by any party of any term or condition herein, or the breach thereof, in one or more instances shall be deemed to be, or construed as, a further or continuing waiver of any such condition or breach or a waiver of any other condition or the breach of any other term or condition.</w:t>
      </w:r>
    </w:p>
    <w:p>
      <w:pPr>
        <w:spacing w:after="0" w:line="120" w:lineRule="exact"/>
        <w:rPr>
          <w:rFonts w:ascii="Arial" w:cs="Arial" w:eastAsia="Arial" w:hAnsi="Arial"/>
          <w:sz w:val="16"/>
          <w:szCs w:val="16"/>
          <w:color w:val="auto"/>
        </w:rPr>
      </w:pPr>
    </w:p>
    <w:p>
      <w:pPr>
        <w:ind w:left="680" w:hanging="216"/>
        <w:spacing w:after="0"/>
        <w:tabs>
          <w:tab w:leader="none" w:pos="680" w:val="left"/>
        </w:tabs>
        <w:numPr>
          <w:ilvl w:val="0"/>
          <w:numId w:val="47"/>
        </w:numPr>
        <w:rPr>
          <w:rFonts w:ascii="Arial" w:cs="Arial" w:eastAsia="Arial" w:hAnsi="Arial"/>
          <w:sz w:val="16"/>
          <w:szCs w:val="16"/>
          <w:color w:val="auto"/>
        </w:rPr>
      </w:pPr>
      <w:r>
        <w:rPr>
          <w:rFonts w:ascii="Arial" w:cs="Arial" w:eastAsia="Arial" w:hAnsi="Arial"/>
          <w:sz w:val="16"/>
          <w:szCs w:val="16"/>
          <w:i w:val="1"/>
          <w:iCs w:val="1"/>
          <w:u w:val="single" w:color="auto"/>
          <w:color w:val="auto"/>
        </w:rPr>
        <w:t>Governing Law and Severability</w:t>
      </w:r>
      <w:r>
        <w:rPr>
          <w:rFonts w:ascii="Arial" w:cs="Arial" w:eastAsia="Arial" w:hAnsi="Arial"/>
          <w:sz w:val="16"/>
          <w:szCs w:val="16"/>
          <w:color w:val="auto"/>
        </w:rPr>
        <w:t>. This Agreement shall be governed by the internal laws, and not the laws of conflict, of the State of Texas.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invalidity of any provision of this Agreement shall not affect any other provision of this Agreement, which shall remain in full force and effect.</w:t>
      </w:r>
    </w:p>
    <w:p>
      <w:pPr>
        <w:spacing w:after="0" w:line="188" w:lineRule="exact"/>
        <w:rPr>
          <w:sz w:val="20"/>
          <w:szCs w:val="20"/>
          <w:color w:val="auto"/>
        </w:rPr>
      </w:pPr>
    </w:p>
    <w:p>
      <w:pPr>
        <w:ind w:right="360" w:firstLine="464"/>
        <w:spacing w:after="0" w:line="268"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i w:val="1"/>
          <w:iCs w:val="1"/>
          <w:u w:val="single" w:color="auto"/>
          <w:color w:val="auto"/>
        </w:rPr>
        <w:t>Successors and Assigns</w:t>
      </w:r>
      <w:r>
        <w:rPr>
          <w:rFonts w:ascii="Arial" w:cs="Arial" w:eastAsia="Arial" w:hAnsi="Arial"/>
          <w:sz w:val="18"/>
          <w:szCs w:val="18"/>
          <w:color w:val="auto"/>
        </w:rPr>
        <w:t>. This Agreement shall bind, be enforceable by, and inure to the benefit of, the Company and its successors and assigns, and</w:t>
      </w:r>
      <w:r>
        <w:rPr>
          <w:rFonts w:ascii="Arial" w:cs="Arial" w:eastAsia="Arial" w:hAnsi="Arial"/>
          <w:sz w:val="18"/>
          <w:szCs w:val="18"/>
          <w:i w:val="1"/>
          <w:iCs w:val="1"/>
          <w:color w:val="auto"/>
        </w:rPr>
        <w:t xml:space="preserve"> </w:t>
      </w:r>
      <w:r>
        <w:rPr>
          <w:rFonts w:ascii="Arial" w:cs="Arial" w:eastAsia="Arial" w:hAnsi="Arial"/>
          <w:sz w:val="18"/>
          <w:szCs w:val="18"/>
          <w:color w:val="auto"/>
        </w:rPr>
        <w:t>Grantee and Grantee’s permitted assigns under the Plan in the event of death or Disability.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i w:val="1"/>
          <w:iCs w:val="1"/>
          <w:color w:val="auto"/>
        </w:rPr>
        <w:t>, this Restricted Stock Unit Agreement is approved, granted and executed as of the date first written above.</w:t>
      </w:r>
    </w:p>
    <w:p>
      <w:pPr>
        <w:spacing w:after="0" w:line="200" w:lineRule="exact"/>
        <w:rPr>
          <w:sz w:val="20"/>
          <w:szCs w:val="20"/>
          <w:color w:val="auto"/>
        </w:rPr>
      </w:pP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SMITH INTERNATIONAL,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Malcolm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jc w:val="both"/>
        <w:ind w:left="6860"/>
        <w:spacing w:after="0"/>
        <w:tabs>
          <w:tab w:leader="none" w:pos="7420" w:val="left"/>
        </w:tabs>
        <w:rPr>
          <w:sz w:val="20"/>
          <w:szCs w:val="20"/>
          <w:color w:val="auto"/>
        </w:rPr>
      </w:pPr>
      <w:r>
        <w:rPr>
          <w:rFonts w:ascii="Arial" w:cs="Arial" w:eastAsia="Arial" w:hAnsi="Arial"/>
          <w:sz w:val="18"/>
          <w:szCs w:val="18"/>
          <w:color w:val="auto"/>
        </w:rPr>
        <w:t>Title:</w:t>
        <w:tab/>
        <w:t>Senior Vice President,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0340"/>
          </w:cols>
          <w:pgMar w:left="240" w:top="347" w:right="13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90"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firstLine="464"/>
        <w:spacing w:after="0" w:line="259" w:lineRule="auto"/>
        <w:tabs>
          <w:tab w:leader="none" w:pos="63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 w:leader="none" w:pos="6500" w:val="left"/>
        </w:tabs>
        <w:rPr>
          <w:sz w:val="20"/>
          <w:szCs w:val="20"/>
          <w:color w:val="auto"/>
        </w:rPr>
      </w:pPr>
      <w:r>
        <w:rPr>
          <w:rFonts w:ascii="Arial" w:cs="Arial" w:eastAsia="Arial" w:hAnsi="Arial"/>
          <w:sz w:val="18"/>
          <w:szCs w:val="18"/>
          <w:color w:val="auto"/>
        </w:rPr>
        <w:t>Date: October 29, 2010</w:t>
      </w:r>
      <w:r>
        <w:rPr>
          <w:sz w:val="20"/>
          <w:szCs w:val="20"/>
          <w:color w:val="auto"/>
        </w:rPr>
        <w:tab/>
      </w: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G</w:t>
      </w:r>
      <w:r>
        <w:rPr>
          <w:rFonts w:ascii="Arial" w:cs="Arial" w:eastAsia="Arial" w:hAnsi="Arial"/>
          <w:sz w:val="14"/>
          <w:szCs w:val="14"/>
          <w:color w:val="auto"/>
        </w:rPr>
        <w:t>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Andrew Gould</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420"/>
          </w:cols>
          <w:pgMar w:left="240" w:top="139"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90"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firstLine="464"/>
        <w:spacing w:after="0" w:line="259" w:lineRule="auto"/>
        <w:tabs>
          <w:tab w:leader="none" w:pos="63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spacing w:after="0"/>
        <w:tabs>
          <w:tab w:leader="none" w:pos="6160" w:val="left"/>
          <w:tab w:leader="none" w:pos="6500" w:val="left"/>
        </w:tabs>
        <w:rPr>
          <w:sz w:val="20"/>
          <w:szCs w:val="20"/>
          <w:color w:val="auto"/>
        </w:rPr>
      </w:pPr>
      <w:r>
        <w:rPr>
          <w:rFonts w:ascii="Arial" w:cs="Arial" w:eastAsia="Arial" w:hAnsi="Arial"/>
          <w:sz w:val="18"/>
          <w:szCs w:val="18"/>
          <w:color w:val="auto"/>
        </w:rPr>
        <w:t>Date: October 29,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IMON</w:t>
      </w:r>
      <w:r>
        <w:rPr>
          <w:rFonts w:ascii="Arial" w:cs="Arial" w:eastAsia="Arial" w:hAnsi="Arial"/>
          <w:sz w:val="16"/>
          <w:szCs w:val="16"/>
          <w:color w:val="auto"/>
        </w:rPr>
        <w:t xml:space="preserve"> A</w:t>
      </w:r>
      <w:r>
        <w:rPr>
          <w:rFonts w:ascii="Arial" w:cs="Arial" w:eastAsia="Arial" w:hAnsi="Arial"/>
          <w:sz w:val="13"/>
          <w:szCs w:val="13"/>
          <w:color w:val="auto"/>
        </w:rPr>
        <w:t>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Simon Ayat</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39"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2010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tabs>
          <w:tab w:leader="none" w:pos="6160" w:val="left"/>
          <w:tab w:leader="none" w:pos="6500" w:val="left"/>
        </w:tabs>
        <w:rPr>
          <w:sz w:val="20"/>
          <w:szCs w:val="20"/>
          <w:color w:val="auto"/>
        </w:rPr>
      </w:pPr>
      <w:r>
        <w:rPr>
          <w:rFonts w:ascii="Arial" w:cs="Arial" w:eastAsia="Arial" w:hAnsi="Arial"/>
          <w:sz w:val="18"/>
          <w:szCs w:val="18"/>
          <w:color w:val="auto"/>
        </w:rPr>
        <w:t>Date: October 29, 2010</w:t>
      </w:r>
      <w:r>
        <w:rPr>
          <w:sz w:val="20"/>
          <w:szCs w:val="20"/>
          <w:color w:val="auto"/>
        </w:rPr>
        <w:tab/>
      </w: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G</w:t>
      </w:r>
      <w:r>
        <w:rPr>
          <w:rFonts w:ascii="Arial" w:cs="Arial" w:eastAsia="Arial" w:hAnsi="Arial"/>
          <w:sz w:val="14"/>
          <w:szCs w:val="14"/>
          <w:color w:val="auto"/>
        </w:rPr>
        <w:t>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Andrew Gould</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39"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2010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tabs>
          <w:tab w:leader="none" w:pos="6160" w:val="left"/>
          <w:tab w:leader="none" w:pos="6500" w:val="left"/>
        </w:tabs>
        <w:rPr>
          <w:sz w:val="20"/>
          <w:szCs w:val="20"/>
          <w:color w:val="auto"/>
        </w:rPr>
      </w:pPr>
      <w:r>
        <w:rPr>
          <w:rFonts w:ascii="Arial" w:cs="Arial" w:eastAsia="Arial" w:hAnsi="Arial"/>
          <w:sz w:val="18"/>
          <w:szCs w:val="18"/>
          <w:color w:val="auto"/>
        </w:rPr>
        <w:t>Date: October 29,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IMON</w:t>
      </w:r>
      <w:r>
        <w:rPr>
          <w:rFonts w:ascii="Arial" w:cs="Arial" w:eastAsia="Arial" w:hAnsi="Arial"/>
          <w:sz w:val="16"/>
          <w:szCs w:val="16"/>
          <w:color w:val="auto"/>
        </w:rPr>
        <w:t xml:space="preserve"> A</w:t>
      </w:r>
      <w:r>
        <w:rPr>
          <w:rFonts w:ascii="Arial" w:cs="Arial" w:eastAsia="Arial" w:hAnsi="Arial"/>
          <w:sz w:val="13"/>
          <w:szCs w:val="13"/>
          <w:color w:val="auto"/>
        </w:rPr>
        <w:t>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Simon Ayat</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1."/>
      <w:numFmt w:val="decimal"/>
      <w:start w:val="2"/>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3"/>
    </w:lvl>
  </w:abstractNum>
  <w:abstractNum w:abstractNumId="7">
    <w:nsid w:val="2901D82"/>
    <w:multiLevelType w:val="hybridMultilevel"/>
    <w:lvl w:ilvl="0">
      <w:lvlJc w:val="left"/>
      <w:lvlText w:val="%1."/>
      <w:numFmt w:val="decimal"/>
      <w:start w:val="4"/>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5"/>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5"/>
    </w:lvl>
  </w:abstractNum>
  <w:abstractNum w:abstractNumId="13">
    <w:nsid w:val="6CEAF087"/>
    <w:multiLevelType w:val="hybridMultilevel"/>
    <w:lvl w:ilvl="0">
      <w:lvlJc w:val="left"/>
      <w:lvlText w:val="%1."/>
      <w:numFmt w:val="decimal"/>
      <w:start w:val="7"/>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decimal"/>
      <w:start w:val="8"/>
    </w:lvl>
  </w:abstractNum>
  <w:abstractNum w:abstractNumId="17">
    <w:nsid w:val="614FD4A1"/>
    <w:multiLevelType w:val="hybridMultilevel"/>
    <w:lvl w:ilvl="0">
      <w:lvlJc w:val="left"/>
      <w:lvlText w:val="%1."/>
      <w:numFmt w:val="decimal"/>
      <w:start w:val="9"/>
    </w:lvl>
  </w:abstractNum>
  <w:abstractNum w:abstractNumId="18">
    <w:nsid w:val="419AC241"/>
    <w:multiLevelType w:val="hybridMultilevel"/>
    <w:lvl w:ilvl="0">
      <w:lvlJc w:val="left"/>
      <w:lvlText w:val="%1."/>
      <w:numFmt w:val="decimal"/>
      <w:start w:val="10"/>
    </w:lvl>
  </w:abstractNum>
  <w:abstractNum w:abstractNumId="19">
    <w:nsid w:val="5577F8E1"/>
    <w:multiLevelType w:val="hybridMultilevel"/>
    <w:lvl w:ilvl="0">
      <w:lvlJc w:val="left"/>
      <w:lvlText w:val="%1"/>
      <w:numFmt w:val="decimal"/>
      <w:start w:val="11"/>
    </w:lvl>
  </w:abstractNum>
  <w:abstractNum w:abstractNumId="20">
    <w:nsid w:val="440BADFC"/>
    <w:multiLevelType w:val="hybridMultilevel"/>
    <w:lvl w:ilvl="0">
      <w:lvlJc w:val="left"/>
      <w:lvlText w:val="%1"/>
      <w:numFmt w:val="decimal"/>
      <w:start w:val="12"/>
    </w:lvl>
  </w:abstractNum>
  <w:abstractNum w:abstractNumId="21">
    <w:nsid w:val="5072367"/>
    <w:multiLevelType w:val="hybridMultilevel"/>
    <w:lvl w:ilvl="0">
      <w:lvlJc w:val="left"/>
      <w:lvlText w:val="%1."/>
      <w:numFmt w:val="decimal"/>
      <w:start w:val="11"/>
    </w:lvl>
  </w:abstractNum>
  <w:abstractNum w:abstractNumId="22">
    <w:nsid w:val="3804823E"/>
    <w:multiLevelType w:val="hybridMultilevel"/>
    <w:lvl w:ilvl="0">
      <w:lvlJc w:val="left"/>
      <w:lvlText w:val="%1."/>
      <w:numFmt w:val="decimal"/>
      <w:start w:val="12"/>
    </w:lvl>
  </w:abstractNum>
  <w:abstractNum w:abstractNumId="23">
    <w:nsid w:val="77465F01"/>
    <w:multiLevelType w:val="hybridMultilevel"/>
    <w:lvl w:ilvl="0">
      <w:lvlJc w:val="left"/>
      <w:lvlText w:val="%1."/>
      <w:numFmt w:val="decimal"/>
      <w:start w:val="13"/>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15"/>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lvl w:ilvl="1">
      <w:lvlJc w:val="left"/>
      <w:lvlText w:val="**"/>
      <w:numFmt w:val="bullet"/>
      <w:start w:val="1"/>
    </w:lvl>
  </w:abstractNum>
  <w:abstractNum w:abstractNumId="36">
    <w:nsid w:val="1D4ED43B"/>
    <w:multiLevelType w:val="hybridMultilevel"/>
    <w:lvl w:ilvl="0">
      <w:lvlJc w:val="left"/>
      <w:lvlText w:val="**"/>
      <w:numFmt w:val="bullet"/>
      <w:start w:val="1"/>
    </w:lvl>
    <w:lvl w:ilvl="1">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2"/>
    </w:lvl>
    <w:lvl w:ilvl="1">
      <w:lvlJc w:val="left"/>
      <w:lvlText w:val="(%2)"/>
      <w:numFmt w:val="lowerLetter"/>
      <w:start w:val="1"/>
    </w:lvl>
  </w:abstractNum>
  <w:abstractNum w:abstractNumId="40">
    <w:nsid w:val="7A6D8D3C"/>
    <w:multiLevelType w:val="hybridMultilevel"/>
    <w:lvl w:ilvl="0">
      <w:lvlJc w:val="left"/>
      <w:lvlText w:val="(%1)"/>
      <w:numFmt w:val="lowerLetter"/>
      <w:start w:val="2"/>
    </w:lvl>
  </w:abstractNum>
  <w:abstractNum w:abstractNumId="41">
    <w:nsid w:val="4B588F54"/>
    <w:multiLevelType w:val="hybridMultilevel"/>
    <w:lvl w:ilvl="0">
      <w:lvlJc w:val="left"/>
      <w:lvlText w:val="%1"/>
      <w:numFmt w:val="decimal"/>
      <w:start w:val="1"/>
    </w:lvl>
    <w:lvl w:ilvl="1">
      <w:lvlJc w:val="left"/>
      <w:lvlText w:val="(%2)"/>
      <w:numFmt w:val="lowerLetter"/>
      <w:start w:val="3"/>
    </w:lvl>
  </w:abstractNum>
  <w:abstractNum w:abstractNumId="42">
    <w:nsid w:val="542289EC"/>
    <w:multiLevelType w:val="hybridMultilevel"/>
    <w:lvl w:ilvl="0">
      <w:lvlJc w:val="left"/>
      <w:lvlText w:val="%1."/>
      <w:numFmt w:val="decimal"/>
      <w:start w:val="5"/>
    </w:lvl>
    <w:lvl w:ilvl="1">
      <w:lvlJc w:val="left"/>
      <w:lvlText w:val="(%2)"/>
      <w:numFmt w:val="lowerLetter"/>
      <w:start w:val="1"/>
    </w:lvl>
  </w:abstractNum>
  <w:abstractNum w:abstractNumId="43">
    <w:nsid w:val="6DE91B18"/>
    <w:multiLevelType w:val="hybridMultilevel"/>
    <w:lvl w:ilvl="0">
      <w:lvlJc w:val="left"/>
      <w:lvlText w:val="(%1)"/>
      <w:numFmt w:val="lowerLetter"/>
      <w:start w:val="3"/>
    </w:lvl>
    <w:lvl w:ilvl="1">
      <w:lvlJc w:val="left"/>
      <w:lvlText w:val="(%2)"/>
      <w:numFmt w:val="lowerRoman"/>
      <w:start w:val="1"/>
    </w:lvl>
  </w:abstractNum>
  <w:abstractNum w:abstractNumId="44">
    <w:nsid w:val="38437FDB"/>
    <w:multiLevelType w:val="hybridMultilevel"/>
    <w:lvl w:ilvl="0">
      <w:lvlJc w:val="left"/>
      <w:lvlText w:val="(%1)"/>
      <w:numFmt w:val="lowerLetter"/>
      <w:start w:val="6"/>
    </w:lvl>
  </w:abstractNum>
  <w:abstractNum w:abstractNumId="45">
    <w:nsid w:val="7644A45C"/>
    <w:multiLevelType w:val="hybridMultilevel"/>
    <w:lvl w:ilvl="0">
      <w:lvlJc w:val="left"/>
      <w:lvlText w:val="(%1)"/>
      <w:numFmt w:val="lowerLetter"/>
      <w:start w:val="7"/>
    </w:lvl>
    <w:lvl w:ilvl="1">
      <w:lvlJc w:val="left"/>
      <w:lvlText w:val="(%2)"/>
      <w:numFmt w:val="lowerRoman"/>
      <w:start w:val="1"/>
    </w:lvl>
  </w:abstractNum>
  <w:abstractNum w:abstractNumId="46">
    <w:nsid w:val="32FFF902"/>
    <w:multiLevelType w:val="hybridMultilevel"/>
    <w:lvl w:ilvl="0">
      <w:lvlJc w:val="left"/>
      <w:lvlText w:val="(%1)"/>
      <w:numFmt w:val="lowerLetter"/>
      <w:start w:val="9"/>
    </w:lvl>
  </w:abstractNum>
  <w:abstractNum w:abstractNumId="47">
    <w:nsid w:val="684A481A"/>
    <w:multiLevelType w:val="hybridMultilevel"/>
    <w:lvl w:ilvl="0">
      <w:lvlJc w:val="left"/>
      <w:lvlText w:val="(%1)"/>
      <w:numFmt w:val="lowerLetter"/>
      <w:start w:val="1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2019-12-10T02:56:21Z</dcterms:created>
  <dcterms:modified xsi:type="dcterms:W3CDTF">2019-12-10T02:56:21Z</dcterms:modified>
</cp:coreProperties>
</file>