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1"/>
          <w:szCs w:val="21"/>
          <w:b w:val="1"/>
          <w:bCs w:val="1"/>
          <w:color w:val="auto"/>
        </w:rPr>
        <w:t>Date of Report (Date of earliest event reported): April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ind w:left="3740"/>
        <w:spacing w:after="0"/>
        <w:rPr>
          <w:sz w:val="20"/>
          <w:szCs w:val="20"/>
          <w:color w:val="auto"/>
        </w:rPr>
      </w:pPr>
      <w:r>
        <w:rPr>
          <w:rFonts w:ascii="Arial" w:cs="Arial" w:eastAsia="Arial" w:hAnsi="Arial"/>
          <w:sz w:val="13"/>
          <w:szCs w:val="13"/>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04"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Schlumberger Omnibus Stock Incentive Plan</w:t>
      </w:r>
    </w:p>
    <w:p>
      <w:pPr>
        <w:spacing w:after="0" w:line="117"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The stockholders of Schlumberger Limited (Schlumberger N.V.), a Curaçao corporation (“Schlumberger”), approved the adoption of the 2017 Schlumberger Omnibus Stock Incentive Plan (the “2017 Incentive Plan”) at the 2017 Annual Meeting of Stockholders of Schlumberger (the “Annual Meeting”) held on April 5, 2017.</w:t>
      </w:r>
    </w:p>
    <w:p>
      <w:pPr>
        <w:spacing w:after="0" w:line="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2017 Incentive Plan provides for the grant to Schlumberger employees of stock options, cash, stock appreciation rights, and stock awards, which may include restricted stock or restricted stock units. A total of 30 million shares of Schlumberger common stock are subject to the 2017 Incentive Plan, and all of such shares may be subject to incentive stock options. Awards may be granted under the 2017 Incentive Plan on or before April 5, 2027.</w:t>
      </w:r>
    </w:p>
    <w:p>
      <w:pPr>
        <w:spacing w:after="0" w:line="3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2017 Incentive Plan was approved by Schlumberger’s Board of Directors on January 19, 2017, subject to stockholder approval. The foregoing description of the 2017 Incentive Plan is qualified in its entirety by reference to the text of the 2017 Incentive Plan, which is referred to in Exhibit 10.1 hereto and incorporated herein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Schlumberger Discounted Stock Purchase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stockholders of Schlumberger also approved at the Annual Meeting an amendment and restatement (the “DSPP Amendment”) of the Schlumberger Discounted Stock Purchase Plan (the “DSPP”). The DSPP Amendment increases the number of shares of common stock available for purchase under the DSPP by 18 million shares.</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DSPP Amendment was approved by Schlumberger’s Board of Directors on January 19, 2017, subject to stockholder approval, and is effective as of January 19, 2017. The foregoing description of the DSPP Amendment is qualified in its entirety by reference to the text of the amended and restated DSPP, which is referred to in Exhibit 10.2 hereto and incorporated herein by reference.</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r>
        <w:rPr>
          <w:rFonts w:ascii="Arial" w:cs="Arial" w:eastAsia="Arial" w:hAnsi="Arial"/>
          <w:sz w:val="16"/>
          <w:szCs w:val="16"/>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on April 5, 2017, the stockholders of Schlumberger:</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12 director nominees;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3—conducted an advisory vote on the frequency of future advisory votes on Schlumberger’s executive compensation;</w:t>
      </w:r>
    </w:p>
    <w:p>
      <w:pPr>
        <w:spacing w:after="0" w:line="130" w:lineRule="exact"/>
        <w:rPr>
          <w:rFonts w:ascii="Arial" w:cs="Arial" w:eastAsia="Arial" w:hAnsi="Arial"/>
          <w:sz w:val="18"/>
          <w:szCs w:val="18"/>
          <w:color w:val="auto"/>
        </w:rPr>
      </w:pPr>
    </w:p>
    <w:p>
      <w:pPr>
        <w:jc w:val="both"/>
        <w:ind w:left="900" w:right="46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4—approved Schlumberger’s Consolidated Balance Sheet as at December 31, 2016, its Consolidated Statement of Income for the year ended December 31, 2016, and the declarations of dividends by the Board of Directors in 2016 as reflected in Schlumberger’s 2016 Annual Report to Stockholders;</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appointment of PricewaterhouseCoopers LLP as the independent registered public accounting firm to audit the accounts of Schlumberger for 2017;</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6—approved the adoption of the 2017 Schlumberger Omnibus Stock Incentive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7—approved the adoption of an amendment and restatement of the Schlumberger Discounted Stock Purchase Plan.</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21, 2017 (the “Definitive Proxy Statement”).</w:t>
      </w:r>
    </w:p>
    <w:p>
      <w:pPr>
        <w:sectPr>
          <w:pgSz w:w="11900" w:h="16838" w:orient="portrait"/>
          <w:cols w:equalWidth="0" w:num="1">
            <w:col w:w="11420"/>
          </w:cols>
          <w:pgMar w:left="240" w:top="270"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results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For</w:t>
            </w: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Against</w:t>
            </w:r>
          </w:p>
        </w:tc>
        <w:tc>
          <w:tcPr>
            <w:tcW w:w="9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Abstain</w:t>
            </w:r>
          </w:p>
        </w:tc>
        <w:tc>
          <w:tcPr>
            <w:tcW w:w="1080" w:type="dxa"/>
            <w:vAlign w:val="bottom"/>
          </w:tcPr>
          <w:p>
            <w:pPr>
              <w:jc w:val="right"/>
              <w:ind w:right="233"/>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1,066,292,554</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11,590,156</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1,783,280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Miguel M. Galuccio</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1,070,725,475</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7,147,702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1,792,813</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 Maureen Kempston Darkes</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973,128,350</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104,731,325</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1,806,315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Paal Kibsgaard</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1,057,792,011</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18,192,908</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3,681,071</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1,068,871,116</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8,936,135</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1,858,739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Helge Lund</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1,072,282,396</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5,601,713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1,781,881</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1,055,981,427</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21,879,211</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1,805,352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Indra K. Nooyi</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1,064,913,762</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12,988,095</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1,764,133</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1,068,231,902</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9,590,753</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1,843,335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Leo Rafael Reif</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1,063,323,191</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14,535,193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1,807,606</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3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1,063,908,676</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13,929,961</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1,827,353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Henri Seydoux</w:t>
            </w:r>
          </w:p>
        </w:tc>
        <w:tc>
          <w:tcPr>
            <w:tcW w:w="3620" w:type="dxa"/>
            <w:vAlign w:val="bottom"/>
          </w:tcPr>
          <w:p>
            <w:pPr>
              <w:jc w:val="right"/>
              <w:ind w:right="31"/>
              <w:spacing w:after="0"/>
              <w:rPr>
                <w:sz w:val="20"/>
                <w:szCs w:val="20"/>
                <w:color w:val="auto"/>
              </w:rPr>
            </w:pPr>
            <w:r>
              <w:rPr>
                <w:rFonts w:ascii="Arial" w:cs="Arial" w:eastAsia="Arial" w:hAnsi="Arial"/>
                <w:sz w:val="18"/>
                <w:szCs w:val="18"/>
                <w:color w:val="auto"/>
              </w:rPr>
              <w:t>1,074,641,305</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3,220,776</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1,803,909</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108,355,906</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96.0% of the votes cast at the Annual Meeting voting in favor of the advisory resolution.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74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1,033,016,550</w:t>
            </w:r>
          </w:p>
        </w:tc>
        <w:tc>
          <w:tcPr>
            <w:tcW w:w="160" w:type="dxa"/>
            <w:vAlign w:val="bottom"/>
          </w:tcPr>
          <w:p>
            <w:pPr>
              <w:spacing w:after="0"/>
              <w:rPr>
                <w:sz w:val="15"/>
                <w:szCs w:val="15"/>
                <w:color w:val="auto"/>
              </w:rPr>
            </w:pPr>
          </w:p>
        </w:tc>
        <w:tc>
          <w:tcPr>
            <w:tcW w:w="272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43,181,393</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3,468,047</w:t>
            </w:r>
          </w:p>
        </w:tc>
        <w:tc>
          <w:tcPr>
            <w:tcW w:w="120" w:type="dxa"/>
            <w:vAlign w:val="bottom"/>
          </w:tcPr>
          <w:p>
            <w:pPr>
              <w:spacing w:after="0"/>
              <w:rPr>
                <w:sz w:val="15"/>
                <w:szCs w:val="15"/>
                <w:color w:val="auto"/>
              </w:rPr>
            </w:pPr>
          </w:p>
        </w:tc>
        <w:tc>
          <w:tcPr>
            <w:tcW w:w="272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108,355,906</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3—Advisory Vote on the Frequency of Future Advisory Votes on Executive Compensation</w:t>
      </w:r>
    </w:p>
    <w:p>
      <w:pPr>
        <w:spacing w:after="0" w:line="117"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The advisory vote on the frequency of future advisory votes on Schlumberger’s executive compensation, as described in the Definitive Proxy Statement, was concluded with approximately 91.6% of the votes cast at the Annual Meeting voting in favor of annual votes.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One Year</w:t>
            </w:r>
          </w:p>
        </w:tc>
        <w:tc>
          <w:tcPr>
            <w:tcW w:w="2280" w:type="dxa"/>
            <w:vAlign w:val="bottom"/>
            <w:gridSpan w:val="2"/>
          </w:tcPr>
          <w:p>
            <w:pPr>
              <w:ind w:left="800"/>
              <w:spacing w:after="0"/>
              <w:rPr>
                <w:sz w:val="20"/>
                <w:szCs w:val="20"/>
                <w:color w:val="auto"/>
              </w:rPr>
            </w:pPr>
            <w:r>
              <w:rPr>
                <w:rFonts w:ascii="Arial" w:cs="Arial" w:eastAsia="Arial" w:hAnsi="Arial"/>
                <w:sz w:val="14"/>
                <w:szCs w:val="14"/>
                <w:b w:val="1"/>
                <w:bCs w:val="1"/>
                <w:color w:val="auto"/>
              </w:rPr>
              <w:t>Two Year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Three Year</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Abstain</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0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986,363,303</w:t>
            </w:r>
          </w:p>
        </w:tc>
        <w:tc>
          <w:tcPr>
            <w:tcW w:w="140" w:type="dxa"/>
            <w:vAlign w:val="bottom"/>
          </w:tcPr>
          <w:p>
            <w:pPr>
              <w:spacing w:after="0"/>
              <w:rPr>
                <w:sz w:val="15"/>
                <w:szCs w:val="15"/>
                <w:color w:val="auto"/>
              </w:rPr>
            </w:pPr>
          </w:p>
        </w:tc>
        <w:tc>
          <w:tcPr>
            <w:tcW w:w="218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1,781,875</w:t>
            </w:r>
          </w:p>
        </w:tc>
        <w:tc>
          <w:tcPr>
            <w:tcW w:w="100" w:type="dxa"/>
            <w:vAlign w:val="bottom"/>
          </w:tcPr>
          <w:p>
            <w:pPr>
              <w:spacing w:after="0"/>
              <w:rPr>
                <w:sz w:val="15"/>
                <w:szCs w:val="15"/>
                <w:color w:val="auto"/>
              </w:rPr>
            </w:pPr>
          </w:p>
        </w:tc>
        <w:tc>
          <w:tcPr>
            <w:tcW w:w="2280" w:type="dxa"/>
            <w:vAlign w:val="bottom"/>
            <w:tcBorders>
              <w:top w:val="single" w:sz="8" w:color="auto"/>
            </w:tcBorders>
          </w:tcPr>
          <w:p>
            <w:pPr>
              <w:jc w:val="right"/>
              <w:ind w:right="748"/>
              <w:spacing w:after="0"/>
              <w:rPr>
                <w:sz w:val="20"/>
                <w:szCs w:val="20"/>
                <w:color w:val="auto"/>
              </w:rPr>
            </w:pPr>
            <w:r>
              <w:rPr>
                <w:rFonts w:ascii="Arial" w:cs="Arial" w:eastAsia="Arial" w:hAnsi="Arial"/>
                <w:sz w:val="14"/>
                <w:szCs w:val="14"/>
                <w:color w:val="auto"/>
              </w:rPr>
              <w:t>89,252,581</w:t>
            </w:r>
          </w:p>
        </w:tc>
        <w:tc>
          <w:tcPr>
            <w:tcW w:w="100" w:type="dxa"/>
            <w:vAlign w:val="bottom"/>
          </w:tcPr>
          <w:p>
            <w:pPr>
              <w:spacing w:after="0"/>
              <w:rPr>
                <w:sz w:val="15"/>
                <w:szCs w:val="15"/>
                <w:color w:val="auto"/>
              </w:rPr>
            </w:pPr>
          </w:p>
        </w:tc>
        <w:tc>
          <w:tcPr>
            <w:tcW w:w="2300" w:type="dxa"/>
            <w:vAlign w:val="bottom"/>
            <w:tcBorders>
              <w:top w:val="single" w:sz="8" w:color="auto"/>
            </w:tcBorders>
          </w:tcPr>
          <w:p>
            <w:pPr>
              <w:jc w:val="right"/>
              <w:ind w:right="788"/>
              <w:spacing w:after="0"/>
              <w:rPr>
                <w:sz w:val="20"/>
                <w:szCs w:val="20"/>
                <w:color w:val="auto"/>
              </w:rPr>
            </w:pPr>
            <w:r>
              <w:rPr>
                <w:rFonts w:ascii="Arial" w:cs="Arial" w:eastAsia="Arial" w:hAnsi="Arial"/>
                <w:sz w:val="14"/>
                <w:szCs w:val="14"/>
                <w:color w:val="auto"/>
              </w:rPr>
              <w:t>2,268,231</w:t>
            </w:r>
          </w:p>
        </w:tc>
        <w:tc>
          <w:tcPr>
            <w:tcW w:w="100" w:type="dxa"/>
            <w:vAlign w:val="bottom"/>
          </w:tcPr>
          <w:p>
            <w:pPr>
              <w:spacing w:after="0"/>
              <w:rPr>
                <w:sz w:val="15"/>
                <w:szCs w:val="15"/>
                <w:color w:val="auto"/>
              </w:rPr>
            </w:pPr>
          </w:p>
        </w:tc>
        <w:tc>
          <w:tcPr>
            <w:tcW w:w="216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color w:val="auto"/>
              </w:rPr>
              <w:t>108,355,906</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4—Financial Statements and Dividends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2016, its Consolidated Statement of Income for the year ended December 31, 2016, and the declarations of dividends by the Board of Directors in 2016 as reflected in Schlumberger’s 2016 Annual Report to Stockholders, as described in the Definitive Proxy Statement, was approved with approximately 99.8% of the votes cast at the Annual Meeting voting for the proposal.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74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1,180,870,903</w:t>
            </w:r>
          </w:p>
        </w:tc>
        <w:tc>
          <w:tcPr>
            <w:tcW w:w="160" w:type="dxa"/>
            <w:vAlign w:val="bottom"/>
          </w:tcPr>
          <w:p>
            <w:pPr>
              <w:spacing w:after="0"/>
              <w:rPr>
                <w:sz w:val="15"/>
                <w:szCs w:val="15"/>
                <w:color w:val="auto"/>
              </w:rPr>
            </w:pPr>
          </w:p>
        </w:tc>
        <w:tc>
          <w:tcPr>
            <w:tcW w:w="2720" w:type="dxa"/>
            <w:vAlign w:val="bottom"/>
            <w:tcBorders>
              <w:top w:val="single" w:sz="8" w:color="auto"/>
            </w:tcBorders>
          </w:tcPr>
          <w:p>
            <w:pPr>
              <w:jc w:val="right"/>
              <w:ind w:right="988"/>
              <w:spacing w:after="0"/>
              <w:rPr>
                <w:sz w:val="20"/>
                <w:szCs w:val="20"/>
                <w:color w:val="auto"/>
              </w:rPr>
            </w:pPr>
            <w:r>
              <w:rPr>
                <w:rFonts w:ascii="Arial" w:cs="Arial" w:eastAsia="Arial" w:hAnsi="Arial"/>
                <w:sz w:val="14"/>
                <w:szCs w:val="14"/>
                <w:color w:val="auto"/>
              </w:rPr>
              <w:t>1,965,441</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5,185,552</w:t>
            </w:r>
          </w:p>
        </w:tc>
        <w:tc>
          <w:tcPr>
            <w:tcW w:w="120" w:type="dxa"/>
            <w:vAlign w:val="bottom"/>
          </w:tcPr>
          <w:p>
            <w:pPr>
              <w:spacing w:after="0"/>
              <w:rPr>
                <w:sz w:val="15"/>
                <w:szCs w:val="15"/>
                <w:color w:val="auto"/>
              </w:rPr>
            </w:pPr>
          </w:p>
        </w:tc>
        <w:tc>
          <w:tcPr>
            <w:tcW w:w="2720" w:type="dxa"/>
            <w:vAlign w:val="bottom"/>
            <w:tcBorders>
              <w:top w:val="single" w:sz="8" w:color="auto"/>
            </w:tcBorders>
          </w:tcPr>
          <w:p>
            <w:pPr>
              <w:jc w:val="right"/>
              <w:ind w:right="1248"/>
              <w:spacing w:after="0"/>
              <w:rPr>
                <w:sz w:val="20"/>
                <w:szCs w:val="20"/>
                <w:color w:val="auto"/>
              </w:rPr>
            </w:pPr>
            <w:r>
              <w:rPr>
                <w:rFonts w:ascii="Arial" w:cs="Arial" w:eastAsia="Arial" w:hAnsi="Arial"/>
                <w:sz w:val="14"/>
                <w:szCs w:val="14"/>
                <w:color w:val="auto"/>
              </w:rPr>
              <w:t>0</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5—Independent Registered Public Accounting Firm</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2017, as described in the Definitive Proxy Statement, was approved with approximately 98.1% of the votes cast at the Annual Meeting voting for the proposal.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74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1,163,717,584</w:t>
            </w:r>
          </w:p>
        </w:tc>
        <w:tc>
          <w:tcPr>
            <w:tcW w:w="160" w:type="dxa"/>
            <w:vAlign w:val="bottom"/>
          </w:tcPr>
          <w:p>
            <w:pPr>
              <w:spacing w:after="0"/>
              <w:rPr>
                <w:sz w:val="15"/>
                <w:szCs w:val="15"/>
                <w:color w:val="auto"/>
              </w:rPr>
            </w:pPr>
          </w:p>
        </w:tc>
        <w:tc>
          <w:tcPr>
            <w:tcW w:w="272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22,451,460</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1,852,852</w:t>
            </w:r>
          </w:p>
        </w:tc>
        <w:tc>
          <w:tcPr>
            <w:tcW w:w="120" w:type="dxa"/>
            <w:vAlign w:val="bottom"/>
          </w:tcPr>
          <w:p>
            <w:pPr>
              <w:spacing w:after="0"/>
              <w:rPr>
                <w:sz w:val="15"/>
                <w:szCs w:val="15"/>
                <w:color w:val="auto"/>
              </w:rPr>
            </w:pPr>
          </w:p>
        </w:tc>
        <w:tc>
          <w:tcPr>
            <w:tcW w:w="2720" w:type="dxa"/>
            <w:vAlign w:val="bottom"/>
            <w:tcBorders>
              <w:top w:val="single" w:sz="8" w:color="auto"/>
            </w:tcBorders>
          </w:tcPr>
          <w:p>
            <w:pPr>
              <w:jc w:val="right"/>
              <w:ind w:right="1248"/>
              <w:spacing w:after="0"/>
              <w:rPr>
                <w:sz w:val="20"/>
                <w:szCs w:val="20"/>
                <w:color w:val="auto"/>
              </w:rPr>
            </w:pPr>
            <w:r>
              <w:rPr>
                <w:rFonts w:ascii="Arial" w:cs="Arial" w:eastAsia="Arial" w:hAnsi="Arial"/>
                <w:sz w:val="14"/>
                <w:szCs w:val="14"/>
                <w:color w:val="auto"/>
              </w:rPr>
              <w:t>0</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6—Adoption of 2017 Schlumberger Omnibus Stock Incentive Plan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proposal to approve the adoption of the 2017 Schlumberger Omnibus Stock Incentive Plan, as described in the Definitive Proxy Statement, was approved with approximately 96.6% of the votes cast at the Annual Meeting voting for the proposal.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74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1,042,977,626</w:t>
            </w:r>
          </w:p>
        </w:tc>
        <w:tc>
          <w:tcPr>
            <w:tcW w:w="160" w:type="dxa"/>
            <w:vAlign w:val="bottom"/>
          </w:tcPr>
          <w:p>
            <w:pPr>
              <w:spacing w:after="0"/>
              <w:rPr>
                <w:sz w:val="15"/>
                <w:szCs w:val="15"/>
                <w:color w:val="auto"/>
              </w:rPr>
            </w:pPr>
          </w:p>
        </w:tc>
        <w:tc>
          <w:tcPr>
            <w:tcW w:w="272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33,243,513</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3,444,851</w:t>
            </w:r>
          </w:p>
        </w:tc>
        <w:tc>
          <w:tcPr>
            <w:tcW w:w="120" w:type="dxa"/>
            <w:vAlign w:val="bottom"/>
          </w:tcPr>
          <w:p>
            <w:pPr>
              <w:spacing w:after="0"/>
              <w:rPr>
                <w:sz w:val="15"/>
                <w:szCs w:val="15"/>
                <w:color w:val="auto"/>
              </w:rPr>
            </w:pPr>
          </w:p>
        </w:tc>
        <w:tc>
          <w:tcPr>
            <w:tcW w:w="272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108,355,906</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7—Amendment and Restatement of Schlumberger Discounted Stock Purchase Plan</w:t>
      </w:r>
    </w:p>
    <w:p>
      <w:pPr>
        <w:spacing w:after="0" w:line="117"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proposal to approve the adoption of an amendment and restatement of the Schlumberger Discounted Stock Purchase Plan, as described in the Definitive Proxy Statement, was approved with approximately 99.1% of the votes cast at the Annual Meeting voting for the proposal.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Against</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176"/>
        </w:trPr>
        <w:tc>
          <w:tcPr>
            <w:tcW w:w="274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1,069,673,258</w:t>
            </w:r>
          </w:p>
        </w:tc>
        <w:tc>
          <w:tcPr>
            <w:tcW w:w="160" w:type="dxa"/>
            <w:vAlign w:val="bottom"/>
          </w:tcPr>
          <w:p>
            <w:pPr>
              <w:spacing w:after="0"/>
              <w:rPr>
                <w:sz w:val="15"/>
                <w:szCs w:val="15"/>
                <w:color w:val="auto"/>
              </w:rPr>
            </w:pPr>
          </w:p>
        </w:tc>
        <w:tc>
          <w:tcPr>
            <w:tcW w:w="2720" w:type="dxa"/>
            <w:vAlign w:val="bottom"/>
            <w:tcBorders>
              <w:top w:val="single" w:sz="8" w:color="auto"/>
            </w:tcBorders>
          </w:tcPr>
          <w:p>
            <w:pPr>
              <w:jc w:val="right"/>
              <w:ind w:right="988"/>
              <w:spacing w:after="0"/>
              <w:rPr>
                <w:sz w:val="20"/>
                <w:szCs w:val="20"/>
                <w:color w:val="auto"/>
              </w:rPr>
            </w:pPr>
            <w:r>
              <w:rPr>
                <w:rFonts w:ascii="Arial" w:cs="Arial" w:eastAsia="Arial" w:hAnsi="Arial"/>
                <w:sz w:val="14"/>
                <w:szCs w:val="14"/>
                <w:color w:val="auto"/>
              </w:rPr>
              <w:t>6,767,170</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color w:val="auto"/>
              </w:rPr>
              <w:t>3,225,562</w:t>
            </w:r>
          </w:p>
        </w:tc>
        <w:tc>
          <w:tcPr>
            <w:tcW w:w="120" w:type="dxa"/>
            <w:vAlign w:val="bottom"/>
          </w:tcPr>
          <w:p>
            <w:pPr>
              <w:spacing w:after="0"/>
              <w:rPr>
                <w:sz w:val="15"/>
                <w:szCs w:val="15"/>
                <w:color w:val="auto"/>
              </w:rPr>
            </w:pPr>
          </w:p>
        </w:tc>
        <w:tc>
          <w:tcPr>
            <w:tcW w:w="272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108,355,906</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900" w:right="40" w:hanging="445"/>
        <w:spacing w:after="0" w:line="277" w:lineRule="auto"/>
        <w:tabs>
          <w:tab w:leader="none" w:pos="880" w:val="left"/>
        </w:tabs>
        <w:rPr>
          <w:sz w:val="20"/>
          <w:szCs w:val="20"/>
          <w:color w:val="auto"/>
        </w:rPr>
      </w:pPr>
      <w:r>
        <w:rPr>
          <w:rFonts w:ascii="Arial" w:cs="Arial" w:eastAsia="Arial" w:hAnsi="Arial"/>
          <w:sz w:val="18"/>
          <w:szCs w:val="18"/>
          <w:color w:val="auto"/>
        </w:rPr>
        <w:t>10.1</w:t>
        <w:tab/>
        <w:t>Schlumberger 2017 Omnibus Stock Incentive Plan (incorporated by reference to Appendix B of Schlumberger’s Definitive Proxy Statement filed with the SEC on February 21, 2017).</w:t>
      </w:r>
    </w:p>
    <w:p>
      <w:pPr>
        <w:spacing w:after="0" w:line="76" w:lineRule="exact"/>
        <w:rPr>
          <w:sz w:val="20"/>
          <w:szCs w:val="20"/>
          <w:color w:val="auto"/>
        </w:rPr>
      </w:pPr>
    </w:p>
    <w:p>
      <w:pPr>
        <w:ind w:left="900" w:right="60" w:hanging="445"/>
        <w:spacing w:after="0" w:line="277" w:lineRule="auto"/>
        <w:tabs>
          <w:tab w:leader="none" w:pos="880" w:val="left"/>
        </w:tabs>
        <w:rPr>
          <w:sz w:val="20"/>
          <w:szCs w:val="20"/>
          <w:color w:val="auto"/>
        </w:rPr>
      </w:pPr>
      <w:r>
        <w:rPr>
          <w:rFonts w:ascii="Arial" w:cs="Arial" w:eastAsia="Arial" w:hAnsi="Arial"/>
          <w:sz w:val="18"/>
          <w:szCs w:val="18"/>
          <w:color w:val="auto"/>
        </w:rPr>
        <w:t>10.2</w:t>
        <w:tab/>
        <w:t>Schlumberger Discounted Stock Purchase Plan, as amended and restated effective as of January 19, 2017 (incorporated by reference to Appendix C of Schlumberger’s Definitive Proxy Statement filed with the SEC on February 21, 2017).</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2017</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2019-12-05T07:06:40Z</dcterms:created>
  <dcterms:modified xsi:type="dcterms:W3CDTF">2019-12-05T07:06:40Z</dcterms:modified>
</cp:coreProperties>
</file>