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25,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2018, which was filed with the U.S. Securities and Exchange Commission on July 25, 2018. Such disclosure appears on page 24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2019-12-05T08:47:48Z</dcterms:created>
  <dcterms:modified xsi:type="dcterms:W3CDTF">2019-12-05T08:47:48Z</dcterms:modified>
</cp:coreProperties>
</file>