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Chereque Pierre</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03/12/2021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2"/>
          </w:tcPr>
          <w:p>
            <w:pPr>
              <w:ind w:left="480"/>
              <w:spacing w:after="0"/>
              <w:rPr>
                <w:sz w:val="20"/>
                <w:szCs w:val="20"/>
                <w:color w:val="auto"/>
              </w:rPr>
            </w:pPr>
            <w:r>
              <w:rPr>
                <w:rFonts w:ascii="Arial" w:cs="Arial" w:eastAsia="Arial" w:hAnsi="Arial"/>
                <w:sz w:val="17"/>
                <w:szCs w:val="17"/>
                <w:color w:val="0000FF"/>
              </w:rPr>
              <w:t>VP, Director of Tax</w:t>
            </w:r>
          </w:p>
        </w:tc>
        <w:tc>
          <w:tcPr>
            <w:tcW w:w="0" w:type="dxa"/>
            <w:vAlign w:val="bottom"/>
          </w:tcPr>
          <w:p>
            <w:pPr>
              <w:spacing w:after="0"/>
              <w:rPr>
                <w:sz w:val="1"/>
                <w:szCs w:val="1"/>
                <w:color w:val="auto"/>
              </w:rPr>
            </w:pPr>
          </w:p>
        </w:tc>
      </w:tr>
      <w:tr>
        <w:trPr>
          <w:trHeight w:val="234"/>
        </w:trPr>
        <w:tc>
          <w:tcPr>
            <w:tcW w:w="200" w:type="dxa"/>
            <w:vAlign w:val="bottom"/>
            <w:tcBorders>
              <w:bottom w:val="single" w:sz="8" w:color="2C2C2C"/>
            </w:tcBorders>
          </w:tcPr>
          <w:p>
            <w:pPr>
              <w:spacing w:after="0"/>
              <w:rPr>
                <w:sz w:val="20"/>
                <w:szCs w:val="20"/>
                <w:color w:val="auto"/>
              </w:rPr>
            </w:pPr>
          </w:p>
        </w:tc>
        <w:tc>
          <w:tcPr>
            <w:tcW w:w="3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4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03/12/2021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4"/>
              </w:rPr>
              <w:t>862</w:t>
            </w:r>
            <w:r>
              <w:rPr>
                <w:rFonts w:ascii="Arial" w:cs="Arial" w:eastAsia="Arial" w:hAnsi="Arial"/>
                <w:sz w:val="22"/>
                <w:szCs w:val="22"/>
                <w:color w:val="008000"/>
                <w:w w:val="94"/>
                <w:vertAlign w:val="superscript"/>
              </w:rPr>
              <w:t>(1)</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91,017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17, 2018. Vesting of the PSUs was based on three-year Company performance relative to select key competitors. Most of these competitors had not reported their 2020 audited financial results when the Company's compensation committee met in January 2021 to certify performance under the PSUs. As a result, the Company's compensation committee approved the issuance of 90% of the shares that the committee determined had been earned according to the information available to the committee at the time. As of March 12, 2021, all such competitors had reported their 2020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03/16/2021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08949"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2021-03-16T08:34:38Z</dcterms:created>
  <dcterms:modified xsi:type="dcterms:W3CDTF">2021-03-16T08:34:38Z</dcterms:modified>
</cp:coreProperties>
</file>