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0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June 21,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LIMITED)</w:t>
      </w:r>
    </w:p>
    <w:p>
      <w:pPr>
        <w:spacing w:after="0" w:line="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6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u w:val="single" w:color="auto"/>
          <w:color w:val="auto"/>
        </w:rPr>
        <w:t>Regulation FD Disclosure.</w:t>
      </w:r>
    </w:p>
    <w:p>
      <w:pPr>
        <w:spacing w:after="0" w:line="229"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On June 21, 2016, Patrick Schorn, President, Operations of Schlumberger, presented at the Wells Fargo West Coast Energy Conference in San Francisco, California, to discuss, among other things, the current business outlook. The presentation and slides are available on the Schlumberger Investor Relations website at http://investorcenter.slb.com/phoenix.zhtml?c=97513&amp;p=irol-presentations and at http://www.slb.com/news/presentations.aspx.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Forward-looking statements by their nature address matters that are, to varying degrees, uncertain, such as statements about our transformation program; our financial and performance targets and other forecasts or expectations regarding business outlook; growth for Schlumberger as a whole and for each of its Groups and segments (and for specified products or geographic areas within each segment); oil and natural gas demand and production growth; rig count; oil and natural gas prices; improvements in operating procedures and technology; capital expenditures by Schlumberger and the oil and gas industry; the business strategies of Schlumberger’s customers;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demand for our integrated services and new technologies; the inability to reduce the cost-per-barrel of hydrocarbon developments; Schlumberger’s future cash flows; the success of Schlumberger’s transformation efforts; general economic, political and business conditions in key regions of the world; country risk; pricing erosion; foreign exchange rates; weather and seasonal factors; operational modifications, delays or cancelations;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realize expected value from SPM projects; the inability to integrate the Cameron business and realized expected synergies, the inability to retain key employees; and other risks and uncertainties detailed in our most recent Forms 10-K, 10-Q and 8-K filed with or furnished to the U.S.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attached presentation, and Schlumberger disclaims any intention or obligation to update publicly or revise such statements, whether as a result of new information, future events or otherwise.</w:t>
      </w:r>
    </w:p>
    <w:p>
      <w:pPr>
        <w:sectPr>
          <w:pgSz w:w="11900" w:h="16838" w:orient="portrait"/>
          <w:cols w:equalWidth="0" w:num="1">
            <w:col w:w="11420"/>
          </w:cols>
          <w:pgMar w:left="240" w:top="337" w:right="2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June 21, 2016</w:t>
      </w:r>
    </w:p>
    <w:sectPr>
      <w:pgSz w:w="11900" w:h="16838" w:orient="portrait"/>
      <w:cols w:equalWidth="0" w:num="1">
        <w:col w:w="10660"/>
      </w:cols>
      <w:pgMar w:left="2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2019-12-05T09:56:43Z</dcterms:created>
  <dcterms:modified xsi:type="dcterms:W3CDTF">2019-12-05T09:56:43Z</dcterms:modified>
</cp:coreProperties>
</file>