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5168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5168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Rennick Gavin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3"/>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120" w:type="dxa"/>
            <w:vAlign w:val="bottom"/>
            <w:tcBorders>
              <w:top w:val="single" w:sz="8" w:color="0000EE"/>
            </w:tcBorders>
          </w:tcPr>
          <w:p>
            <w:pPr>
              <w:spacing w:after="0"/>
              <w:rPr>
                <w:sz w:val="12"/>
                <w:szCs w:val="12"/>
                <w:color w:val="auto"/>
              </w:rPr>
            </w:pPr>
          </w:p>
        </w:tc>
        <w:tc>
          <w:tcPr>
            <w:tcW w:w="2900" w:type="dxa"/>
            <w:vAlign w:val="bottom"/>
            <w:tcBorders>
              <w:top w:val="single" w:sz="8" w:color="0000EE"/>
            </w:tcBorders>
          </w:tcPr>
          <w:p>
            <w:pPr>
              <w:spacing w:after="0"/>
              <w:rPr>
                <w:sz w:val="12"/>
                <w:szCs w:val="12"/>
                <w:color w:val="auto"/>
              </w:rPr>
            </w:pPr>
          </w:p>
        </w:tc>
        <w:tc>
          <w:tcPr>
            <w:tcW w:w="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360" w:type="dxa"/>
            <w:vAlign w:val="bottom"/>
          </w:tcPr>
          <w:p>
            <w:pPr>
              <w:ind w:left="1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9"/>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03/01/2024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President New Energy</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9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60" w:type="dxa"/>
            <w:vAlign w:val="bottom"/>
            <w:tcBorders>
              <w:bottom w:val="single" w:sz="8" w:color="2C2C2C"/>
            </w:tcBorders>
            <w:gridSpan w:val="3"/>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10,505</w:t>
            </w:r>
            <w:r>
              <w:rPr>
                <w:rFonts w:ascii="Times New Roman" w:cs="Times New Roman" w:eastAsia="Times New Roman" w:hAnsi="Times New Roman"/>
                <w:sz w:val="22"/>
                <w:szCs w:val="22"/>
                <w:color w:val="008000"/>
                <w:vertAlign w:val="superscript"/>
              </w:rPr>
              <w:t>(1)</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Pr>
          <w:p>
            <w:pPr>
              <w:spacing w:after="0"/>
              <w:rPr>
                <w:sz w:val="21"/>
                <w:szCs w:val="21"/>
                <w:color w:val="auto"/>
              </w:rPr>
            </w:pPr>
          </w:p>
        </w:tc>
        <w:tc>
          <w:tcPr>
            <w:tcW w:w="400" w:type="dxa"/>
            <w:vAlign w:val="bottom"/>
            <w:gridSpan w:val="2"/>
            <w:vMerge w:val="restart"/>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Pr>
          <w:p>
            <w:pPr>
              <w:spacing w:after="0"/>
              <w:rPr>
                <w:sz w:val="21"/>
                <w:szCs w:val="21"/>
                <w:color w:val="auto"/>
              </w:rPr>
            </w:pP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88,068</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660" w:type="dxa"/>
            <w:vAlign w:val="bottom"/>
            <w:tcBorders>
              <w:bottom w:val="single" w:sz="8" w:color="2C2C2C"/>
            </w:tcBorders>
            <w:gridSpan w:val="3"/>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w:t>
            </w:r>
          </w:p>
        </w:tc>
        <w:tc>
          <w:tcPr>
            <w:tcW w:w="15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7"/>
                <w:szCs w:val="17"/>
                <w:color w:val="0000FF"/>
              </w:rPr>
              <w:t>03/01/2024</w:t>
            </w: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4,134</w:t>
            </w:r>
          </w:p>
        </w:tc>
        <w:tc>
          <w:tcPr>
            <w:tcW w:w="40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Pr>
          <w:p>
            <w:pPr>
              <w:spacing w:after="0"/>
              <w:rPr>
                <w:sz w:val="21"/>
                <w:szCs w:val="21"/>
                <w:color w:val="auto"/>
              </w:rPr>
            </w:pPr>
          </w:p>
        </w:tc>
        <w:tc>
          <w:tcPr>
            <w:tcW w:w="600" w:type="dxa"/>
            <w:vAlign w:val="bottom"/>
            <w:gridSpan w:val="3"/>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49.26</w:t>
            </w:r>
          </w:p>
        </w:tc>
        <w:tc>
          <w:tcPr>
            <w:tcW w:w="12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83,934</w:t>
            </w:r>
          </w:p>
        </w:tc>
        <w:tc>
          <w:tcPr>
            <w:tcW w:w="9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540" w:type="dxa"/>
            <w:vAlign w:val="bottom"/>
            <w:gridSpan w:val="2"/>
            <w:vMerge w:val="continue"/>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3"/>
            <w:vMerge w:val="continue"/>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60" w:type="dxa"/>
            <w:vAlign w:val="bottom"/>
            <w:gridSpan w:val="10"/>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44"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Company granted performance share units ("PSUs") to the reporting person on January 20, 2021. Vesting of the PSUs was based on three-year Company performance relative to select key competitors. Most of these competitors had not reported their 2023 audited financial results when the Company's compensation committee met in January 2024 to certify performance under the PSUs. As a result, the Company's compensation committee approved the issuance of 80% of the shares that the committee determined had been earned according to the information available to the committee at the time. As of March 1, 2024, all such competitors had reported their 2023 audited financial results. Shares of common stock reported hereunder represent shares finally determined to have been earned under the PSUs.</w:t>
      </w:r>
    </w:p>
    <w:p>
      <w:pPr>
        <w:spacing w:after="0" w:line="46"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03/05/2024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-28575</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67983"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2024-03-05T16:35:32Z</dcterms:created>
  <dcterms:modified xsi:type="dcterms:W3CDTF">2024-03-05T16:35:32Z</dcterms:modified>
</cp:coreProperties>
</file>