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Schlumberger N.V.</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b w:val="1"/>
          <w:bCs w:val="1"/>
          <w:color w:val="auto"/>
        </w:rPr>
        <w:t>and deemed filed pursuant to Rule 14a-12</w:t>
      </w:r>
    </w:p>
    <w:p>
      <w:pPr>
        <w:jc w:val="right"/>
        <w:spacing w:after="0" w:line="235" w:lineRule="auto"/>
        <w:rPr>
          <w:sz w:val="20"/>
          <w:szCs w:val="20"/>
          <w:color w:val="auto"/>
        </w:rPr>
      </w:pPr>
      <w:r>
        <w:rPr>
          <w:rFonts w:ascii="Arial" w:cs="Arial" w:eastAsia="Arial" w:hAnsi="Arial"/>
          <w:sz w:val="18"/>
          <w:szCs w:val="18"/>
          <w:b w:val="1"/>
          <w:bCs w:val="1"/>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b w:val="1"/>
          <w:bCs w:val="1"/>
          <w:color w:val="auto"/>
        </w:rPr>
        <w:t>Subject Company: ChampionX Corporation</w:t>
      </w:r>
    </w:p>
    <w:p>
      <w:pPr>
        <w:jc w:val="right"/>
        <w:spacing w:after="0" w:line="235" w:lineRule="auto"/>
        <w:rPr>
          <w:sz w:val="20"/>
          <w:szCs w:val="20"/>
          <w:color w:val="auto"/>
        </w:rPr>
      </w:pPr>
      <w:r>
        <w:rPr>
          <w:rFonts w:ascii="Arial" w:cs="Arial" w:eastAsia="Arial" w:hAnsi="Arial"/>
          <w:sz w:val="18"/>
          <w:szCs w:val="18"/>
          <w:b w:val="1"/>
          <w:bCs w:val="1"/>
          <w:color w:val="auto"/>
        </w:rPr>
        <w:t xml:space="preserve">Filers SEC File No.: </w:t>
      </w:r>
      <w:r>
        <w:rPr>
          <w:rFonts w:ascii="Arial" w:cs="Arial" w:eastAsia="Arial" w:hAnsi="Arial"/>
          <w:sz w:val="18"/>
          <w:szCs w:val="18"/>
          <w:b w:val="1"/>
          <w:bCs w:val="1"/>
          <w:u w:val="single" w:color="auto"/>
          <w:color w:val="auto"/>
        </w:rPr>
        <w:t>001-38441</w:t>
      </w:r>
    </w:p>
    <w:p>
      <w:pPr>
        <w:jc w:val="right"/>
        <w:spacing w:after="0"/>
        <w:rPr>
          <w:sz w:val="20"/>
          <w:szCs w:val="20"/>
          <w:color w:val="auto"/>
        </w:rPr>
      </w:pPr>
      <w:r>
        <w:rPr>
          <w:rFonts w:ascii="Arial" w:cs="Arial" w:eastAsia="Arial" w:hAnsi="Arial"/>
          <w:sz w:val="18"/>
          <w:szCs w:val="18"/>
          <w:b w:val="1"/>
          <w:bCs w:val="1"/>
          <w:color w:val="auto"/>
        </w:rPr>
        <w:t>Date: March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5998210</wp:posOffset>
            </wp:positionH>
            <wp:positionV relativeFrom="paragraph">
              <wp:posOffset>151765</wp:posOffset>
            </wp:positionV>
            <wp:extent cx="994410"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9441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SLB provides update on planned acquisition</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of ChampionX</w:t>
      </w:r>
    </w:p>
    <w:p>
      <w:pPr>
        <w:spacing w:after="0" w:line="86" w:lineRule="exact"/>
        <w:rPr>
          <w:sz w:val="24"/>
          <w:szCs w:val="24"/>
          <w:color w:val="auto"/>
        </w:rPr>
      </w:pPr>
    </w:p>
    <w:p>
      <w:pPr>
        <w:ind w:right="240"/>
        <w:spacing w:after="0" w:line="271" w:lineRule="auto"/>
        <w:rPr>
          <w:sz w:val="20"/>
          <w:szCs w:val="20"/>
          <w:color w:val="auto"/>
        </w:rPr>
      </w:pPr>
      <w:r>
        <w:rPr>
          <w:rFonts w:ascii="Arial" w:cs="Arial" w:eastAsia="Arial" w:hAnsi="Arial"/>
          <w:sz w:val="18"/>
          <w:szCs w:val="18"/>
          <w:b w:val="1"/>
          <w:bCs w:val="1"/>
          <w:color w:val="auto"/>
        </w:rPr>
        <w:t xml:space="preserve">HOUSTON, March 27, 2025 — </w:t>
      </w:r>
      <w:r>
        <w:rPr>
          <w:rFonts w:ascii="Arial" w:cs="Arial" w:eastAsia="Arial" w:hAnsi="Arial"/>
          <w:sz w:val="18"/>
          <w:szCs w:val="18"/>
          <w:color w:val="auto"/>
        </w:rPr>
        <w:t>SLB (NYSE: SLB) today announced that the United Kingdom Competition and Markets Authority (CMA)</w:t>
      </w:r>
      <w:r>
        <w:rPr>
          <w:rFonts w:ascii="Arial" w:cs="Arial" w:eastAsia="Arial" w:hAnsi="Arial"/>
          <w:sz w:val="18"/>
          <w:szCs w:val="18"/>
          <w:b w:val="1"/>
          <w:bCs w:val="1"/>
          <w:color w:val="auto"/>
        </w:rPr>
        <w:t xml:space="preserve"> </w:t>
      </w:r>
      <w:r>
        <w:rPr>
          <w:rFonts w:ascii="Arial" w:cs="Arial" w:eastAsia="Arial" w:hAnsi="Arial"/>
          <w:sz w:val="18"/>
          <w:szCs w:val="18"/>
          <w:color w:val="auto"/>
        </w:rPr>
        <w:t>has declined to unconditionally clear SLB’s planned acquisition of ChampionX during the CMA’s Phase 1 review period.</w:t>
      </w:r>
    </w:p>
    <w:p>
      <w:pPr>
        <w:spacing w:after="0" w:line="154" w:lineRule="exact"/>
        <w:rPr>
          <w:sz w:val="24"/>
          <w:szCs w:val="24"/>
          <w:color w:val="auto"/>
        </w:rPr>
      </w:pPr>
    </w:p>
    <w:p>
      <w:pPr>
        <w:ind w:right="60"/>
        <w:spacing w:after="0" w:line="301" w:lineRule="auto"/>
        <w:rPr>
          <w:sz w:val="20"/>
          <w:szCs w:val="20"/>
          <w:color w:val="auto"/>
        </w:rPr>
      </w:pPr>
      <w:r>
        <w:rPr>
          <w:rFonts w:ascii="Arial" w:cs="Arial" w:eastAsia="Arial" w:hAnsi="Arial"/>
          <w:sz w:val="17"/>
          <w:szCs w:val="17"/>
          <w:color w:val="auto"/>
        </w:rPr>
        <w:t>SLB is committed to collaborating with the CMA to address any outstanding concerns and is confident that the transaction will be cleared for closing. As a result of this continued review, SLB now expects the transaction should close in the second or early third-quarter of 2025.</w:t>
      </w:r>
    </w:p>
    <w:p>
      <w:pPr>
        <w:spacing w:after="0" w:line="131" w:lineRule="exact"/>
        <w:rPr>
          <w:sz w:val="24"/>
          <w:szCs w:val="24"/>
          <w:color w:val="auto"/>
        </w:rPr>
      </w:pPr>
    </w:p>
    <w:p>
      <w:pPr>
        <w:ind w:right="600"/>
        <w:spacing w:after="0" w:line="253" w:lineRule="auto"/>
        <w:rPr>
          <w:sz w:val="20"/>
          <w:szCs w:val="20"/>
          <w:color w:val="auto"/>
        </w:rPr>
      </w:pPr>
      <w:r>
        <w:rPr>
          <w:rFonts w:ascii="Arial" w:cs="Arial" w:eastAsia="Arial" w:hAnsi="Arial"/>
          <w:sz w:val="18"/>
          <w:szCs w:val="18"/>
          <w:color w:val="auto"/>
        </w:rPr>
        <w:t>Announced in April 2024, SLB and ChampionX entered into a definitive agreement for SLB to purchase ChampionX. The combined portfolios will drive customer value through deep industry expertise and digital integration, as well as enhanced equipment life and production optimization.</w:t>
      </w: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SLB</w:t>
      </w:r>
    </w:p>
    <w:p>
      <w:pPr>
        <w:spacing w:after="0" w:line="104" w:lineRule="exact"/>
        <w:rPr>
          <w:sz w:val="24"/>
          <w:szCs w:val="24"/>
          <w:color w:val="auto"/>
        </w:rPr>
      </w:pPr>
    </w:p>
    <w:p>
      <w:pPr>
        <w:ind w:right="60"/>
        <w:spacing w:after="0" w:line="247" w:lineRule="auto"/>
        <w:rPr>
          <w:sz w:val="20"/>
          <w:szCs w:val="20"/>
          <w:color w:val="auto"/>
        </w:rPr>
      </w:pPr>
      <w:r>
        <w:rPr>
          <w:rFonts w:ascii="Arial" w:cs="Arial" w:eastAsia="Arial" w:hAnsi="Arial"/>
          <w:sz w:val="18"/>
          <w:szCs w:val="18"/>
          <w:color w:val="auto"/>
        </w:rPr>
        <w:t>SLB (NYSE: SLB) is a global technology company that drives energy innovation for a balanced planet. With a global footprint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ChampionX</w:t>
      </w:r>
    </w:p>
    <w:p>
      <w:pPr>
        <w:spacing w:after="0" w:line="104" w:lineRule="exact"/>
        <w:rPr>
          <w:sz w:val="24"/>
          <w:szCs w:val="24"/>
          <w:color w:val="auto"/>
        </w:rPr>
      </w:pPr>
    </w:p>
    <w:p>
      <w:pPr>
        <w:ind w:right="100"/>
        <w:spacing w:after="0" w:line="247" w:lineRule="auto"/>
        <w:rPr>
          <w:sz w:val="20"/>
          <w:szCs w:val="20"/>
          <w:color w:val="auto"/>
        </w:rPr>
      </w:pPr>
      <w:r>
        <w:rPr>
          <w:rFonts w:ascii="Arial" w:cs="Arial" w:eastAsia="Arial" w:hAnsi="Arial"/>
          <w:sz w:val="18"/>
          <w:szCs w:val="18"/>
          <w:color w:val="auto"/>
        </w:rPr>
        <w:t>ChampionX Corporation is a global leader in chemistry solutions, artificial lift systems, and highly engineered equipment and technologies that help companies drill for and produce oil and gas safely, efficiently, and sustainably around the world. ChampionX’s expertise, innovative products, and digital technologies provide enhanced oil and gas production, transportation, and real-time emissions monitoring throughout the lifecycle of a well. To learn more about ChampionX, visit our website at www.championX.com.</w:t>
      </w:r>
    </w:p>
    <w:p>
      <w:pPr>
        <w:sectPr>
          <w:pgSz w:w="11900" w:h="16838" w:orient="portrait"/>
          <w:cols w:equalWidth="0" w:num="1">
            <w:col w:w="11020"/>
          </w:cols>
          <w:pgMar w:left="440" w:top="229" w:right="439" w:bottom="1440" w:gutter="0" w:footer="0" w:header="0"/>
        </w:sect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115"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8"/>
          <w:szCs w:val="18"/>
          <w:color w:val="auto"/>
        </w:rPr>
        <w:t>Josh Byerly – SVP of Communications</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Moira Duff – Director of External Communications</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Tel: +1 (713) 375-3407</w:t>
      </w:r>
    </w:p>
    <w:p>
      <w:pPr>
        <w:spacing w:after="0"/>
        <w:rPr>
          <w:sz w:val="20"/>
          <w:szCs w:val="20"/>
          <w:color w:val="auto"/>
        </w:rPr>
      </w:pPr>
      <w:r>
        <w:rPr>
          <w:rFonts w:ascii="Arial" w:cs="Arial" w:eastAsia="Arial" w:hAnsi="Arial"/>
          <w:sz w:val="18"/>
          <w:szCs w:val="18"/>
          <w:color w:val="auto"/>
        </w:rPr>
        <w:t>media@slb.com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James R. McDonald – SVP of Investor Relations &amp; Industry</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Affairs</w:t>
      </w:r>
    </w:p>
    <w:p>
      <w:pPr>
        <w:spacing w:after="0" w:line="234" w:lineRule="auto"/>
        <w:rPr>
          <w:sz w:val="20"/>
          <w:szCs w:val="20"/>
          <w:color w:val="auto"/>
        </w:rPr>
      </w:pPr>
      <w:r>
        <w:rPr>
          <w:rFonts w:ascii="Arial" w:cs="Arial" w:eastAsia="Arial" w:hAnsi="Arial"/>
          <w:sz w:val="18"/>
          <w:szCs w:val="18"/>
          <w:color w:val="auto"/>
        </w:rPr>
        <w:t>Joy V. Domingo – Director of Investor Relations</w:t>
      </w:r>
    </w:p>
    <w:p>
      <w:pPr>
        <w:spacing w:after="0" w:line="235" w:lineRule="auto"/>
        <w:rPr>
          <w:sz w:val="20"/>
          <w:szCs w:val="20"/>
          <w:color w:val="auto"/>
        </w:rPr>
      </w:pPr>
      <w:r>
        <w:rPr>
          <w:rFonts w:ascii="Arial" w:cs="Arial" w:eastAsia="Arial" w:hAnsi="Arial"/>
          <w:sz w:val="18"/>
          <w:szCs w:val="18"/>
          <w:color w:val="auto"/>
        </w:rPr>
        <w:t>Tel: +1 (713) 375-3535</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140"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slb.com/newsroom</w:t>
      </w:r>
    </w:p>
    <w:p>
      <w:pPr>
        <w:sectPr>
          <w:pgSz w:w="11900" w:h="16838" w:orient="portrait"/>
          <w:cols w:equalWidth="0" w:num="1">
            <w:col w:w="11020"/>
          </w:cols>
          <w:pgMar w:left="440" w:top="229"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0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Section 27A of the Securities Act of 1933, as amended, and Section 21E of the Exchange Act of 1934, as amended.</w:t>
      </w:r>
    </w:p>
    <w:p>
      <w:pPr>
        <w:spacing w:after="0" w:line="15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2024, as filed with the SEC on January 22, 2025, and Part 1, “Item 1A. Risk Factors” in ChampionX’s Annual Report on Form 10-K for the year ended December 31, 2024 filed with the SEC on February 5, 2025, and each of their respective, subsequent Quarterly Reports on Form 10-Q and Current Reports on Form 8-K.</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These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19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These risks, as well as other risks related to the proposed transaction, are included in the Form S-4 and proxy statement/prospectus that have been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 -looking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with ChampionX and Where to Find It</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connection with the proposed transaction with ChampionX, SLB filed with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(https://www.sec.gov/Archives/edgar/data/87347/000119312524139403/d818663d424b3.htm),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and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slb.com/newsroom</w:t>
      </w:r>
    </w:p>
    <w:p>
      <w:pPr>
        <w:sectPr>
          <w:pgSz w:w="11900" w:h="16838" w:orient="portrait"/>
          <w:cols w:equalWidth="0" w:num="1">
            <w:col w:w="11000"/>
          </w:cols>
          <w:pgMar w:left="440" w:top="269" w:right="459" w:bottom="799" w:gutter="0" w:footer="0" w:header="0"/>
        </w:sectPr>
      </w:pPr>
    </w:p>
    <w:bookmarkStart w:id="2" w:name="page3"/>
    <w:bookmarkEnd w:id="2"/>
    <w:p>
      <w:pPr>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documents (if and when available) containing important information about SLB, ChampionX and the proposed transaction,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slb.com/newsroom</w:t>
      </w:r>
    </w:p>
    <w:sectPr>
      <w:pgSz w:w="11900" w:h="16838" w:orient="portrait"/>
      <w:cols w:equalWidth="0" w:num="1">
        <w:col w:w="10980"/>
      </w:cols>
      <w:pgMar w:left="440" w:top="26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2025-03-27T15:57:48Z</dcterms:created>
  <dcterms:modified xsi:type="dcterms:W3CDTF">2025-03-27T15:57:48Z</dcterms:modified>
</cp:coreProperties>
</file>