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24 July 2025</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June 30, 2025, which was filed with the U.S. Securities and Exchange Commission on July 24, 2025. Such disclosure appears on pages 26-27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2025-07-24T12:33:53Z</dcterms:created>
  <dcterms:modified xsi:type="dcterms:W3CDTF">2025-07-24T12:33:53Z</dcterms:modified>
</cp:coreProperties>
</file>