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76835</wp:posOffset>
            </wp:positionV>
            <wp:extent cx="1442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104775</wp:posOffset>
            </wp:positionV>
            <wp:extent cx="1442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92075</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91440</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86995</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1" w:lineRule="exact"/>
        <w:rPr>
          <w:sz w:val="24"/>
          <w:szCs w:val="24"/>
          <w:color w:val="auto"/>
        </w:rPr>
      </w:pPr>
    </w:p>
    <w:tbl>
      <w:tblPr>
        <w:tblLayout w:type="fixed"/>
        <w:tblInd w:w="1520" w:type="dxa"/>
        <w:tblCellMar>
          <w:top w:w="0" w:type="dxa"/>
          <w:left w:w="0" w:type="dxa"/>
          <w:bottom w:w="0" w:type="dxa"/>
          <w:right w:w="0" w:type="dxa"/>
        </w:tblCellMar>
      </w:tblPr>
      <w:tr>
        <w:trPr>
          <w:trHeight w:val="208"/>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7"/>
              </w:rPr>
              <w:t>CURAÇAO</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89"/>
              </w:rPr>
              <w:t>52-0684746</w:t>
            </w:r>
          </w:p>
        </w:tc>
      </w:tr>
      <w:tr>
        <w:trPr>
          <w:trHeight w:val="146"/>
        </w:trPr>
        <w:tc>
          <w:tcPr>
            <w:tcW w:w="4560" w:type="dxa"/>
            <w:vAlign w:val="bottom"/>
          </w:tcPr>
          <w:p>
            <w:pPr>
              <w:jc w:val="center"/>
              <w:ind w:right="1916"/>
              <w:spacing w:after="0" w:line="146" w:lineRule="exact"/>
              <w:rPr>
                <w:sz w:val="20"/>
                <w:szCs w:val="20"/>
                <w:color w:val="auto"/>
              </w:rPr>
            </w:pPr>
            <w:r>
              <w:rPr>
                <w:rFonts w:ascii="Arial" w:cs="Arial" w:eastAsia="Arial" w:hAnsi="Arial"/>
                <w:sz w:val="14"/>
                <w:szCs w:val="14"/>
                <w:b w:val="1"/>
                <w:bCs w:val="1"/>
                <w:color w:val="auto"/>
                <w:w w:val="91"/>
              </w:rPr>
              <w:t>(State or other jurisdiction of</w:t>
            </w:r>
          </w:p>
        </w:tc>
        <w:tc>
          <w:tcPr>
            <w:tcW w:w="3100" w:type="dxa"/>
            <w:vAlign w:val="bottom"/>
          </w:tcPr>
          <w:p>
            <w:pPr>
              <w:jc w:val="center"/>
              <w:ind w:left="1918"/>
              <w:spacing w:after="0" w:line="146"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4560" w:type="dxa"/>
            <w:vAlign w:val="bottom"/>
          </w:tcPr>
          <w:p>
            <w:pPr>
              <w:jc w:val="center"/>
              <w:ind w:right="1916"/>
              <w:spacing w:after="0"/>
              <w:rPr>
                <w:sz w:val="20"/>
                <w:szCs w:val="20"/>
                <w:color w:val="auto"/>
              </w:rPr>
            </w:pPr>
            <w:r>
              <w:rPr>
                <w:rFonts w:ascii="Arial" w:cs="Arial" w:eastAsia="Arial" w:hAnsi="Arial"/>
                <w:sz w:val="14"/>
                <w:szCs w:val="14"/>
                <w:b w:val="1"/>
                <w:bCs w:val="1"/>
                <w:color w:val="auto"/>
                <w:w w:val="92"/>
              </w:rPr>
              <w:t>incorporation or organization)</w:t>
            </w:r>
          </w:p>
        </w:tc>
        <w:tc>
          <w:tcPr>
            <w:tcW w:w="3100" w:type="dxa"/>
            <w:vAlign w:val="bottom"/>
          </w:tcPr>
          <w:p>
            <w:pPr>
              <w:jc w:val="center"/>
              <w:ind w:left="1918"/>
              <w:spacing w:after="0"/>
              <w:rPr>
                <w:sz w:val="20"/>
                <w:szCs w:val="20"/>
                <w:color w:val="auto"/>
              </w:rPr>
            </w:pPr>
            <w:r>
              <w:rPr>
                <w:rFonts w:ascii="Arial" w:cs="Arial" w:eastAsia="Arial" w:hAnsi="Arial"/>
                <w:sz w:val="14"/>
                <w:szCs w:val="14"/>
                <w:b w:val="1"/>
                <w:bCs w:val="1"/>
                <w:color w:val="auto"/>
                <w:w w:val="92"/>
              </w:rPr>
              <w:t>Identification No.)</w:t>
            </w:r>
          </w:p>
        </w:tc>
      </w:tr>
      <w:tr>
        <w:trPr>
          <w:trHeight w:val="298"/>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9"/>
              </w:rPr>
              <w:t>42 RUE SAINT-DOMINIQUE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PARIS, FRANCE</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1"/>
              </w:rPr>
              <w:t>75007</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5"/>
              </w:rPr>
              <w:t>5599 SAN FELIPE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w w:val="95"/>
              </w:rPr>
              <w:t>HOUSTON, TEXAS, U.S.A.</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1"/>
              </w:rPr>
              <w:t>77056</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9"/>
              </w:rPr>
              <w:t>62 BUCKINGHAM GATE</w:t>
            </w:r>
          </w:p>
        </w:tc>
        <w:tc>
          <w:tcPr>
            <w:tcW w:w="3100" w:type="dxa"/>
            <w:vAlign w:val="bottom"/>
          </w:tcPr>
          <w:p>
            <w:pPr>
              <w:spacing w:after="0"/>
              <w:rPr>
                <w:sz w:val="24"/>
                <w:szCs w:val="24"/>
                <w:color w:val="auto"/>
              </w:rPr>
            </w:pPr>
          </w:p>
        </w:tc>
      </w:tr>
      <w:tr>
        <w:trPr>
          <w:trHeight w:val="230"/>
        </w:trPr>
        <w:tc>
          <w:tcPr>
            <w:tcW w:w="4560" w:type="dxa"/>
            <w:vAlign w:val="bottom"/>
          </w:tcPr>
          <w:p>
            <w:pPr>
              <w:jc w:val="center"/>
              <w:ind w:right="1896"/>
              <w:spacing w:after="0"/>
              <w:rPr>
                <w:sz w:val="20"/>
                <w:szCs w:val="20"/>
                <w:color w:val="auto"/>
              </w:rPr>
            </w:pPr>
            <w:r>
              <w:rPr>
                <w:rFonts w:ascii="Arial" w:cs="Arial" w:eastAsia="Arial" w:hAnsi="Arial"/>
                <w:sz w:val="18"/>
                <w:szCs w:val="18"/>
                <w:b w:val="1"/>
                <w:bCs w:val="1"/>
                <w:color w:val="auto"/>
              </w:rPr>
              <w:t>LONDON, UNITED KINGDOM</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92"/>
              </w:rPr>
              <w:t>SW1E 6AJ</w:t>
            </w:r>
          </w:p>
        </w:tc>
      </w:tr>
      <w:tr>
        <w:trPr>
          <w:trHeight w:val="315"/>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6"/>
              </w:rPr>
              <w:t>PARKSTRAAT 83 THE HAGUE,</w:t>
            </w:r>
          </w:p>
        </w:tc>
        <w:tc>
          <w:tcPr>
            <w:tcW w:w="3100" w:type="dxa"/>
            <w:vAlign w:val="bottom"/>
          </w:tcPr>
          <w:p>
            <w:pPr>
              <w:spacing w:after="0"/>
              <w:rPr>
                <w:sz w:val="24"/>
                <w:szCs w:val="24"/>
                <w:color w:val="auto"/>
              </w:rPr>
            </w:pPr>
          </w:p>
        </w:tc>
      </w:tr>
      <w:tr>
        <w:trPr>
          <w:trHeight w:val="208"/>
        </w:trPr>
        <w:tc>
          <w:tcPr>
            <w:tcW w:w="4560" w:type="dxa"/>
            <w:vAlign w:val="bottom"/>
          </w:tcPr>
          <w:p>
            <w:pPr>
              <w:jc w:val="center"/>
              <w:ind w:right="1916"/>
              <w:spacing w:after="0"/>
              <w:rPr>
                <w:sz w:val="20"/>
                <w:szCs w:val="20"/>
                <w:color w:val="auto"/>
              </w:rPr>
            </w:pPr>
            <w:r>
              <w:rPr>
                <w:rFonts w:ascii="Arial" w:cs="Arial" w:eastAsia="Arial" w:hAnsi="Arial"/>
                <w:sz w:val="18"/>
                <w:szCs w:val="18"/>
                <w:b w:val="1"/>
                <w:bCs w:val="1"/>
                <w:color w:val="auto"/>
                <w:w w:val="99"/>
              </w:rPr>
              <w:t>THE NETHERLANDS</w:t>
            </w:r>
          </w:p>
        </w:tc>
        <w:tc>
          <w:tcPr>
            <w:tcW w:w="3100" w:type="dxa"/>
            <w:vAlign w:val="bottom"/>
          </w:tcPr>
          <w:p>
            <w:pPr>
              <w:jc w:val="center"/>
              <w:ind w:left="1918"/>
              <w:spacing w:after="0"/>
              <w:rPr>
                <w:sz w:val="20"/>
                <w:szCs w:val="20"/>
                <w:color w:val="auto"/>
              </w:rPr>
            </w:pPr>
            <w:r>
              <w:rPr>
                <w:rFonts w:ascii="Arial" w:cs="Arial" w:eastAsia="Arial" w:hAnsi="Arial"/>
                <w:sz w:val="18"/>
                <w:szCs w:val="18"/>
                <w:b w:val="1"/>
                <w:bCs w:val="1"/>
                <w:color w:val="auto"/>
                <w:w w:val="89"/>
              </w:rPr>
              <w:t>2514 JG</w:t>
            </w:r>
          </w:p>
        </w:tc>
      </w:tr>
      <w:tr>
        <w:trPr>
          <w:trHeight w:val="184"/>
        </w:trPr>
        <w:tc>
          <w:tcPr>
            <w:tcW w:w="4560" w:type="dxa"/>
            <w:vAlign w:val="bottom"/>
          </w:tcPr>
          <w:p>
            <w:pPr>
              <w:jc w:val="center"/>
              <w:ind w:right="1896"/>
              <w:spacing w:after="0"/>
              <w:rPr>
                <w:sz w:val="20"/>
                <w:szCs w:val="20"/>
                <w:color w:val="auto"/>
              </w:rPr>
            </w:pPr>
            <w:r>
              <w:rPr>
                <w:rFonts w:ascii="Arial" w:cs="Arial" w:eastAsia="Arial" w:hAnsi="Arial"/>
                <w:sz w:val="14"/>
                <w:szCs w:val="14"/>
                <w:b w:val="1"/>
                <w:bCs w:val="1"/>
                <w:color w:val="auto"/>
                <w:w w:val="88"/>
              </w:rPr>
              <w:t>(Addresses of principal executive offices)</w:t>
            </w:r>
          </w:p>
        </w:tc>
        <w:tc>
          <w:tcPr>
            <w:tcW w:w="3100" w:type="dxa"/>
            <w:vAlign w:val="bottom"/>
          </w:tcPr>
          <w:p>
            <w:pPr>
              <w:jc w:val="center"/>
              <w:ind w:left="1918"/>
              <w:spacing w:after="0"/>
              <w:rPr>
                <w:sz w:val="20"/>
                <w:szCs w:val="20"/>
                <w:color w:val="auto"/>
              </w:rPr>
            </w:pPr>
            <w:r>
              <w:rPr>
                <w:rFonts w:ascii="Arial" w:cs="Arial" w:eastAsia="Arial" w:hAnsi="Arial"/>
                <w:sz w:val="14"/>
                <w:szCs w:val="14"/>
                <w:b w:val="1"/>
                <w:bCs w:val="1"/>
                <w:color w:val="auto"/>
                <w:w w:val="90"/>
              </w:rPr>
              <w:t>(Zip Codes)</w:t>
            </w:r>
          </w:p>
        </w:tc>
      </w:tr>
    </w:tbl>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120" w:lineRule="exact"/>
        <w:rPr>
          <w:sz w:val="24"/>
          <w:szCs w:val="24"/>
          <w:color w:val="auto"/>
        </w:rPr>
      </w:pPr>
    </w:p>
    <w:p>
      <w:pPr>
        <w:ind w:right="60"/>
        <w:spacing w:after="0" w:line="21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4" w:lineRule="exact"/>
        <w:rPr>
          <w:sz w:val="24"/>
          <w:szCs w:val="24"/>
          <w:color w:val="auto"/>
        </w:rPr>
      </w:pPr>
    </w:p>
    <w:p>
      <w:pPr>
        <w:ind w:right="240"/>
        <w:spacing w:after="0" w:line="30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00" w:val="left"/>
          <w:tab w:leader="none" w:pos="112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440"/>
          </w:cols>
          <w:pgMar w:left="240" w:top="205" w:right="219" w:bottom="1440" w:gutter="0" w:footer="0" w:header="0"/>
        </w:sectPr>
      </w:pP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line="184" w:lineRule="exact"/>
        <w:tabs>
          <w:tab w:leader="none" w:pos="6460" w:val="left"/>
          <w:tab w:leader="none" w:pos="88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53" w:lineRule="exact"/>
        <w:rPr>
          <w:sz w:val="24"/>
          <w:szCs w:val="24"/>
          <w:color w:val="auto"/>
        </w:rPr>
      </w:pPr>
    </w:p>
    <w:p>
      <w:pPr>
        <w:spacing w:after="0" w:line="184" w:lineRule="exact"/>
        <w:tabs>
          <w:tab w:leader="none" w:pos="6460" w:val="left"/>
          <w:tab w:leader="none" w:pos="886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1740" w:space="560"/>
            <w:col w:w="9140"/>
          </w:cols>
          <w:pgMar w:left="240" w:top="205" w:right="219" w:bottom="1440" w:gutter="0" w:footer="0" w:header="0"/>
          <w:type w:val="continuous"/>
        </w:sectPr>
      </w:pPr>
    </w:p>
    <w:p>
      <w:pPr>
        <w:ind w:right="36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7940" w:type="dxa"/>
            <w:vAlign w:val="bottom"/>
            <w:gridSpan w:val="3"/>
          </w:tcPr>
          <w:p>
            <w:pPr>
              <w:spacing w:after="0" w:line="184" w:lineRule="exact"/>
              <w:rPr>
                <w:sz w:val="20"/>
                <w:szCs w:val="20"/>
                <w:color w:val="auto"/>
              </w:rPr>
            </w:pPr>
            <w:r>
              <w:rPr>
                <w:rFonts w:ascii="Arial" w:cs="Arial" w:eastAsia="Arial" w:hAnsi="Arial"/>
                <w:sz w:val="16"/>
                <w:szCs w:val="16"/>
                <w:color w:val="auto"/>
                <w:w w:val="92"/>
              </w:rPr>
              <w:t xml:space="preserve">Indicate by check mark whether the registrant is a shell company (as defined in Rule 12b-2 of the Exchange Act).  Yes </w:t>
            </w:r>
            <w:r>
              <w:rPr>
                <w:rFonts w:ascii="MS PGothic" w:cs="MS PGothic" w:eastAsia="MS PGothic" w:hAnsi="MS PGothic"/>
                <w:sz w:val="16"/>
                <w:szCs w:val="16"/>
                <w:color w:val="auto"/>
                <w:w w:val="92"/>
              </w:rPr>
              <w:t>☐</w:t>
            </w:r>
          </w:p>
        </w:tc>
        <w:tc>
          <w:tcPr>
            <w:tcW w:w="3500" w:type="dxa"/>
            <w:vAlign w:val="bottom"/>
            <w:gridSpan w:val="3"/>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88"/>
        </w:trPr>
        <w:tc>
          <w:tcPr>
            <w:tcW w:w="7940" w:type="dxa"/>
            <w:vAlign w:val="bottom"/>
            <w:gridSpan w:val="3"/>
          </w:tcPr>
          <w:p>
            <w:pPr>
              <w:spacing w:after="0"/>
              <w:rPr>
                <w:sz w:val="20"/>
                <w:szCs w:val="20"/>
                <w:color w:val="auto"/>
              </w:rPr>
            </w:pPr>
            <w:r>
              <w:rPr>
                <w:rFonts w:ascii="Arial" w:cs="Arial" w:eastAsia="Arial" w:hAnsi="Arial"/>
                <w:sz w:val="16"/>
                <w:szCs w:val="16"/>
                <w:color w:val="auto"/>
                <w:w w:val="90"/>
              </w:rPr>
              <w:t>Indicate the number of shares outstanding of each of the issuer’s classes of common stock, as of the latest practicable date.</w:t>
            </w: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1"/>
        </w:trPr>
        <w:tc>
          <w:tcPr>
            <w:tcW w:w="7940" w:type="dxa"/>
            <w:vAlign w:val="bottom"/>
            <w:gridSpan w:val="3"/>
          </w:tcPr>
          <w:p>
            <w:pPr>
              <w:ind w:left="3820"/>
              <w:spacing w:after="0"/>
              <w:rPr>
                <w:sz w:val="20"/>
                <w:szCs w:val="20"/>
                <w:color w:val="auto"/>
              </w:rPr>
            </w:pPr>
            <w:r>
              <w:rPr>
                <w:rFonts w:ascii="Arial" w:cs="Arial" w:eastAsia="Arial" w:hAnsi="Arial"/>
                <w:sz w:val="16"/>
                <w:szCs w:val="16"/>
                <w:b w:val="1"/>
                <w:bCs w:val="1"/>
                <w:color w:val="auto"/>
              </w:rPr>
              <w:t>Class</w:t>
            </w:r>
          </w:p>
        </w:tc>
        <w:tc>
          <w:tcPr>
            <w:tcW w:w="3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Outstanding at June 30, 2017</w:t>
            </w:r>
          </w:p>
        </w:tc>
      </w:tr>
      <w:tr>
        <w:trPr>
          <w:trHeight w:val="221"/>
        </w:trPr>
        <w:tc>
          <w:tcPr>
            <w:tcW w:w="7940" w:type="dxa"/>
            <w:vAlign w:val="bottom"/>
            <w:gridSpan w:val="3"/>
          </w:tcPr>
          <w:p>
            <w:pPr>
              <w:spacing w:after="0"/>
              <w:rPr>
                <w:sz w:val="20"/>
                <w:szCs w:val="20"/>
                <w:color w:val="auto"/>
              </w:rPr>
            </w:pPr>
            <w:r>
              <w:rPr>
                <w:rFonts w:ascii="Arial" w:cs="Arial" w:eastAsia="Arial" w:hAnsi="Arial"/>
                <w:sz w:val="16"/>
                <w:szCs w:val="16"/>
                <w:color w:val="auto"/>
              </w:rPr>
              <w:t>COMMON STOCK, $0.01 PAR VALUE PER SHARE</w:t>
            </w:r>
          </w:p>
        </w:tc>
        <w:tc>
          <w:tcPr>
            <w:tcW w:w="780" w:type="dxa"/>
            <w:vAlign w:val="bottom"/>
          </w:tcPr>
          <w:p>
            <w:pPr>
              <w:spacing w:after="0"/>
              <w:rPr>
                <w:sz w:val="19"/>
                <w:szCs w:val="19"/>
                <w:color w:val="auto"/>
              </w:rPr>
            </w:pPr>
          </w:p>
        </w:tc>
        <w:tc>
          <w:tcPr>
            <w:tcW w:w="1980" w:type="dxa"/>
            <w:vAlign w:val="bottom"/>
            <w:tcBorders>
              <w:top w:val="single" w:sz="8" w:color="auto"/>
            </w:tcBorders>
          </w:tcPr>
          <w:p>
            <w:pPr>
              <w:jc w:val="right"/>
              <w:ind w:right="440"/>
              <w:spacing w:after="0"/>
              <w:rPr>
                <w:sz w:val="20"/>
                <w:szCs w:val="20"/>
                <w:color w:val="auto"/>
              </w:rPr>
            </w:pPr>
            <w:r>
              <w:rPr>
                <w:rFonts w:ascii="Arial" w:cs="Arial" w:eastAsia="Arial" w:hAnsi="Arial"/>
                <w:sz w:val="16"/>
                <w:szCs w:val="16"/>
                <w:color w:val="auto"/>
              </w:rPr>
              <w:t>1,384,524,170</w:t>
            </w:r>
          </w:p>
        </w:tc>
        <w:tc>
          <w:tcPr>
            <w:tcW w:w="740" w:type="dxa"/>
            <w:vAlign w:val="bottom"/>
          </w:tcPr>
          <w:p>
            <w:pPr>
              <w:spacing w:after="0"/>
              <w:rPr>
                <w:sz w:val="19"/>
                <w:szCs w:val="19"/>
                <w:color w:val="auto"/>
              </w:rPr>
            </w:pPr>
          </w:p>
        </w:tc>
      </w:tr>
      <w:tr>
        <w:trPr>
          <w:trHeight w:val="131"/>
        </w:trPr>
        <w:tc>
          <w:tcPr>
            <w:tcW w:w="382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376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98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05"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SCHLUMBERGER LIMITED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Second Quarter 2017 Form 10-Q</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9660" w:type="dxa"/>
            <w:vAlign w:val="bottom"/>
            <w:gridSpan w:val="11"/>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140" w:type="dxa"/>
            <w:vAlign w:val="bottom"/>
            <w:vMerge w:val="continue"/>
          </w:tcPr>
          <w:p>
            <w:pPr>
              <w:spacing w:after="0"/>
              <w:rPr>
                <w:sz w:val="23"/>
                <w:szCs w:val="23"/>
                <w:color w:val="auto"/>
              </w:rPr>
            </w:pPr>
          </w:p>
        </w:tc>
        <w:tc>
          <w:tcPr>
            <w:tcW w:w="9660" w:type="dxa"/>
            <w:vAlign w:val="bottom"/>
            <w:gridSpan w:val="1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360" w:type="dxa"/>
            <w:vAlign w:val="bottom"/>
            <w:tcBorders>
              <w:top w:val="single" w:sz="8" w:color="0000EE"/>
            </w:tcBorders>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33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Controls and Procedures</w:t>
              </w:r>
            </w:hyperlink>
          </w:p>
        </w:tc>
        <w:tc>
          <w:tcPr>
            <w:tcW w:w="2480" w:type="dxa"/>
            <w:vAlign w:val="bottom"/>
            <w:tcBorders>
              <w:top w:val="single" w:sz="8" w:color="0000EE"/>
            </w:tcBorders>
            <w:gridSpan w:val="2"/>
          </w:tcPr>
          <w:p>
            <w:pPr>
              <w:spacing w:after="0"/>
              <w:rPr>
                <w:sz w:val="23"/>
                <w:szCs w:val="23"/>
                <w:color w:val="auto"/>
              </w:rPr>
            </w:pPr>
          </w:p>
        </w:tc>
        <w:tc>
          <w:tcPr>
            <w:tcW w:w="5420" w:type="dxa"/>
            <w:vAlign w:val="bottom"/>
            <w:gridSpan w:val="3"/>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1"/>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3"/>
                <w:szCs w:val="23"/>
                <w:color w:val="auto"/>
              </w:rPr>
            </w:pPr>
          </w:p>
        </w:tc>
        <w:tc>
          <w:tcPr>
            <w:tcW w:w="8340" w:type="dxa"/>
            <w:vAlign w:val="bottom"/>
            <w:gridSpan w:val="7"/>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6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Defaults Upon Senior Securities</w:t>
              </w:r>
            </w:hyperlink>
          </w:p>
        </w:tc>
        <w:tc>
          <w:tcPr>
            <w:tcW w:w="1980" w:type="dxa"/>
            <w:vAlign w:val="bottom"/>
            <w:tcBorders>
              <w:top w:val="single" w:sz="8" w:color="0000EE"/>
            </w:tcBorders>
            <w:gridSpan w:val="2"/>
          </w:tcPr>
          <w:p>
            <w:pPr>
              <w:spacing w:after="0"/>
              <w:rPr>
                <w:sz w:val="23"/>
                <w:szCs w:val="23"/>
                <w:color w:val="auto"/>
              </w:rPr>
            </w:pPr>
          </w:p>
        </w:tc>
        <w:tc>
          <w:tcPr>
            <w:tcW w:w="5380" w:type="dxa"/>
            <w:vAlign w:val="bottom"/>
            <w:gridSpan w:val="2"/>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Mine Safety Disclosures</w:t>
              </w:r>
            </w:hyperlink>
          </w:p>
        </w:tc>
        <w:tc>
          <w:tcPr>
            <w:tcW w:w="7900" w:type="dxa"/>
            <w:vAlign w:val="bottom"/>
            <w:gridSpan w:val="5"/>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6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3"/>
                <w:szCs w:val="23"/>
                <w:color w:val="auto"/>
              </w:rPr>
            </w:pPr>
          </w:p>
        </w:tc>
        <w:tc>
          <w:tcPr>
            <w:tcW w:w="8360" w:type="dxa"/>
            <w:vAlign w:val="bottom"/>
            <w:gridSpan w:val="8"/>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1"/>
        </w:trPr>
        <w:tc>
          <w:tcPr>
            <w:tcW w:w="114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66040</wp:posOffset>
            </wp:positionV>
            <wp:extent cx="729107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31"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CONSOLIDATED STATEMENT OF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w w:val="93"/>
              </w:rPr>
              <w:t>(Stated in millions, except per share amounts</w:t>
            </w: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436"/>
        </w:trPr>
        <w:tc>
          <w:tcPr>
            <w:tcW w:w="5880" w:type="dxa"/>
            <w:vAlign w:val="bottom"/>
          </w:tcPr>
          <w:p>
            <w:pPr>
              <w:spacing w:after="0"/>
              <w:rPr>
                <w:sz w:val="24"/>
                <w:szCs w:val="24"/>
                <w:color w:val="auto"/>
              </w:rPr>
            </w:pPr>
          </w:p>
        </w:tc>
        <w:tc>
          <w:tcPr>
            <w:tcW w:w="27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Second Quarter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Six Months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8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Services</w:t>
            </w:r>
          </w:p>
        </w:tc>
        <w:tc>
          <w:tcPr>
            <w:tcW w:w="760" w:type="dxa"/>
            <w:vAlign w:val="bottom"/>
          </w:tcPr>
          <w:p>
            <w:pPr>
              <w:jc w:val="right"/>
              <w:ind w:right="602"/>
              <w:spacing w:after="0"/>
              <w:rPr>
                <w:sz w:val="20"/>
                <w:szCs w:val="20"/>
                <w:color w:val="auto"/>
              </w:rPr>
            </w:pPr>
            <w:r>
              <w:rPr>
                <w:rFonts w:ascii="Arial" w:cs="Arial" w:eastAsia="Arial" w:hAnsi="Arial"/>
                <w:sz w:val="14"/>
                <w:szCs w:val="14"/>
                <w:b w:val="1"/>
                <w:bCs w:val="1"/>
                <w:color w:val="auto"/>
                <w:w w:val="76"/>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5,477</w:t>
            </w:r>
          </w:p>
        </w:tc>
        <w:tc>
          <w:tcPr>
            <w:tcW w:w="2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4,955</w:t>
            </w:r>
          </w:p>
        </w:tc>
        <w:tc>
          <w:tcPr>
            <w:tcW w:w="140" w:type="dxa"/>
            <w:vAlign w:val="bottom"/>
          </w:tcPr>
          <w:p>
            <w:pPr>
              <w:spacing w:after="0"/>
              <w:rPr>
                <w:sz w:val="19"/>
                <w:szCs w:val="19"/>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10,414</w:t>
            </w:r>
          </w:p>
        </w:tc>
        <w:tc>
          <w:tcPr>
            <w:tcW w:w="140" w:type="dxa"/>
            <w:vAlign w:val="bottom"/>
          </w:tcPr>
          <w:p>
            <w:pPr>
              <w:spacing w:after="0"/>
              <w:rPr>
                <w:sz w:val="19"/>
                <w:szCs w:val="19"/>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1,985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8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7,462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14,356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services</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4,624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1,844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3,669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&amp; engineering</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General &amp; administrative</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Impairments &amp; other</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Merger &amp; integration</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w:t>
            </w: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80" w:type="dxa"/>
            <w:vAlign w:val="bottom"/>
          </w:tcPr>
          <w:p>
            <w:pPr>
              <w:spacing w:after="0"/>
              <w:rPr>
                <w:sz w:val="20"/>
                <w:szCs w:val="20"/>
                <w:color w:val="auto"/>
              </w:rPr>
            </w:pPr>
            <w:r>
              <w:rPr>
                <w:rFonts w:ascii="Arial" w:cs="Arial" w:eastAsia="Arial" w:hAnsi="Arial"/>
                <w:sz w:val="18"/>
                <w:szCs w:val="18"/>
                <w:i w:val="1"/>
                <w:iCs w:val="1"/>
                <w:color w:val="auto"/>
              </w:rPr>
              <w:t>Income (loss) before taxes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Taxes on income (loss)</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i w:val="1"/>
                <w:iCs w:val="1"/>
                <w:color w:val="auto"/>
              </w:rPr>
              <w:t>Net income (loss)</w:t>
            </w: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8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(loss) attributable to noncontrolling interests</w:t>
            </w: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i w:val="1"/>
                <w:iCs w:val="1"/>
                <w:color w:val="auto"/>
              </w:rPr>
              <w:t>Net income (loss) attributable to Schlumberger</w:t>
            </w: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880" w:type="dxa"/>
            <w:vAlign w:val="bottom"/>
            <w:vMerge w:val="continue"/>
          </w:tcPr>
          <w:p>
            <w:pPr>
              <w:spacing w:after="0"/>
              <w:rPr>
                <w:sz w:val="22"/>
                <w:szCs w:val="22"/>
                <w:color w:val="auto"/>
              </w:rPr>
            </w:pPr>
          </w:p>
        </w:tc>
        <w:tc>
          <w:tcPr>
            <w:tcW w:w="760" w:type="dxa"/>
            <w:vAlign w:val="bottom"/>
          </w:tcPr>
          <w:p>
            <w:pPr>
              <w:jc w:val="right"/>
              <w:ind w:right="602"/>
              <w:spacing w:after="0"/>
              <w:rPr>
                <w:sz w:val="20"/>
                <w:szCs w:val="20"/>
                <w:color w:val="auto"/>
              </w:rPr>
            </w:pPr>
            <w:r>
              <w:rPr>
                <w:rFonts w:ascii="Arial" w:cs="Arial" w:eastAsia="Arial" w:hAnsi="Arial"/>
                <w:sz w:val="14"/>
                <w:szCs w:val="14"/>
                <w:b w:val="1"/>
                <w:bCs w:val="1"/>
                <w:color w:val="auto"/>
                <w:w w:val="76"/>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40" w:type="dxa"/>
            <w:vAlign w:val="bottom"/>
            <w:vMerge w:val="continue"/>
          </w:tcPr>
          <w:p>
            <w:pPr>
              <w:spacing w:after="0"/>
              <w:rPr>
                <w:sz w:val="22"/>
                <w:szCs w:val="22"/>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(2,160)</w:t>
            </w:r>
          </w:p>
        </w:tc>
        <w:tc>
          <w:tcPr>
            <w:tcW w:w="100" w:type="dxa"/>
            <w:vAlign w:val="bottom"/>
            <w:vMerge w:val="continue"/>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140" w:type="dxa"/>
            <w:vAlign w:val="bottom"/>
          </w:tcPr>
          <w:p>
            <w:pPr>
              <w:spacing w:after="0"/>
              <w:rPr>
                <w:sz w:val="22"/>
                <w:szCs w:val="22"/>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06"/>
        </w:trPr>
        <w:tc>
          <w:tcPr>
            <w:tcW w:w="58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5880" w:type="dxa"/>
            <w:vAlign w:val="bottom"/>
          </w:tcPr>
          <w:p>
            <w:pPr>
              <w:spacing w:after="0"/>
              <w:rPr>
                <w:sz w:val="20"/>
                <w:szCs w:val="20"/>
                <w:color w:val="auto"/>
              </w:rPr>
            </w:pPr>
            <w:r>
              <w:rPr>
                <w:rFonts w:ascii="Arial" w:cs="Arial" w:eastAsia="Arial" w:hAnsi="Arial"/>
                <w:sz w:val="18"/>
                <w:szCs w:val="18"/>
                <w:b w:val="1"/>
                <w:bCs w:val="1"/>
                <w:color w:val="auto"/>
              </w:rPr>
              <w:t>Basic earnings (loss) per share of Schlumberger</w:t>
            </w:r>
          </w:p>
        </w:tc>
        <w:tc>
          <w:tcPr>
            <w:tcW w:w="760" w:type="dxa"/>
            <w:vAlign w:val="bottom"/>
          </w:tcPr>
          <w:p>
            <w:pPr>
              <w:jc w:val="right"/>
              <w:ind w:right="602"/>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(0.05)</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34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140" w:type="dxa"/>
            <w:vAlign w:val="bottom"/>
          </w:tcPr>
          <w:p>
            <w:pPr>
              <w:spacing w:after="0"/>
              <w:rPr>
                <w:sz w:val="23"/>
                <w:szCs w:val="23"/>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6"/>
        </w:trPr>
        <w:tc>
          <w:tcPr>
            <w:tcW w:w="58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5880" w:type="dxa"/>
            <w:vAlign w:val="bottom"/>
          </w:tcPr>
          <w:p>
            <w:pPr>
              <w:spacing w:after="0"/>
              <w:rPr>
                <w:sz w:val="20"/>
                <w:szCs w:val="20"/>
                <w:color w:val="auto"/>
              </w:rPr>
            </w:pPr>
            <w:r>
              <w:rPr>
                <w:rFonts w:ascii="Arial" w:cs="Arial" w:eastAsia="Arial" w:hAnsi="Arial"/>
                <w:sz w:val="18"/>
                <w:szCs w:val="18"/>
                <w:b w:val="1"/>
                <w:bCs w:val="1"/>
                <w:color w:val="auto"/>
              </w:rPr>
              <w:t>Diluted earnings (loss) per share of Schlumberger</w:t>
            </w:r>
          </w:p>
        </w:tc>
        <w:tc>
          <w:tcPr>
            <w:tcW w:w="760" w:type="dxa"/>
            <w:vAlign w:val="bottom"/>
          </w:tcPr>
          <w:p>
            <w:pPr>
              <w:jc w:val="right"/>
              <w:ind w:right="602"/>
              <w:spacing w:after="0"/>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(0.05)</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34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140" w:type="dxa"/>
            <w:vAlign w:val="bottom"/>
          </w:tcPr>
          <w:p>
            <w:pPr>
              <w:spacing w:after="0"/>
              <w:rPr>
                <w:sz w:val="23"/>
                <w:szCs w:val="23"/>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6"/>
        </w:trPr>
        <w:tc>
          <w:tcPr>
            <w:tcW w:w="58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1,387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Assuming dilution</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2780"/>
        <w:spacing w:after="0"/>
        <w:rPr>
          <w:sz w:val="20"/>
          <w:szCs w:val="20"/>
          <w:color w:val="auto"/>
        </w:rPr>
      </w:pPr>
      <w:r>
        <w:rPr>
          <w:rFonts w:ascii="Arial" w:cs="Arial" w:eastAsia="Arial" w:hAnsi="Arial"/>
          <w:sz w:val="18"/>
          <w:szCs w:val="18"/>
          <w:b w:val="1"/>
          <w:bCs w:val="1"/>
          <w:u w:val="single" w:color="auto"/>
          <w:color w:val="auto"/>
        </w:rPr>
        <w:t>CONSOLIDATED STATEMENT OF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6"/>
        </w:trPr>
        <w:tc>
          <w:tcPr>
            <w:tcW w:w="5880" w:type="dxa"/>
            <w:vAlign w:val="bottom"/>
          </w:tcPr>
          <w:p>
            <w:pPr>
              <w:spacing w:after="0"/>
              <w:rPr>
                <w:sz w:val="24"/>
                <w:szCs w:val="24"/>
                <w:color w:val="auto"/>
              </w:rPr>
            </w:pPr>
          </w:p>
        </w:tc>
        <w:tc>
          <w:tcPr>
            <w:tcW w:w="284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8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800" w:type="dxa"/>
            <w:vAlign w:val="bottom"/>
            <w:shd w:val="clear" w:color="auto" w:fill="CFF0FC"/>
          </w:tcPr>
          <w:p>
            <w:pPr>
              <w:jc w:val="right"/>
              <w:ind w:right="640"/>
              <w:spacing w:after="0"/>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(2,146)</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203</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8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net change arising during the period</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(71)</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arising during the period</w:t>
            </w:r>
          </w:p>
        </w:tc>
        <w:tc>
          <w:tcPr>
            <w:tcW w:w="8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(21)</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gain (loss) on cash flow hedges</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Reclassification to net income (loss) of net realized loss (gain)</w:t>
            </w: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80" w:type="dxa"/>
            <w:vAlign w:val="bottom"/>
          </w:tcPr>
          <w:p>
            <w:pPr>
              <w:ind w:left="240"/>
              <w:spacing w:after="0"/>
              <w:rPr>
                <w:sz w:val="20"/>
                <w:szCs w:val="20"/>
                <w:color w:val="auto"/>
              </w:rPr>
            </w:pPr>
            <w:r>
              <w:rPr>
                <w:rFonts w:ascii="Arial" w:cs="Arial" w:eastAsia="Arial" w:hAnsi="Arial"/>
                <w:sz w:val="18"/>
                <w:szCs w:val="18"/>
                <w:color w:val="auto"/>
              </w:rPr>
              <w:t>Actuarial loss</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to net income (loss) of net actuarial loss</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80" w:type="dxa"/>
            <w:vAlign w:val="bottom"/>
          </w:tcPr>
          <w:p>
            <w:pPr>
              <w:ind w:left="240"/>
              <w:spacing w:after="0"/>
              <w:rPr>
                <w:sz w:val="20"/>
                <w:szCs w:val="20"/>
                <w:color w:val="auto"/>
              </w:rPr>
            </w:pPr>
            <w:r>
              <w:rPr>
                <w:rFonts w:ascii="Arial" w:cs="Arial" w:eastAsia="Arial" w:hAnsi="Arial"/>
                <w:sz w:val="18"/>
                <w:szCs w:val="18"/>
                <w:color w:val="auto"/>
              </w:rPr>
              <w:t>Prior service cost</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to net income (loss) of net prior service cost</w:t>
            </w: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Income taxes on pension and other postretirement benefit plans</w:t>
            </w:r>
          </w:p>
        </w:tc>
        <w:tc>
          <w:tcPr>
            <w:tcW w:w="8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880" w:type="dxa"/>
            <w:vAlign w:val="bottom"/>
            <w:vMerge w:val="restart"/>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w:t>
            </w: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8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0"/>
              </w:rPr>
              <w:t>(110)</w:t>
            </w:r>
          </w:p>
        </w:tc>
        <w:tc>
          <w:tcPr>
            <w:tcW w:w="2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(2,160)</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6"/>
        </w:trPr>
        <w:tc>
          <w:tcPr>
            <w:tcW w:w="5880" w:type="dxa"/>
            <w:vAlign w:val="bottom"/>
          </w:tcPr>
          <w:p>
            <w:pPr>
              <w:ind w:left="2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8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8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jc w:val="right"/>
              <w:ind w:right="640"/>
              <w:spacing w:after="0"/>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0"/>
              </w:rPr>
              <w:t>(103)</w:t>
            </w:r>
          </w:p>
        </w:tc>
        <w:tc>
          <w:tcPr>
            <w:tcW w:w="2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(2,174)</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290</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8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Jun. 30,</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51"/>
              <w:spacing w:after="0"/>
              <w:rPr>
                <w:sz w:val="20"/>
                <w:szCs w:val="20"/>
                <w:color w:val="auto"/>
              </w:rPr>
            </w:pPr>
            <w:r>
              <w:rPr>
                <w:rFonts w:ascii="Arial" w:cs="Arial" w:eastAsia="Arial" w:hAnsi="Arial"/>
                <w:sz w:val="18"/>
                <w:szCs w:val="18"/>
                <w:b w:val="1"/>
                <w:bCs w:val="1"/>
                <w:color w:val="auto"/>
                <w:w w:val="84"/>
              </w:rPr>
              <w:t>2017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Dec. 31,</w:t>
            </w:r>
          </w:p>
        </w:tc>
      </w:tr>
      <w:tr>
        <w:trPr>
          <w:trHeight w:val="230"/>
        </w:trPr>
        <w:tc>
          <w:tcPr>
            <w:tcW w:w="7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(Unaudited)</w:t>
            </w:r>
          </w:p>
        </w:tc>
        <w:tc>
          <w:tcPr>
            <w:tcW w:w="300" w:type="dxa"/>
            <w:vAlign w:val="bottom"/>
          </w:tcPr>
          <w:p>
            <w:pPr>
              <w:spacing w:after="0"/>
              <w:rPr>
                <w:sz w:val="20"/>
                <w:szCs w:val="20"/>
                <w:color w:val="auto"/>
              </w:rPr>
            </w:pPr>
          </w:p>
        </w:tc>
        <w:tc>
          <w:tcPr>
            <w:tcW w:w="1320" w:type="dxa"/>
            <w:vAlign w:val="bottom"/>
          </w:tcPr>
          <w:p>
            <w:pPr>
              <w:jc w:val="right"/>
              <w:ind w:right="552"/>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3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1,903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4,315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Receivables less allowance for doubtful accounts (2017 - $345; 2016 - $397)</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8,925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9,387</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4,338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21,273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23,927</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1,553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12,358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Multiclient Seismic Data</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1,042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Goodwill</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25,058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24,990</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Intangible Assets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9,636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3,929</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w:t>
            </w:r>
          </w:p>
        </w:tc>
        <w:tc>
          <w:tcPr>
            <w:tcW w:w="100" w:type="dxa"/>
            <w:vAlign w:val="bottom"/>
            <w:shd w:val="clear" w:color="auto" w:fill="CFF0FC"/>
          </w:tcPr>
          <w:p>
            <w:pPr>
              <w:spacing w:after="0"/>
              <w:rPr>
                <w:sz w:val="19"/>
                <w:szCs w:val="19"/>
                <w:color w:val="auto"/>
              </w:rPr>
            </w:pPr>
          </w:p>
        </w:tc>
      </w:tr>
      <w:tr>
        <w:trPr>
          <w:trHeight w:val="259"/>
        </w:trPr>
        <w:tc>
          <w:tcPr>
            <w:tcW w:w="78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74,862</w:t>
            </w:r>
          </w:p>
        </w:tc>
        <w:tc>
          <w:tcPr>
            <w:tcW w:w="2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77,956</w:t>
            </w:r>
          </w:p>
        </w:tc>
        <w:tc>
          <w:tcPr>
            <w:tcW w:w="100" w:type="dxa"/>
            <w:vAlign w:val="bottom"/>
            <w:tcBorders>
              <w:bottom w:val="single" w:sz="8" w:color="CFF0FC"/>
            </w:tcBorders>
          </w:tcPr>
          <w:p>
            <w:pPr>
              <w:spacing w:after="0"/>
              <w:rPr>
                <w:sz w:val="22"/>
                <w:szCs w:val="22"/>
                <w:color w:val="auto"/>
              </w:rPr>
            </w:pPr>
          </w:p>
        </w:tc>
      </w:tr>
      <w:tr>
        <w:trPr>
          <w:trHeight w:val="206"/>
        </w:trPr>
        <w:tc>
          <w:tcPr>
            <w:tcW w:w="78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i w:val="1"/>
                <w:iCs w:val="1"/>
                <w:color w:val="auto"/>
              </w:rPr>
              <w:t>LIABILITIES AND EQUITY</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5"/>
        </w:trPr>
        <w:tc>
          <w:tcPr>
            <w:tcW w:w="78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9,444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Estimated liability for taxes on income</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1,159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2,224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13,527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15,059</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16,600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16,463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34,910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36,427</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Equity</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12,843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12,801</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Treasury stock</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(4,049)</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(3,550)</w:t>
            </w:r>
          </w:p>
        </w:tc>
      </w:tr>
      <w:tr>
        <w:trPr>
          <w:trHeight w:val="226"/>
        </w:trPr>
        <w:tc>
          <w:tcPr>
            <w:tcW w:w="782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35,284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36,470</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(4,558)</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(4,643)</w:t>
            </w:r>
          </w:p>
        </w:tc>
      </w:tr>
      <w:tr>
        <w:trPr>
          <w:trHeight w:val="219"/>
        </w:trPr>
        <w:tc>
          <w:tcPr>
            <w:tcW w:w="7820" w:type="dxa"/>
            <w:vAlign w:val="bottom"/>
          </w:tcPr>
          <w:p>
            <w:pPr>
              <w:ind w:left="240"/>
              <w:spacing w:after="0"/>
              <w:rPr>
                <w:sz w:val="20"/>
                <w:szCs w:val="20"/>
                <w:color w:val="auto"/>
              </w:rPr>
            </w:pPr>
            <w:r>
              <w:rPr>
                <w:rFonts w:ascii="Arial" w:cs="Arial" w:eastAsia="Arial" w:hAnsi="Arial"/>
                <w:sz w:val="18"/>
                <w:szCs w:val="18"/>
                <w:color w:val="auto"/>
              </w:rPr>
              <w:t>Schlumberger stockholders' equity</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39,520</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41,078</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39,952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41,529</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74,862</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37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4"/>
        </w:trPr>
        <w:tc>
          <w:tcPr>
            <w:tcW w:w="6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921"/>
              <w:spacing w:after="0"/>
              <w:rPr>
                <w:sz w:val="20"/>
                <w:szCs w:val="20"/>
                <w:color w:val="auto"/>
              </w:rPr>
            </w:pPr>
            <w:r>
              <w:rPr>
                <w:rFonts w:ascii="Arial" w:cs="Arial" w:eastAsia="Arial" w:hAnsi="Arial"/>
                <w:sz w:val="13"/>
                <w:szCs w:val="13"/>
                <w:b w:val="1"/>
                <w:bCs w:val="1"/>
                <w:color w:val="auto"/>
                <w:w w:val="92"/>
              </w:rPr>
              <w:t>Six Months Ended June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720" w:type="dxa"/>
            <w:vAlign w:val="bottom"/>
          </w:tcPr>
          <w:p>
            <w:pPr>
              <w:spacing w:after="0"/>
              <w:rPr>
                <w:sz w:val="13"/>
                <w:szCs w:val="13"/>
                <w:color w:val="auto"/>
              </w:rPr>
            </w:pPr>
          </w:p>
        </w:tc>
        <w:tc>
          <w:tcPr>
            <w:tcW w:w="21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621"/>
              <w:spacing w:after="0"/>
              <w:rPr>
                <w:sz w:val="20"/>
                <w:szCs w:val="20"/>
                <w:color w:val="auto"/>
              </w:rPr>
            </w:pPr>
            <w:r>
              <w:rPr>
                <w:rFonts w:ascii="Arial" w:cs="Arial" w:eastAsia="Arial" w:hAnsi="Arial"/>
                <w:sz w:val="13"/>
                <w:szCs w:val="13"/>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16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240"/>
              <w:spacing w:after="0"/>
              <w:rPr>
                <w:sz w:val="20"/>
                <w:szCs w:val="20"/>
                <w:color w:val="auto"/>
              </w:rPr>
            </w:pPr>
            <w:r>
              <w:rPr>
                <w:rFonts w:ascii="Arial" w:cs="Arial" w:eastAsia="Arial" w:hAnsi="Arial"/>
                <w:sz w:val="16"/>
                <w:szCs w:val="16"/>
                <w:color w:val="auto"/>
              </w:rPr>
              <w:t>Net income (loss)</w:t>
            </w:r>
          </w:p>
        </w:tc>
        <w:tc>
          <w:tcPr>
            <w:tcW w:w="2100" w:type="dxa"/>
            <w:vAlign w:val="bottom"/>
            <w:gridSpan w:val="2"/>
          </w:tcPr>
          <w:p>
            <w:pPr>
              <w:jc w:val="right"/>
              <w:ind w:right="786"/>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203</w:t>
            </w:r>
          </w:p>
        </w:tc>
        <w:tc>
          <w:tcPr>
            <w:tcW w:w="18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600"/>
              <w:spacing w:after="0"/>
              <w:rPr>
                <w:sz w:val="20"/>
                <w:szCs w:val="20"/>
                <w:color w:val="auto"/>
              </w:rPr>
            </w:pPr>
            <w:r>
              <w:rPr>
                <w:rFonts w:ascii="Arial" w:cs="Arial" w:eastAsia="Arial" w:hAnsi="Arial"/>
                <w:sz w:val="16"/>
                <w:szCs w:val="16"/>
                <w:color w:val="auto"/>
              </w:rPr>
              <w:t>Impairments and other charges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600"/>
              <w:spacing w:after="0" w:line="214"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4"/>
                <w:szCs w:val="24"/>
                <w:color w:val="auto"/>
                <w:vertAlign w:val="superscript"/>
              </w:rPr>
              <w:t>(1)</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1,975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600"/>
              <w:spacing w:after="0"/>
              <w:rPr>
                <w:sz w:val="20"/>
                <w:szCs w:val="20"/>
                <w:color w:val="auto"/>
              </w:rPr>
            </w:pPr>
            <w:r>
              <w:rPr>
                <w:rFonts w:ascii="Arial" w:cs="Arial" w:eastAsia="Arial" w:hAnsi="Arial"/>
                <w:sz w:val="16"/>
                <w:szCs w:val="16"/>
                <w:color w:val="auto"/>
              </w:rPr>
              <w:t>Pension and other postretirement benefits expense</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600"/>
              <w:spacing w:after="0"/>
              <w:rPr>
                <w:sz w:val="20"/>
                <w:szCs w:val="20"/>
                <w:color w:val="auto"/>
              </w:rPr>
            </w:pPr>
            <w:r>
              <w:rPr>
                <w:rFonts w:ascii="Arial" w:cs="Arial" w:eastAsia="Arial" w:hAnsi="Arial"/>
                <w:sz w:val="16"/>
                <w:szCs w:val="16"/>
                <w:color w:val="auto"/>
              </w:rPr>
              <w:t>Pension and other postretirement benefits funding</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Earnings of equity method investments, less dividends received</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6720" w:type="dxa"/>
            <w:vAlign w:val="bottom"/>
          </w:tcPr>
          <w:p>
            <w:pPr>
              <w:ind w:left="240"/>
              <w:spacing w:after="0" w:line="212"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4"/>
                <w:szCs w:val="24"/>
                <w:color w:val="auto"/>
                <w:vertAlign w:val="superscript"/>
              </w:rPr>
              <w:t>(2)</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decrease in receivables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(406)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600"/>
              <w:spacing w:after="0"/>
              <w:rPr>
                <w:sz w:val="20"/>
                <w:szCs w:val="20"/>
                <w:color w:val="auto"/>
              </w:rPr>
            </w:pPr>
            <w:r>
              <w:rPr>
                <w:rFonts w:ascii="Arial" w:cs="Arial" w:eastAsia="Arial" w:hAnsi="Arial"/>
                <w:sz w:val="16"/>
                <w:szCs w:val="16"/>
                <w:color w:val="auto"/>
              </w:rPr>
              <w:t>(Increase) decrease in inventories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(Increase) decrease in other current assets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(123)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600"/>
              <w:spacing w:after="0"/>
              <w:rPr>
                <w:sz w:val="20"/>
                <w:szCs w:val="20"/>
                <w:color w:val="auto"/>
              </w:rPr>
            </w:pPr>
            <w:r>
              <w:rPr>
                <w:rFonts w:ascii="Arial" w:cs="Arial" w:eastAsia="Arial" w:hAnsi="Arial"/>
                <w:sz w:val="16"/>
                <w:szCs w:val="16"/>
                <w:color w:val="auto"/>
              </w:rPr>
              <w:t>Increase in other assets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 accounts payable and accrued liabilities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(738)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210"/>
        </w:trPr>
        <w:tc>
          <w:tcPr>
            <w:tcW w:w="6720" w:type="dxa"/>
            <w:vAlign w:val="bottom"/>
          </w:tcPr>
          <w:p>
            <w:pPr>
              <w:ind w:left="600"/>
              <w:spacing w:after="0"/>
              <w:rPr>
                <w:sz w:val="20"/>
                <w:szCs w:val="20"/>
                <w:color w:val="auto"/>
              </w:rPr>
            </w:pPr>
            <w:r>
              <w:rPr>
                <w:rFonts w:ascii="Arial" w:cs="Arial" w:eastAsia="Arial" w:hAnsi="Arial"/>
                <w:sz w:val="16"/>
                <w:szCs w:val="16"/>
                <w:color w:val="auto"/>
              </w:rPr>
              <w:t>Decrease in estimated liability for taxes on income</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600"/>
              <w:spacing w:after="0"/>
              <w:rPr>
                <w:sz w:val="20"/>
                <w:szCs w:val="20"/>
                <w:color w:val="auto"/>
              </w:rPr>
            </w:pPr>
            <w:r>
              <w:rPr>
                <w:rFonts w:ascii="Arial" w:cs="Arial" w:eastAsia="Arial" w:hAnsi="Arial"/>
                <w:sz w:val="16"/>
                <w:szCs w:val="16"/>
                <w:color w:val="auto"/>
              </w:rPr>
              <w:t>(Decrease) increase in other liabilities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600"/>
              <w:spacing w:after="0"/>
              <w:rPr>
                <w:sz w:val="20"/>
                <w:szCs w:val="20"/>
                <w:color w:val="auto"/>
              </w:rPr>
            </w:pPr>
            <w:r>
              <w:rPr>
                <w:rFonts w:ascii="Arial" w:cs="Arial" w:eastAsia="Arial" w:hAnsi="Arial"/>
                <w:sz w:val="16"/>
                <w:szCs w:val="16"/>
                <w:color w:val="auto"/>
              </w:rPr>
              <w:t>Other</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8"/>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11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1,514</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Capital expenditures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(884)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10"/>
        </w:trPr>
        <w:tc>
          <w:tcPr>
            <w:tcW w:w="6720" w:type="dxa"/>
            <w:vAlign w:val="bottom"/>
          </w:tcPr>
          <w:p>
            <w:pPr>
              <w:ind w:left="360"/>
              <w:spacing w:after="0"/>
              <w:rPr>
                <w:sz w:val="20"/>
                <w:szCs w:val="20"/>
                <w:color w:val="auto"/>
              </w:rPr>
            </w:pPr>
            <w:r>
              <w:rPr>
                <w:rFonts w:ascii="Arial" w:cs="Arial" w:eastAsia="Arial" w:hAnsi="Arial"/>
                <w:sz w:val="16"/>
                <w:szCs w:val="16"/>
                <w:color w:val="auto"/>
              </w:rPr>
              <w:t>SPM investments</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Multiclient seismic data costs capitalized</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(190)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10"/>
        </w:trPr>
        <w:tc>
          <w:tcPr>
            <w:tcW w:w="6720" w:type="dxa"/>
            <w:vAlign w:val="bottom"/>
          </w:tcPr>
          <w:p>
            <w:pPr>
              <w:ind w:left="360"/>
              <w:spacing w:after="0"/>
              <w:rPr>
                <w:sz w:val="20"/>
                <w:szCs w:val="20"/>
                <w:color w:val="auto"/>
              </w:rPr>
            </w:pPr>
            <w:r>
              <w:rPr>
                <w:rFonts w:ascii="Arial" w:cs="Arial" w:eastAsia="Arial" w:hAnsi="Arial"/>
                <w:sz w:val="16"/>
                <w:szCs w:val="16"/>
                <w:color w:val="auto"/>
              </w:rPr>
              <w:t>Business acquisitions and investments, net of cash acquired</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Sale of investments, net</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2,245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360"/>
              <w:spacing w:after="0"/>
              <w:rPr>
                <w:sz w:val="20"/>
                <w:szCs w:val="20"/>
                <w:color w:val="auto"/>
              </w:rPr>
            </w:pPr>
            <w:r>
              <w:rPr>
                <w:rFonts w:ascii="Arial" w:cs="Arial" w:eastAsia="Arial" w:hAnsi="Arial"/>
                <w:sz w:val="16"/>
                <w:szCs w:val="16"/>
                <w:color w:val="auto"/>
              </w:rPr>
              <w:t>Other</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PROVIDED BY (USED IN) INVESTING ACTIVITIES</w:t>
            </w:r>
          </w:p>
        </w:tc>
        <w:tc>
          <w:tcPr>
            <w:tcW w:w="11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20" w:type="dxa"/>
            <w:vAlign w:val="bottom"/>
            <w:vMerge w:val="continue"/>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418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1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Dividends paid</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(1,393)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210"/>
        </w:trPr>
        <w:tc>
          <w:tcPr>
            <w:tcW w:w="6720" w:type="dxa"/>
            <w:vAlign w:val="bottom"/>
          </w:tcPr>
          <w:p>
            <w:pPr>
              <w:ind w:left="360"/>
              <w:spacing w:after="0"/>
              <w:rPr>
                <w:sz w:val="20"/>
                <w:szCs w:val="20"/>
                <w:color w:val="auto"/>
              </w:rPr>
            </w:pPr>
            <w:r>
              <w:rPr>
                <w:rFonts w:ascii="Arial" w:cs="Arial" w:eastAsia="Arial" w:hAnsi="Arial"/>
                <w:sz w:val="16"/>
                <w:szCs w:val="16"/>
                <w:color w:val="auto"/>
              </w:rPr>
              <w:t>Proceeds from employee stock purchase plan</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360"/>
              <w:spacing w:after="0"/>
              <w:rPr>
                <w:sz w:val="20"/>
                <w:szCs w:val="20"/>
                <w:color w:val="auto"/>
              </w:rPr>
            </w:pPr>
            <w:r>
              <w:rPr>
                <w:rFonts w:ascii="Arial" w:cs="Arial" w:eastAsia="Arial" w:hAnsi="Arial"/>
                <w:sz w:val="16"/>
                <w:szCs w:val="16"/>
                <w:color w:val="auto"/>
              </w:rPr>
              <w:t>Stock repurchase program</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(770)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360"/>
              <w:spacing w:after="0"/>
              <w:rPr>
                <w:sz w:val="20"/>
                <w:szCs w:val="20"/>
                <w:color w:val="auto"/>
              </w:rPr>
            </w:pPr>
            <w:r>
              <w:rPr>
                <w:rFonts w:ascii="Arial" w:cs="Arial" w:eastAsia="Arial" w:hAnsi="Arial"/>
                <w:sz w:val="16"/>
                <w:szCs w:val="16"/>
                <w:color w:val="auto"/>
              </w:rPr>
              <w:t>Repayment of long-term debt</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(3,401)</w:t>
            </w: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Net decrease in short-term borrowings</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(1,097)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0"/>
        </w:trPr>
        <w:tc>
          <w:tcPr>
            <w:tcW w:w="6720" w:type="dxa"/>
            <w:vAlign w:val="bottom"/>
          </w:tcPr>
          <w:p>
            <w:pPr>
              <w:ind w:left="360"/>
              <w:spacing w:after="0"/>
              <w:rPr>
                <w:sz w:val="20"/>
                <w:szCs w:val="20"/>
                <w:color w:val="auto"/>
              </w:rPr>
            </w:pPr>
            <w:r>
              <w:rPr>
                <w:rFonts w:ascii="Arial" w:cs="Arial" w:eastAsia="Arial" w:hAnsi="Arial"/>
                <w:sz w:val="16"/>
                <w:szCs w:val="16"/>
                <w:color w:val="auto"/>
              </w:rPr>
              <w:t>Other</w:t>
            </w: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FINANCING ACTIVITIES</w:t>
            </w:r>
          </w:p>
        </w:tc>
        <w:tc>
          <w:tcPr>
            <w:tcW w:w="11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20" w:type="dxa"/>
            <w:vAlign w:val="bottom"/>
            <w:vMerge w:val="continue"/>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(2,969)</w:t>
            </w:r>
          </w:p>
        </w:tc>
        <w:tc>
          <w:tcPr>
            <w:tcW w:w="1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(1,923)</w:t>
            </w:r>
          </w:p>
        </w:tc>
        <w:tc>
          <w:tcPr>
            <w:tcW w:w="0" w:type="dxa"/>
            <w:vAlign w:val="bottom"/>
          </w:tcPr>
          <w:p>
            <w:pPr>
              <w:spacing w:after="0"/>
              <w:rPr>
                <w:sz w:val="1"/>
                <w:szCs w:val="1"/>
                <w:color w:val="auto"/>
              </w:rPr>
            </w:pPr>
          </w:p>
        </w:tc>
      </w:tr>
      <w:tr>
        <w:trPr>
          <w:trHeight w:val="204"/>
        </w:trPr>
        <w:tc>
          <w:tcPr>
            <w:tcW w:w="6720" w:type="dxa"/>
            <w:vAlign w:val="bottom"/>
          </w:tcPr>
          <w:p>
            <w:pPr>
              <w:spacing w:after="0"/>
              <w:rPr>
                <w:sz w:val="20"/>
                <w:szCs w:val="20"/>
                <w:color w:val="auto"/>
              </w:rPr>
            </w:pPr>
            <w:r>
              <w:rPr>
                <w:rFonts w:ascii="Arial" w:cs="Arial" w:eastAsia="Arial" w:hAnsi="Arial"/>
                <w:sz w:val="16"/>
                <w:szCs w:val="16"/>
                <w:color w:val="auto"/>
              </w:rPr>
              <w:t>Net (decrease) increase in cash before translation effect</w:t>
            </w:r>
          </w:p>
        </w:tc>
        <w:tc>
          <w:tcPr>
            <w:tcW w:w="11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Translation effect on cash</w:t>
            </w:r>
          </w:p>
        </w:tc>
        <w:tc>
          <w:tcPr>
            <w:tcW w:w="1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beginning of period</w:t>
            </w:r>
          </w:p>
        </w:tc>
        <w:tc>
          <w:tcPr>
            <w:tcW w:w="11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Cash, end of period</w:t>
            </w:r>
          </w:p>
        </w:tc>
        <w:tc>
          <w:tcPr>
            <w:tcW w:w="11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1,903</w:t>
            </w:r>
          </w:p>
        </w:tc>
        <w:tc>
          <w:tcPr>
            <w:tcW w:w="18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280" w:hanging="194"/>
        <w:spacing w:after="0"/>
        <w:tabs>
          <w:tab w:leader="none" w:pos="280" w:val="left"/>
        </w:tabs>
        <w:numPr>
          <w:ilvl w:val="0"/>
          <w:numId w:val="1"/>
        </w:numPr>
        <w:rPr>
          <w:rFonts w:ascii="Arial" w:cs="Arial" w:eastAsia="Arial" w:hAnsi="Arial"/>
          <w:sz w:val="23"/>
          <w:szCs w:val="23"/>
          <w:color w:val="auto"/>
          <w:vertAlign w:val="superscript"/>
        </w:rPr>
      </w:pPr>
      <w:r>
        <w:rPr>
          <w:rFonts w:ascii="Arial" w:cs="Arial" w:eastAsia="Arial" w:hAnsi="Arial"/>
          <w:sz w:val="15"/>
          <w:szCs w:val="15"/>
          <w:color w:val="auto"/>
        </w:rPr>
        <w:t>Includes depreciation of property, plant and equipment and amortization of intangible assets, multiclient seismic data costs and SPM investments.</w:t>
      </w:r>
    </w:p>
    <w:p>
      <w:pPr>
        <w:spacing w:after="0" w:line="22" w:lineRule="exact"/>
        <w:rPr>
          <w:rFonts w:ascii="Arial" w:cs="Arial" w:eastAsia="Arial" w:hAnsi="Arial"/>
          <w:sz w:val="23"/>
          <w:szCs w:val="23"/>
          <w:color w:val="auto"/>
          <w:vertAlign w:val="superscript"/>
        </w:rPr>
      </w:pPr>
    </w:p>
    <w:p>
      <w:pPr>
        <w:ind w:left="280" w:hanging="194"/>
        <w:spacing w:after="0" w:line="180" w:lineRule="auto"/>
        <w:tabs>
          <w:tab w:leader="none" w:pos="28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66040</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00"/>
          </w:cols>
          <w:pgMar w:left="160" w:top="121" w:right="239" w:bottom="1440" w:gutter="0" w:footer="0" w:header="0"/>
        </w:sectPr>
      </w:pPr>
    </w:p>
    <w:bookmarkStart w:id="6" w:name="page7"/>
    <w:bookmarkEnd w:id="6"/>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5"/>
          </w:tcPr>
          <w:p>
            <w:pPr>
              <w:ind w:left="140"/>
              <w:spacing w:after="0"/>
              <w:rPr>
                <w:sz w:val="20"/>
                <w:szCs w:val="20"/>
                <w:color w:val="auto"/>
              </w:rPr>
            </w:pPr>
            <w:r>
              <w:rPr>
                <w:rFonts w:ascii="Arial" w:cs="Arial" w:eastAsia="Arial" w:hAnsi="Arial"/>
                <w:sz w:val="14"/>
                <w:szCs w:val="14"/>
                <w:i w:val="1"/>
                <w:iCs w:val="1"/>
                <w:color w:val="auto"/>
                <w:w w:val="95"/>
              </w:rPr>
              <w:t>(Stated in millions)</w:t>
            </w:r>
          </w:p>
        </w:tc>
      </w:tr>
      <w:tr>
        <w:trPr>
          <w:trHeight w:val="294"/>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Retained</w:t>
            </w:r>
          </w:p>
        </w:tc>
        <w:tc>
          <w:tcPr>
            <w:tcW w:w="60" w:type="dxa"/>
            <w:vAlign w:val="bottom"/>
          </w:tcPr>
          <w:p>
            <w:pPr>
              <w:spacing w:after="0"/>
              <w:rPr>
                <w:sz w:val="14"/>
                <w:szCs w:val="14"/>
                <w:color w:val="auto"/>
              </w:rPr>
            </w:pPr>
          </w:p>
        </w:tc>
        <w:tc>
          <w:tcPr>
            <w:tcW w:w="1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b w:val="1"/>
                <w:bCs w:val="1"/>
                <w:color w:val="auto"/>
              </w:rPr>
              <w:t>January 1, 2017 – June 30, 2017</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80"/>
              <w:spacing w:after="0" w:line="153" w:lineRule="exact"/>
              <w:rPr>
                <w:sz w:val="20"/>
                <w:szCs w:val="20"/>
                <w:color w:val="auto"/>
              </w:rPr>
            </w:pPr>
            <w:r>
              <w:rPr>
                <w:rFonts w:ascii="Arial" w:cs="Arial" w:eastAsia="Arial" w:hAnsi="Arial"/>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w w:val="95"/>
              </w:rPr>
              <w:t>In Treasury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60"/>
              <w:spacing w:after="0" w:line="153" w:lineRule="exact"/>
              <w:rPr>
                <w:sz w:val="20"/>
                <w:szCs w:val="20"/>
                <w:color w:val="auto"/>
              </w:rPr>
            </w:pPr>
            <w:r>
              <w:rPr>
                <w:rFonts w:ascii="Arial" w:cs="Arial" w:eastAsia="Arial" w:hAnsi="Arial"/>
                <w:sz w:val="14"/>
                <w:szCs w:val="14"/>
                <w:b w:val="1"/>
                <w:bCs w:val="1"/>
                <w:color w:val="auto"/>
                <w:w w:val="96"/>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2017</w:t>
            </w:r>
          </w:p>
        </w:tc>
        <w:tc>
          <w:tcPr>
            <w:tcW w:w="220" w:type="dxa"/>
            <w:vAlign w:val="bottom"/>
            <w:tcBorders>
              <w:top w:val="single" w:sz="8" w:color="auto"/>
            </w:tcBorders>
            <w:gridSpan w:val="2"/>
            <w:shd w:val="clear" w:color="auto" w:fill="CFF0FC"/>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12,801</w:t>
            </w:r>
          </w:p>
        </w:tc>
        <w:tc>
          <w:tcPr>
            <w:tcW w:w="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(3,550)</w:t>
            </w: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gridSpan w:val="2"/>
            <w:shd w:val="clear" w:color="auto" w:fill="CFF0FC"/>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36,470</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gridSpan w:val="2"/>
            <w:shd w:val="clear" w:color="auto" w:fill="CFF0FC"/>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(4,643)</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451</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rPr>
              <w:t>41,529</w:t>
            </w:r>
          </w:p>
        </w:tc>
        <w:tc>
          <w:tcPr>
            <w:tcW w:w="20" w:type="dxa"/>
            <w:vAlign w:val="bottom"/>
            <w:tcBorders>
              <w:top w:val="single" w:sz="8" w:color="CFF0FC"/>
            </w:tcBorders>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203</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(26</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19</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19</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117</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(33)</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80</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47</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(80)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80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(12)</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108</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96</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(770)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(770</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180</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180</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Dividends declared ($1.00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(1,391)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(1,391</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(13)</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(17)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(27</w:t>
            </w:r>
          </w:p>
        </w:tc>
        <w:tc>
          <w:tcPr>
            <w:tcW w:w="20" w:type="dxa"/>
            <w:vAlign w:val="bottom"/>
            <w:shd w:val="clear" w:color="auto" w:fill="CFF0FC"/>
          </w:tcPr>
          <w:p>
            <w:pPr>
              <w:spacing w:after="0"/>
              <w:rPr>
                <w:sz w:val="13"/>
                <w:szCs w:val="13"/>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color w:val="auto"/>
              </w:rPr>
              <w:t>Balance, June 30, 2017</w:t>
            </w:r>
          </w:p>
        </w:tc>
        <w:tc>
          <w:tcPr>
            <w:tcW w:w="220" w:type="dxa"/>
            <w:vAlign w:val="bottom"/>
            <w:tcBorders>
              <w:top w:val="single" w:sz="8" w:color="auto"/>
              <w:bottom w:val="single" w:sz="8" w:color="auto"/>
            </w:tcBorders>
            <w:gridSpan w:val="2"/>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12,843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(4,049)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gridSpan w:val="2"/>
          </w:tcPr>
          <w:p>
            <w:pPr>
              <w:jc w:val="right"/>
              <w:ind w:right="69"/>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35,284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9"/>
              <w:spacing w:after="0" w:line="153"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(4,558)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39,952</w:t>
            </w:r>
          </w:p>
        </w:tc>
        <w:tc>
          <w:tcPr>
            <w:tcW w:w="20" w:type="dxa"/>
            <w:vAlign w:val="bottom"/>
          </w:tcPr>
          <w:p>
            <w:pPr>
              <w:spacing w:after="0"/>
              <w:rPr>
                <w:sz w:val="13"/>
                <w:szCs w:val="13"/>
                <w:color w:val="auto"/>
              </w:rPr>
            </w:pPr>
          </w:p>
        </w:tc>
      </w:tr>
      <w:tr>
        <w:trPr>
          <w:trHeight w:val="20"/>
        </w:trPr>
        <w:tc>
          <w:tcPr>
            <w:tcW w:w="3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i w:val="1"/>
                <w:iCs w:val="1"/>
                <w:color w:val="auto"/>
                <w:w w:val="94"/>
              </w:rPr>
              <w:t>(Stated in million</w:t>
            </w:r>
          </w:p>
        </w:tc>
      </w:tr>
      <w:tr>
        <w:trPr>
          <w:trHeight w:val="294"/>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Noncontrolling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b w:val="1"/>
                <w:bCs w:val="1"/>
                <w:color w:val="auto"/>
              </w:rPr>
              <w:t>January 1, 2016 – June 30, 2016</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60"/>
              <w:spacing w:after="0" w:line="153" w:lineRule="exact"/>
              <w:rPr>
                <w:sz w:val="20"/>
                <w:szCs w:val="20"/>
                <w:color w:val="auto"/>
              </w:rPr>
            </w:pPr>
            <w:r>
              <w:rPr>
                <w:rFonts w:ascii="Arial" w:cs="Arial" w:eastAsia="Arial" w:hAnsi="Arial"/>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80"/>
              <w:spacing w:after="0" w:line="153"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00"/>
              <w:spacing w:after="0" w:line="153"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January 1, 2016</w:t>
            </w:r>
          </w:p>
        </w:tc>
        <w:tc>
          <w:tcPr>
            <w:tcW w:w="220" w:type="dxa"/>
            <w:vAlign w:val="bottom"/>
            <w:tcBorders>
              <w:top w:val="single" w:sz="8" w:color="auto"/>
            </w:tcBorders>
            <w:gridSpan w:val="2"/>
            <w:shd w:val="clear" w:color="auto" w:fill="CFF0FC"/>
          </w:tcPr>
          <w:p>
            <w:pPr>
              <w:jc w:val="right"/>
              <w:ind w:right="49"/>
              <w:spacing w:after="0" w:line="153"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12,693</w:t>
            </w: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(13,372)</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gridSpan w:val="2"/>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40,870</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gridSpan w:val="2"/>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(4,558)</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272</w:t>
            </w:r>
          </w:p>
        </w:tc>
        <w:tc>
          <w:tcPr>
            <w:tcW w:w="260" w:type="dxa"/>
            <w:vAlign w:val="bottom"/>
            <w:tcBorders>
              <w:top w:val="single" w:sz="8" w:color="CFF0FC"/>
            </w:tcBorders>
            <w:gridSpan w:val="2"/>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35,90</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(1,659)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(1,62</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(51)</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(5</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(38)</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117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7</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(63)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Arial" w:cs="Arial" w:eastAsia="Arial" w:hAnsi="Arial"/>
                <w:sz w:val="14"/>
                <w:szCs w:val="14"/>
                <w:color w:val="auto"/>
              </w:rPr>
              <w:t>(19)</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135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11</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(506)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145</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14</w:t>
            </w:r>
          </w:p>
        </w:tc>
      </w:tr>
      <w:tr>
        <w:trPr>
          <w:trHeight w:val="159"/>
        </w:trPr>
        <w:tc>
          <w:tcPr>
            <w:tcW w:w="3860" w:type="dxa"/>
            <w:vAlign w:val="bottom"/>
          </w:tcPr>
          <w:p>
            <w:pPr>
              <w:spacing w:after="0" w:line="159" w:lineRule="exact"/>
              <w:rPr>
                <w:sz w:val="20"/>
                <w:szCs w:val="20"/>
                <w:color w:val="auto"/>
              </w:rPr>
            </w:pPr>
            <w:r>
              <w:rPr>
                <w:rFonts w:ascii="Arial" w:cs="Arial" w:eastAsia="Arial" w:hAnsi="Arial"/>
                <w:sz w:val="14"/>
                <w:szCs w:val="14"/>
                <w:color w:val="auto"/>
              </w:rPr>
              <w:t>Dividends declared ($1.00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(1,322)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(1,32</w:t>
            </w:r>
          </w:p>
        </w:tc>
      </w:tr>
      <w:tr>
        <w:trPr>
          <w:trHeight w:val="159"/>
        </w:trPr>
        <w:tc>
          <w:tcPr>
            <w:tcW w:w="38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Acquisition of Cameron International Corporation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103</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9,924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57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Arial" w:cs="Arial" w:eastAsia="Arial" w:hAnsi="Arial"/>
                <w:sz w:val="14"/>
                <w:szCs w:val="14"/>
                <w:color w:val="auto"/>
              </w:rPr>
              <w:t>10,08</w:t>
            </w:r>
          </w:p>
        </w:tc>
      </w:tr>
      <w:tr>
        <w:trPr>
          <w:trHeight w:val="159"/>
        </w:trPr>
        <w:tc>
          <w:tcPr>
            <w:tcW w:w="3860" w:type="dxa"/>
            <w:vAlign w:val="bottom"/>
            <w:tcBorders>
              <w:bottom w:val="single" w:sz="8" w:color="CFF0FC"/>
            </w:tcBorders>
          </w:tcPr>
          <w:p>
            <w:pPr>
              <w:spacing w:after="0" w:line="159" w:lineRule="exact"/>
              <w:rPr>
                <w:sz w:val="20"/>
                <w:szCs w:val="20"/>
                <w:color w:val="auto"/>
              </w:rPr>
            </w:pPr>
            <w:r>
              <w:rPr>
                <w:rFonts w:ascii="Arial" w:cs="Arial" w:eastAsia="Arial" w:hAnsi="Arial"/>
                <w:sz w:val="14"/>
                <w:szCs w:val="14"/>
                <w:color w:val="auto"/>
              </w:rPr>
              <w:t>Other</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14</w:t>
            </w:r>
          </w:p>
        </w:tc>
        <w:tc>
          <w:tcPr>
            <w:tcW w:w="2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3</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4</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w:t>
            </w:r>
          </w:p>
        </w:tc>
      </w:tr>
      <w:tr>
        <w:trPr>
          <w:trHeight w:val="153"/>
        </w:trPr>
        <w:tc>
          <w:tcPr>
            <w:tcW w:w="3860" w:type="dxa"/>
            <w:vAlign w:val="bottom"/>
            <w:tcBorders>
              <w:bottom w:val="single" w:sz="8" w:color="CFF0FC"/>
            </w:tcBorders>
            <w:shd w:val="clear" w:color="auto" w:fill="CFF0FC"/>
          </w:tcPr>
          <w:p>
            <w:pPr>
              <w:spacing w:after="0" w:line="153" w:lineRule="exact"/>
              <w:rPr>
                <w:sz w:val="20"/>
                <w:szCs w:val="20"/>
                <w:color w:val="auto"/>
              </w:rPr>
            </w:pPr>
            <w:r>
              <w:rPr>
                <w:rFonts w:ascii="Arial" w:cs="Arial" w:eastAsia="Arial" w:hAnsi="Arial"/>
                <w:sz w:val="14"/>
                <w:szCs w:val="14"/>
                <w:color w:val="auto"/>
              </w:rPr>
              <w:t>Balance, June 30, 2016</w:t>
            </w:r>
          </w:p>
        </w:tc>
        <w:tc>
          <w:tcPr>
            <w:tcW w:w="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49"/>
              <w:spacing w:after="0" w:line="15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12,835</w:t>
            </w:r>
          </w:p>
        </w:tc>
        <w:tc>
          <w:tcPr>
            <w:tcW w:w="220" w:type="dxa"/>
            <w:vAlign w:val="bottom"/>
            <w:tcBorders>
              <w:bottom w:val="single" w:sz="8" w:color="CFF0FC"/>
            </w:tcBorders>
            <w:shd w:val="clear" w:color="auto" w:fill="CFF0FC"/>
          </w:tcPr>
          <w:p>
            <w:pPr>
              <w:spacing w:after="0"/>
              <w:rPr>
                <w:sz w:val="13"/>
                <w:szCs w:val="13"/>
                <w:color w:val="auto"/>
              </w:rPr>
            </w:pPr>
          </w:p>
        </w:tc>
        <w:tc>
          <w:tcPr>
            <w:tcW w:w="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(3,636)</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shd w:val="clear" w:color="auto" w:fill="CFF0FC"/>
          </w:tcPr>
          <w:p>
            <w:pPr>
              <w:jc w:val="right"/>
              <w:ind w:right="20"/>
              <w:spacing w:after="0" w:line="153" w:lineRule="exact"/>
              <w:rPr>
                <w:sz w:val="20"/>
                <w:szCs w:val="20"/>
                <w:color w:val="auto"/>
              </w:rPr>
            </w:pPr>
            <w:r>
              <w:rPr>
                <w:rFonts w:ascii="Arial" w:cs="Arial" w:eastAsia="Arial" w:hAnsi="Arial"/>
                <w:sz w:val="14"/>
                <w:szCs w:val="14"/>
                <w:color w:val="auto"/>
              </w:rPr>
              <w:t>37,889</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gridSpan w:val="2"/>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(4,478)</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gridSpan w:val="2"/>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369</w:t>
            </w:r>
          </w:p>
        </w:tc>
        <w:tc>
          <w:tcPr>
            <w:tcW w:w="26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line="15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shd w:val="clear" w:color="auto" w:fill="CFF0FC"/>
          </w:tcPr>
          <w:p>
            <w:pPr>
              <w:jc w:val="right"/>
              <w:spacing w:after="0" w:line="153" w:lineRule="exact"/>
              <w:rPr>
                <w:sz w:val="20"/>
                <w:szCs w:val="20"/>
                <w:color w:val="auto"/>
              </w:rPr>
            </w:pPr>
            <w:r>
              <w:rPr>
                <w:rFonts w:ascii="Arial" w:cs="Arial" w:eastAsia="Arial" w:hAnsi="Arial"/>
                <w:sz w:val="14"/>
                <w:szCs w:val="14"/>
                <w:color w:val="auto"/>
              </w:rPr>
              <w:t>42,97</w:t>
            </w:r>
          </w:p>
        </w:tc>
      </w:tr>
      <w:tr>
        <w:trPr>
          <w:trHeight w:val="20"/>
        </w:trPr>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65"/>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0"/>
        </w:trPr>
        <w:tc>
          <w:tcPr>
            <w:tcW w:w="672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4"/>
              </w:rPr>
              <w:t>Issued</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In Treasury</w:t>
            </w:r>
          </w:p>
        </w:tc>
        <w:tc>
          <w:tcPr>
            <w:tcW w:w="26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FF0FC"/>
            </w:tcBorders>
          </w:tcPr>
          <w:p>
            <w:pPr>
              <w:spacing w:after="0"/>
              <w:rPr>
                <w:sz w:val="20"/>
                <w:szCs w:val="20"/>
                <w:color w:val="auto"/>
              </w:rPr>
            </w:pPr>
          </w:p>
        </w:tc>
      </w:tr>
      <w:tr>
        <w:trPr>
          <w:trHeight w:val="22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5"/>
        </w:trPr>
        <w:tc>
          <w:tcPr>
            <w:tcW w:w="7640" w:type="dxa"/>
            <w:vAlign w:val="bottom"/>
            <w:gridSpan w:val="2"/>
          </w:tcPr>
          <w:p>
            <w:pPr>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0"/>
        </w:trPr>
        <w:tc>
          <w:tcPr>
            <w:tcW w:w="6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6720" w:type="dxa"/>
            <w:vAlign w:val="bottom"/>
          </w:tcPr>
          <w:p>
            <w:pPr>
              <w:spacing w:after="0"/>
              <w:rPr>
                <w:sz w:val="20"/>
                <w:szCs w:val="20"/>
                <w:color w:val="auto"/>
              </w:rPr>
            </w:pPr>
            <w:r>
              <w:rPr>
                <w:rFonts w:ascii="Arial" w:cs="Arial" w:eastAsia="Arial" w:hAnsi="Arial"/>
                <w:sz w:val="18"/>
                <w:szCs w:val="18"/>
                <w:color w:val="auto"/>
              </w:rPr>
              <w:t>Balance, June 30, 2017</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136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7" w:name="page8"/>
    <w:bookmarkEnd w:id="7"/>
    <w:p>
      <w:pPr>
        <w:ind w:lef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2"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p>
      <w:pPr>
        <w:ind w:left="320" w:hanging="314"/>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six-month period ended June 30, 2017 are not necessarily indicative of the results that may be expected for the full year ending December 31, 2017. The December 31, 2016 balance sheet information has been derived from the Schlumberger 2016 audited financial statements. For further information, refer to the </w:t>
      </w:r>
      <w:r>
        <w:rPr>
          <w:rFonts w:ascii="Arial" w:cs="Arial" w:eastAsia="Arial" w:hAnsi="Arial"/>
          <w:sz w:val="17"/>
          <w:szCs w:val="17"/>
          <w:i w:val="1"/>
          <w:iCs w:val="1"/>
          <w:color w:val="auto"/>
        </w:rPr>
        <w:t xml:space="preserve">Consolidated Financial Statements </w:t>
      </w:r>
      <w:r>
        <w:rPr>
          <w:rFonts w:ascii="Arial" w:cs="Arial" w:eastAsia="Arial" w:hAnsi="Arial"/>
          <w:sz w:val="17"/>
          <w:szCs w:val="17"/>
          <w:color w:val="auto"/>
        </w:rPr>
        <w:t>and notes thereto included in the Schlumberger Annual Report on Form 10-K for the year ended December 31, 2016,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Securities and Exchange Commission on January 25,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This ASU amends the existing accounting standards for revenue recognition and is based on the principle that revenue should be recognized to</w:t>
      </w:r>
      <w:r>
        <w:rPr>
          <w:rFonts w:ascii="Arial" w:cs="Arial" w:eastAsia="Arial" w:hAnsi="Arial"/>
          <w:sz w:val="18"/>
          <w:szCs w:val="18"/>
          <w:i w:val="1"/>
          <w:iCs w:val="1"/>
          <w:color w:val="auto"/>
        </w:rPr>
        <w:t xml:space="preserve"> </w:t>
      </w:r>
      <w:r>
        <w:rPr>
          <w:rFonts w:ascii="Arial" w:cs="Arial" w:eastAsia="Arial" w:hAnsi="Arial"/>
          <w:sz w:val="18"/>
          <w:szCs w:val="18"/>
          <w:color w:val="auto"/>
        </w:rPr>
        <w:t>depict the transfer of goods or services to a customer at an amount that reflects the consideration a company expects to receive in exchange for those goods or services. Schlumberger will adopt this ASU on January 1, 2018. Schlumberger does not expect the adoption of this ASU to have a material impact on its consolidated financial statements.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This ASU requires lessees to recognize a right of use asset and lease liability on the balance sheet for all leases, with the exception of short-term leases. Schlumberger will adopt this ASU on January 1, 2019. Based on its current lease portfolio, Schlumberger estimates that the adoption of this ASU will result in approximately $1.3 billion of additional assets and liabilities being reflected on its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291" w:lineRule="exact"/>
        <w:rPr>
          <w:sz w:val="20"/>
          <w:szCs w:val="20"/>
          <w:color w:val="auto"/>
        </w:rPr>
      </w:pPr>
    </w:p>
    <w:p>
      <w:pPr>
        <w:ind w:left="280" w:hanging="274"/>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six months of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2017:</w:t>
      </w:r>
    </w:p>
    <w:p>
      <w:pPr>
        <w:spacing w:after="0" w:line="112" w:lineRule="exact"/>
        <w:rPr>
          <w:sz w:val="20"/>
          <w:szCs w:val="20"/>
          <w:color w:val="auto"/>
        </w:rPr>
      </w:pPr>
    </w:p>
    <w:p>
      <w:pPr>
        <w:jc w:val="both"/>
        <w:ind w:left="760" w:hanging="382"/>
        <w:spacing w:after="0" w:line="26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During the second quarter of 2017, Schlumberger entered into a financing agreement with its primary customer in Venezuela. This agreement resulted in the exchange of $700 million of outstanding accounts receivable for a promissory note with a three-year term that bears interest at the rate of 6.50% per annum. Schlumberger recorded this note at its estimated fair value on the date of the exchange, which resulted in a pretax and after-tax charge of $460 million. Schlumberger is accounting for the promissory note as an available-for-sale security reported at fair value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with unrealized gains and losses included as a component of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The fair value of the promissory notes is based on management’s estimate of pricing assumptions that market participants would use.</w:t>
      </w:r>
    </w:p>
    <w:p>
      <w:pPr>
        <w:spacing w:after="0" w:line="178" w:lineRule="exact"/>
        <w:rPr>
          <w:rFonts w:ascii="Arial" w:cs="Arial" w:eastAsia="Arial" w:hAnsi="Arial"/>
          <w:sz w:val="17"/>
          <w:szCs w:val="17"/>
          <w:color w:val="auto"/>
        </w:rPr>
      </w:pPr>
    </w:p>
    <w:p>
      <w:pPr>
        <w:jc w:val="both"/>
        <w:ind w:left="760"/>
        <w:spacing w:after="0" w:line="256" w:lineRule="auto"/>
        <w:rPr>
          <w:rFonts w:ascii="Arial" w:cs="Arial" w:eastAsia="Arial" w:hAnsi="Arial"/>
          <w:sz w:val="17"/>
          <w:szCs w:val="17"/>
          <w:color w:val="auto"/>
        </w:rPr>
      </w:pPr>
      <w:r>
        <w:rPr>
          <w:rFonts w:ascii="Arial" w:cs="Arial" w:eastAsia="Arial" w:hAnsi="Arial"/>
          <w:sz w:val="18"/>
          <w:szCs w:val="18"/>
          <w:color w:val="auto"/>
        </w:rPr>
        <w:t>During the second quarter of 2017, Schlumberger also entered into discussions with another customer relating to certain of its outstanding accounts receivable. As a result of these ongoing discussions, Schlumberger recorded a pretax charge of $50 million ($38 million after taxes and noncontrolling interests) to adjust these receivables to their estimated net realizable value.</w:t>
      </w:r>
    </w:p>
    <w:p>
      <w:pPr>
        <w:spacing w:after="0" w:line="188"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 xml:space="preserve">These charges are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p>
    <w:p>
      <w:pPr>
        <w:spacing w:after="0" w:line="111" w:lineRule="exact"/>
        <w:rPr>
          <w:rFonts w:ascii="Arial" w:cs="Arial" w:eastAsia="Arial" w:hAnsi="Arial"/>
          <w:sz w:val="17"/>
          <w:szCs w:val="17"/>
          <w:color w:val="auto"/>
        </w:rPr>
      </w:pPr>
    </w:p>
    <w:p>
      <w:pPr>
        <w:jc w:val="both"/>
        <w:ind w:left="760" w:hanging="382"/>
        <w:spacing w:after="0" w:line="256"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connection with Schlumberger’s acquisition of Cameron (See Note 4 – </w:t>
      </w:r>
      <w:r>
        <w:rPr>
          <w:rFonts w:ascii="Arial" w:cs="Arial" w:eastAsia="Arial" w:hAnsi="Arial"/>
          <w:sz w:val="18"/>
          <w:szCs w:val="18"/>
          <w:i w:val="1"/>
          <w:iCs w:val="1"/>
          <w:color w:val="auto"/>
        </w:rPr>
        <w:t>Acquisition of Cameron</w:t>
      </w:r>
      <w:r>
        <w:rPr>
          <w:rFonts w:ascii="Arial" w:cs="Arial" w:eastAsia="Arial" w:hAnsi="Arial"/>
          <w:sz w:val="18"/>
          <w:szCs w:val="18"/>
          <w:color w:val="auto"/>
        </w:rPr>
        <w:t xml:space="preserve">), Schlumberger recorded $81 million of pretax charges ($64 million after-tax) consisting of employee benefits, facility consolidation and other merger and integration-related costs. These charges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2017:</w:t>
      </w:r>
    </w:p>
    <w:p>
      <w:pPr>
        <w:spacing w:after="0" w:line="112" w:lineRule="exact"/>
        <w:rPr>
          <w:sz w:val="20"/>
          <w:szCs w:val="20"/>
          <w:color w:val="auto"/>
        </w:rPr>
      </w:pPr>
    </w:p>
    <w:p>
      <w:pPr>
        <w:jc w:val="both"/>
        <w:ind w:left="760" w:hanging="382"/>
        <w:spacing w:after="0" w:line="25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connection with Schlumberger’s acquisition of Cameron (See Note 4 – </w:t>
      </w:r>
      <w:r>
        <w:rPr>
          <w:rFonts w:ascii="Arial" w:cs="Arial" w:eastAsia="Arial" w:hAnsi="Arial"/>
          <w:sz w:val="18"/>
          <w:szCs w:val="18"/>
          <w:i w:val="1"/>
          <w:iCs w:val="1"/>
          <w:color w:val="auto"/>
        </w:rPr>
        <w:t>Acquisition of Cameron</w:t>
      </w:r>
      <w:r>
        <w:rPr>
          <w:rFonts w:ascii="Arial" w:cs="Arial" w:eastAsia="Arial" w:hAnsi="Arial"/>
          <w:sz w:val="18"/>
          <w:szCs w:val="18"/>
          <w:color w:val="auto"/>
        </w:rPr>
        <w:t xml:space="preserve">), Schlumberger recorded $82 million of pretax charges ($68 million after-tax) consisting of employee benefits, facility consolidation and other merger and integration-related costs. These charges are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is a summary of the charges and credits recorded during the first six months of 2017:</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5"/>
        </w:trPr>
        <w:tc>
          <w:tcPr>
            <w:tcW w:w="5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5"/>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58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Tax</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8"/>
              </w:rPr>
              <w:t>Interests</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CFF0FC"/>
            </w:tcBorders>
          </w:tcPr>
          <w:p>
            <w:pPr>
              <w:spacing w:after="0"/>
              <w:rPr>
                <w:sz w:val="19"/>
                <w:szCs w:val="19"/>
                <w:color w:val="auto"/>
              </w:rPr>
            </w:pPr>
          </w:p>
        </w:tc>
      </w:tr>
      <w:tr>
        <w:trPr>
          <w:trHeight w:val="22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Promissory note fair value adjustment and other</w:t>
            </w:r>
          </w:p>
        </w:tc>
        <w:tc>
          <w:tcPr>
            <w:tcW w:w="840" w:type="dxa"/>
            <w:vAlign w:val="bottom"/>
            <w:shd w:val="clear" w:color="auto" w:fill="CFF0FC"/>
          </w:tcPr>
          <w:p>
            <w:pPr>
              <w:jc w:val="right"/>
              <w:ind w:right="682"/>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510</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2"/>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50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Merger &amp; integration</w:t>
            </w: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164</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2"/>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674</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2"/>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50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second quarter of 2016:</w:t>
      </w:r>
    </w:p>
    <w:p>
      <w:pPr>
        <w:spacing w:after="0" w:line="112" w:lineRule="exact"/>
        <w:rPr>
          <w:sz w:val="20"/>
          <w:szCs w:val="20"/>
          <w:color w:val="auto"/>
        </w:rPr>
      </w:pPr>
    </w:p>
    <w:p>
      <w:pPr>
        <w:jc w:val="both"/>
        <w:ind w:left="760" w:hanging="382"/>
        <w:spacing w:after="0" w:line="278"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a result of the persistent unfavorable oil and gas industry market conditions that continued to deteriorate in the first half of 2016, and the related impact on first-half operating results and expected customer activity levels, Schlumberger determined that the carrying values of certain assets were no longer recoverable and took certain decisions that resulted in the following impairments and other charges:</w:t>
      </w:r>
    </w:p>
    <w:p>
      <w:pPr>
        <w:spacing w:after="0" w:line="171" w:lineRule="exact"/>
        <w:rPr>
          <w:rFonts w:ascii="Arial" w:cs="Arial" w:eastAsia="Arial" w:hAnsi="Arial"/>
          <w:sz w:val="17"/>
          <w:szCs w:val="17"/>
          <w:color w:val="auto"/>
        </w:rPr>
      </w:pPr>
    </w:p>
    <w:p>
      <w:pPr>
        <w:ind w:left="1220" w:hanging="363"/>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$646 million of severance costs associated with further headcount reductions.</w:t>
      </w:r>
    </w:p>
    <w:p>
      <w:pPr>
        <w:spacing w:after="0" w:line="16" w:lineRule="exact"/>
        <w:rPr>
          <w:rFonts w:ascii="Arial" w:cs="Arial" w:eastAsia="Arial" w:hAnsi="Arial"/>
          <w:sz w:val="18"/>
          <w:szCs w:val="18"/>
          <w:color w:val="auto"/>
        </w:rPr>
      </w:pPr>
    </w:p>
    <w:p>
      <w:pPr>
        <w:ind w:left="1220" w:hanging="363"/>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$209 million impairment of pressure pumping equipment in North America.</w:t>
      </w:r>
    </w:p>
    <w:p>
      <w:pPr>
        <w:spacing w:after="0" w:line="5" w:lineRule="exact"/>
        <w:rPr>
          <w:rFonts w:ascii="Arial" w:cs="Arial" w:eastAsia="Arial" w:hAnsi="Arial"/>
          <w:sz w:val="18"/>
          <w:szCs w:val="18"/>
          <w:color w:val="auto"/>
        </w:rPr>
      </w:pPr>
    </w:p>
    <w:p>
      <w:pPr>
        <w:ind w:left="1220" w:hanging="363"/>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$165 million impairment of facilities in North America.</w:t>
      </w:r>
    </w:p>
    <w:p>
      <w:pPr>
        <w:spacing w:after="0" w:line="5" w:lineRule="exact"/>
        <w:rPr>
          <w:rFonts w:ascii="Arial" w:cs="Arial" w:eastAsia="Arial" w:hAnsi="Arial"/>
          <w:sz w:val="18"/>
          <w:szCs w:val="18"/>
          <w:color w:val="auto"/>
        </w:rPr>
      </w:pPr>
    </w:p>
    <w:p>
      <w:pPr>
        <w:ind w:left="1220" w:hanging="363"/>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$684 million of other fixed asset impairments primarily relating to other underutilized equipment.</w:t>
      </w:r>
    </w:p>
    <w:p>
      <w:pPr>
        <w:spacing w:after="0" w:line="5" w:lineRule="exact"/>
        <w:rPr>
          <w:rFonts w:ascii="Arial" w:cs="Arial" w:eastAsia="Arial" w:hAnsi="Arial"/>
          <w:sz w:val="18"/>
          <w:szCs w:val="18"/>
          <w:color w:val="auto"/>
        </w:rPr>
      </w:pPr>
    </w:p>
    <w:p>
      <w:pPr>
        <w:ind w:left="1220" w:hanging="363"/>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$616 million write-down of the carrying value of certain inventory to its net realizable value.</w:t>
      </w:r>
    </w:p>
    <w:p>
      <w:pPr>
        <w:spacing w:after="0" w:line="5" w:lineRule="exact"/>
        <w:rPr>
          <w:rFonts w:ascii="Arial" w:cs="Arial" w:eastAsia="Arial" w:hAnsi="Arial"/>
          <w:sz w:val="18"/>
          <w:szCs w:val="18"/>
          <w:color w:val="auto"/>
        </w:rPr>
      </w:pPr>
    </w:p>
    <w:p>
      <w:pPr>
        <w:ind w:left="1220" w:hanging="363"/>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$198 million impairment of certain multiclient seismic data, largely related to the US Gulf of Mexico.</w:t>
      </w:r>
    </w:p>
    <w:p>
      <w:pPr>
        <w:spacing w:after="0" w:line="5" w:lineRule="exact"/>
        <w:rPr>
          <w:rFonts w:ascii="Arial" w:cs="Arial" w:eastAsia="Arial" w:hAnsi="Arial"/>
          <w:sz w:val="18"/>
          <w:szCs w:val="18"/>
          <w:color w:val="auto"/>
        </w:rPr>
      </w:pPr>
    </w:p>
    <w:p>
      <w:pPr>
        <w:ind w:left="1220" w:hanging="363"/>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$55 million of other costs, primarily relating to facility closure costs.</w:t>
      </w:r>
    </w:p>
    <w:p>
      <w:pPr>
        <w:spacing w:after="0" w:line="207"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 xml:space="preserve">The fair value of the impaired fixed assets and multiclient seismic data was estimated based on the projected present value of future cash flows that these assets are expected to generate. Such estimates included unobservable inputs that required significant judgments. Additional charges may be required in future periods should industry conditions worsen. The above items are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 (Loss)</w:t>
      </w:r>
      <w:r>
        <w:rPr>
          <w:rFonts w:ascii="Arial" w:cs="Arial" w:eastAsia="Arial" w:hAnsi="Arial"/>
          <w:sz w:val="18"/>
          <w:szCs w:val="18"/>
          <w:color w:val="auto"/>
        </w:rPr>
        <w:t>.</w:t>
      </w:r>
    </w:p>
    <w:p>
      <w:pPr>
        <w:spacing w:after="0" w:line="190" w:lineRule="exact"/>
        <w:rPr>
          <w:sz w:val="20"/>
          <w:szCs w:val="20"/>
          <w:color w:val="auto"/>
        </w:rPr>
      </w:pPr>
    </w:p>
    <w:p>
      <w:pPr>
        <w:jc w:val="both"/>
        <w:ind w:left="760" w:hanging="382"/>
        <w:spacing w:after="0" w:line="286"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 connection with Schlumberger’s acquisition of Cameron (see Note 4 – </w:t>
      </w:r>
      <w:r>
        <w:rPr>
          <w:rFonts w:ascii="Arial" w:cs="Arial" w:eastAsia="Arial" w:hAnsi="Arial"/>
          <w:sz w:val="16"/>
          <w:szCs w:val="16"/>
          <w:i w:val="1"/>
          <w:iCs w:val="1"/>
          <w:color w:val="auto"/>
        </w:rPr>
        <w:t>Acquisition of Cameron</w:t>
      </w:r>
      <w:r>
        <w:rPr>
          <w:rFonts w:ascii="Arial" w:cs="Arial" w:eastAsia="Arial" w:hAnsi="Arial"/>
          <w:sz w:val="16"/>
          <w:szCs w:val="16"/>
          <w:color w:val="auto"/>
        </w:rPr>
        <w:t xml:space="preserve">), Schlumberger recorded $185 million of charges,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 xml:space="preserve"> consisting of the following: $47 million relating to employee benefits for change-in-control arrangements and retention bonuses; $45 million of transaction costs, including advisory and legal fees; $40 million of facility closure costs, and $53 million of other merger and integration-related costs. Additionally, Schlumberger recorded $150 million of charges related to the amortization of purchase accounting adjustments associated with the write-up of acquired inventory to its estimated fair value, which is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 xml:space="preserve">, This amortization was historically presented as a component of </w:t>
      </w:r>
      <w:r>
        <w:rPr>
          <w:rFonts w:ascii="Arial" w:cs="Arial" w:eastAsia="Arial" w:hAnsi="Arial"/>
          <w:sz w:val="16"/>
          <w:szCs w:val="16"/>
          <w:i w:val="1"/>
          <w:iCs w:val="1"/>
          <w:color w:val="auto"/>
        </w:rPr>
        <w:t>Merger &amp;</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integration</w:t>
      </w:r>
      <w:r>
        <w:rPr>
          <w:rFonts w:ascii="Arial" w:cs="Arial" w:eastAsia="Arial" w:hAnsi="Arial"/>
          <w:sz w:val="16"/>
          <w:szCs w:val="16"/>
          <w:color w:val="auto"/>
        </w:rPr>
        <w:t>; however, Schlumberger reclassified this prior period amount to</w:t>
      </w:r>
      <w:r>
        <w:rPr>
          <w:rFonts w:ascii="Arial" w:cs="Arial" w:eastAsia="Arial" w:hAnsi="Arial"/>
          <w:sz w:val="16"/>
          <w:szCs w:val="16"/>
          <w:i w:val="1"/>
          <w:iCs w:val="1"/>
          <w:color w:val="auto"/>
        </w:rPr>
        <w:t xml:space="preserve"> Cost of sales </w:t>
      </w:r>
      <w:r>
        <w:rPr>
          <w:rFonts w:ascii="Arial" w:cs="Arial" w:eastAsia="Arial" w:hAnsi="Arial"/>
          <w:sz w:val="16"/>
          <w:szCs w:val="16"/>
          <w:color w:val="auto"/>
        </w:rPr>
        <w:t>during the current quarter.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is a summary of the charges and credits recorded during the second quarter of 2016:</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6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Pretax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Tax</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Net</w:t>
            </w:r>
          </w:p>
        </w:tc>
      </w:tr>
      <w:tr>
        <w:trPr>
          <w:trHeight w:val="220"/>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Impairments &amp; other</w:t>
            </w:r>
          </w:p>
        </w:tc>
        <w:tc>
          <w:tcPr>
            <w:tcW w:w="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Workforce reduction</w:t>
            </w:r>
          </w:p>
        </w:tc>
        <w:tc>
          <w:tcPr>
            <w:tcW w:w="920" w:type="dxa"/>
            <w:vAlign w:val="bottom"/>
          </w:tcPr>
          <w:p>
            <w:pPr>
              <w:jc w:val="right"/>
              <w:ind w:right="762"/>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646</w:t>
            </w:r>
          </w:p>
        </w:tc>
        <w:tc>
          <w:tcPr>
            <w:tcW w:w="1200" w:type="dxa"/>
            <w:vAlign w:val="bottom"/>
            <w:gridSpan w:val="2"/>
          </w:tcPr>
          <w:p>
            <w:pPr>
              <w:jc w:val="right"/>
              <w:ind w:right="771"/>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 America pressure pumping asset impairments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Facilities impairments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fixed asset impairments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Inventory write-downs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Multiclient seismic data impairment</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Other restructuring charges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Merger &amp; integration</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Merger-related employee benefits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fees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Pr>
          <w:p>
            <w:pPr>
              <w:ind w:left="240"/>
              <w:spacing w:after="0"/>
              <w:rPr>
                <w:sz w:val="20"/>
                <w:szCs w:val="20"/>
                <w:color w:val="auto"/>
              </w:rPr>
            </w:pPr>
            <w:r>
              <w:rPr>
                <w:rFonts w:ascii="Arial" w:cs="Arial" w:eastAsia="Arial" w:hAnsi="Arial"/>
                <w:sz w:val="18"/>
                <w:szCs w:val="18"/>
                <w:color w:val="auto"/>
              </w:rPr>
              <w:t>Facility closure costs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merger and integration-related</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r>
      <w:tr>
        <w:trPr>
          <w:trHeight w:val="225"/>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inventory fair value adjustment</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FF0FC"/>
            </w:tcBorders>
          </w:tcPr>
          <w:p>
            <w:pPr>
              <w:spacing w:after="0"/>
              <w:rPr>
                <w:sz w:val="19"/>
                <w:szCs w:val="19"/>
                <w:color w:val="auto"/>
              </w:rPr>
            </w:pPr>
          </w:p>
        </w:tc>
      </w:tr>
      <w:tr>
        <w:trPr>
          <w:trHeight w:val="219"/>
        </w:trPr>
        <w:tc>
          <w:tcPr>
            <w:tcW w:w="67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2"/>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2,908</w:t>
            </w:r>
          </w:p>
        </w:tc>
        <w:tc>
          <w:tcPr>
            <w:tcW w:w="1200" w:type="dxa"/>
            <w:vAlign w:val="bottom"/>
            <w:gridSpan w:val="2"/>
            <w:shd w:val="clear" w:color="auto" w:fill="CFF0FC"/>
          </w:tcPr>
          <w:p>
            <w:pPr>
              <w:jc w:val="right"/>
              <w:ind w:right="771"/>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w:t>
            </w:r>
          </w:p>
        </w:tc>
        <w:tc>
          <w:tcPr>
            <w:tcW w:w="100" w:type="dxa"/>
            <w:vAlign w:val="bottom"/>
            <w:shd w:val="clear" w:color="auto" w:fill="CFF0FC"/>
          </w:tcPr>
          <w:p>
            <w:pPr>
              <w:spacing w:after="0"/>
              <w:rPr>
                <w:sz w:val="19"/>
                <w:szCs w:val="19"/>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quarter of 2016.</w:t>
      </w:r>
    </w:p>
    <w:p>
      <w:pPr>
        <w:spacing w:after="0" w:line="319" w:lineRule="exact"/>
        <w:rPr>
          <w:sz w:val="20"/>
          <w:szCs w:val="20"/>
          <w:color w:val="auto"/>
        </w:rPr>
      </w:pPr>
    </w:p>
    <w:p>
      <w:pPr>
        <w:ind w:left="280" w:hanging="274"/>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40" w:type="dxa"/>
            <w:vAlign w:val="bottom"/>
            <w:gridSpan w:val="8"/>
          </w:tcPr>
          <w:p>
            <w:pPr>
              <w:jc w:val="right"/>
              <w:ind w:right="120"/>
              <w:spacing w:after="0"/>
              <w:rPr>
                <w:sz w:val="20"/>
                <w:szCs w:val="20"/>
                <w:color w:val="auto"/>
              </w:rPr>
            </w:pPr>
            <w:r>
              <w:rPr>
                <w:rFonts w:ascii="Arial" w:cs="Arial" w:eastAsia="Arial" w:hAnsi="Arial"/>
                <w:sz w:val="14"/>
                <w:szCs w:val="14"/>
                <w:i w:val="1"/>
                <w:iCs w:val="1"/>
                <w:color w:val="auto"/>
                <w:w w:val="91"/>
              </w:rPr>
              <w:t>(Stated in millions, except per share amounts)</w:t>
            </w:r>
          </w:p>
        </w:tc>
      </w:tr>
      <w:tr>
        <w:trPr>
          <w:trHeight w:val="421"/>
        </w:trPr>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9"/>
              </w:rPr>
              <w:t>2017</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color w:val="auto"/>
              </w:rPr>
              <w:t>2016</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6"/>
              <w:spacing w:after="0"/>
              <w:rPr>
                <w:sz w:val="20"/>
                <w:szCs w:val="20"/>
                <w:color w:val="auto"/>
              </w:rPr>
            </w:pPr>
            <w:r>
              <w:rPr>
                <w:rFonts w:ascii="Arial" w:cs="Arial" w:eastAsia="Arial" w:hAnsi="Arial"/>
                <w:sz w:val="16"/>
                <w:szCs w:val="16"/>
                <w:b w:val="1"/>
                <w:bCs w:val="1"/>
                <w:color w:val="auto"/>
                <w:w w:val="85"/>
              </w:rPr>
              <w:t>Average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76"/>
              <w:spacing w:after="0"/>
              <w:rPr>
                <w:sz w:val="20"/>
                <w:szCs w:val="20"/>
                <w:color w:val="auto"/>
              </w:rPr>
            </w:pPr>
            <w:r>
              <w:rPr>
                <w:rFonts w:ascii="Arial" w:cs="Arial" w:eastAsia="Arial" w:hAnsi="Arial"/>
                <w:sz w:val="16"/>
                <w:szCs w:val="16"/>
                <w:color w:val="auto"/>
                <w:w w:val="87"/>
              </w:rPr>
              <w:t>Average</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Schlumberger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56"/>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69"/>
              <w:spacing w:after="0"/>
              <w:rPr>
                <w:sz w:val="20"/>
                <w:szCs w:val="20"/>
                <w:color w:val="auto"/>
              </w:rPr>
            </w:pPr>
            <w:r>
              <w:rPr>
                <w:rFonts w:ascii="Arial" w:cs="Arial" w:eastAsia="Arial" w:hAnsi="Arial"/>
                <w:sz w:val="16"/>
                <w:szCs w:val="16"/>
                <w:color w:val="auto"/>
                <w:w w:val="90"/>
              </w:rPr>
              <w:t>Schlumberger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76"/>
              <w:spacing w:after="0"/>
              <w:rPr>
                <w:sz w:val="20"/>
                <w:szCs w:val="20"/>
                <w:color w:val="auto"/>
              </w:rPr>
            </w:pPr>
            <w:r>
              <w:rPr>
                <w:rFonts w:ascii="Arial" w:cs="Arial" w:eastAsia="Arial" w:hAnsi="Arial"/>
                <w:sz w:val="16"/>
                <w:szCs w:val="16"/>
                <w:color w:val="auto"/>
                <w:w w:val="86"/>
              </w:rPr>
              <w:t>Shares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Net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Outstanding</w:t>
            </w:r>
          </w:p>
        </w:tc>
        <w:tc>
          <w:tcPr>
            <w:tcW w:w="26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Loss per Share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69"/>
              <w:spacing w:after="0"/>
              <w:rPr>
                <w:sz w:val="20"/>
                <w:szCs w:val="20"/>
                <w:color w:val="auto"/>
              </w:rPr>
            </w:pPr>
            <w:r>
              <w:rPr>
                <w:rFonts w:ascii="Arial" w:cs="Arial" w:eastAsia="Arial" w:hAnsi="Arial"/>
                <w:sz w:val="16"/>
                <w:szCs w:val="16"/>
                <w:color w:val="auto"/>
                <w:w w:val="91"/>
              </w:rPr>
              <w:t>Net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6"/>
              <w:spacing w:after="0"/>
              <w:rPr>
                <w:sz w:val="20"/>
                <w:szCs w:val="20"/>
                <w:color w:val="auto"/>
              </w:rPr>
            </w:pPr>
            <w:r>
              <w:rPr>
                <w:rFonts w:ascii="Arial" w:cs="Arial" w:eastAsia="Arial" w:hAnsi="Arial"/>
                <w:sz w:val="16"/>
                <w:szCs w:val="16"/>
                <w:color w:val="auto"/>
                <w:w w:val="90"/>
              </w:rPr>
              <w:t>Outstanding</w:t>
            </w:r>
          </w:p>
        </w:tc>
        <w:tc>
          <w:tcPr>
            <w:tcW w:w="2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w w:val="90"/>
              </w:rPr>
              <w:t>Loss per Share</w:t>
            </w:r>
          </w:p>
        </w:tc>
      </w:tr>
      <w:tr>
        <w:trPr>
          <w:trHeight w:val="202"/>
        </w:trPr>
        <w:tc>
          <w:tcPr>
            <w:tcW w:w="1200" w:type="dxa"/>
            <w:vAlign w:val="bottom"/>
            <w:tcBorders>
              <w:top w:val="single" w:sz="8" w:color="CFF0FC"/>
              <w:bottom w:val="single" w:sz="8" w:color="auto"/>
            </w:tcBorders>
            <w:gridSpan w:val="2"/>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7"/>
              </w:rPr>
              <w:t>Second Quarter</w:t>
            </w:r>
          </w:p>
        </w:tc>
        <w:tc>
          <w:tcPr>
            <w:tcW w:w="1640" w:type="dxa"/>
            <w:vAlign w:val="bottom"/>
            <w:tcBorders>
              <w:top w:val="single" w:sz="8" w:color="CFF0FC"/>
              <w:bottom w:val="single" w:sz="8" w:color="CFF0FC"/>
            </w:tcBorders>
            <w:shd w:val="clear" w:color="auto" w:fill="CFF0FC"/>
          </w:tcPr>
          <w:p>
            <w:pPr>
              <w:spacing w:after="0"/>
              <w:rPr>
                <w:sz w:val="17"/>
                <w:szCs w:val="17"/>
                <w:color w:val="auto"/>
              </w:rPr>
            </w:pP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66"/>
        </w:trPr>
        <w:tc>
          <w:tcPr>
            <w:tcW w:w="2840" w:type="dxa"/>
            <w:vAlign w:val="bottom"/>
            <w:gridSpan w:val="3"/>
          </w:tcPr>
          <w:p>
            <w:pPr>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1,387</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9"/>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1,389</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r>
      <w:tr>
        <w:trPr>
          <w:trHeight w:val="206"/>
        </w:trPr>
        <w:tc>
          <w:tcPr>
            <w:tcW w:w="284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color w:val="auto"/>
              </w:rPr>
              <w:t>Assumed exercise of stock options</w:t>
            </w:r>
          </w:p>
        </w:tc>
        <w:tc>
          <w:tcPr>
            <w:tcW w:w="3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6"/>
        </w:trPr>
        <w:tc>
          <w:tcPr>
            <w:tcW w:w="28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2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(0.05)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(1.56)</w:t>
            </w:r>
          </w:p>
        </w:tc>
      </w:tr>
      <w:tr>
        <w:trPr>
          <w:trHeight w:val="20"/>
        </w:trPr>
        <w:tc>
          <w:tcPr>
            <w:tcW w:w="8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642"/>
        </w:trPr>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9"/>
              </w:rPr>
              <w:t>2017</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6"/>
                <w:szCs w:val="16"/>
                <w:color w:val="auto"/>
              </w:rPr>
              <w:t>2016</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6"/>
              <w:spacing w:after="0"/>
              <w:rPr>
                <w:sz w:val="20"/>
                <w:szCs w:val="20"/>
                <w:color w:val="auto"/>
              </w:rPr>
            </w:pPr>
            <w:r>
              <w:rPr>
                <w:rFonts w:ascii="Arial" w:cs="Arial" w:eastAsia="Arial" w:hAnsi="Arial"/>
                <w:sz w:val="16"/>
                <w:szCs w:val="16"/>
                <w:b w:val="1"/>
                <w:bCs w:val="1"/>
                <w:color w:val="auto"/>
                <w:w w:val="85"/>
              </w:rPr>
              <w:t>Average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76"/>
              <w:spacing w:after="0"/>
              <w:rPr>
                <w:sz w:val="20"/>
                <w:szCs w:val="20"/>
                <w:color w:val="auto"/>
              </w:rPr>
            </w:pPr>
            <w:r>
              <w:rPr>
                <w:rFonts w:ascii="Arial" w:cs="Arial" w:eastAsia="Arial" w:hAnsi="Arial"/>
                <w:sz w:val="16"/>
                <w:szCs w:val="16"/>
                <w:color w:val="auto"/>
                <w:w w:val="87"/>
              </w:rPr>
              <w:t>Average</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Schlumberger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56"/>
              <w:spacing w:after="0"/>
              <w:rPr>
                <w:sz w:val="20"/>
                <w:szCs w:val="20"/>
                <w:color w:val="auto"/>
              </w:rPr>
            </w:pPr>
            <w:r>
              <w:rPr>
                <w:rFonts w:ascii="Arial" w:cs="Arial" w:eastAsia="Arial" w:hAnsi="Arial"/>
                <w:sz w:val="16"/>
                <w:szCs w:val="16"/>
                <w:b w:val="1"/>
                <w:bCs w:val="1"/>
                <w:color w:val="auto"/>
                <w:w w:val="86"/>
              </w:rPr>
              <w:t>Shares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Earnings per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69"/>
              <w:spacing w:after="0"/>
              <w:rPr>
                <w:sz w:val="20"/>
                <w:szCs w:val="20"/>
                <w:color w:val="auto"/>
              </w:rPr>
            </w:pPr>
            <w:r>
              <w:rPr>
                <w:rFonts w:ascii="Arial" w:cs="Arial" w:eastAsia="Arial" w:hAnsi="Arial"/>
                <w:sz w:val="16"/>
                <w:szCs w:val="16"/>
                <w:color w:val="auto"/>
                <w:w w:val="90"/>
              </w:rPr>
              <w:t>Schlumberger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76"/>
              <w:spacing w:after="0"/>
              <w:rPr>
                <w:sz w:val="20"/>
                <w:szCs w:val="20"/>
                <w:color w:val="auto"/>
              </w:rPr>
            </w:pPr>
            <w:r>
              <w:rPr>
                <w:rFonts w:ascii="Arial" w:cs="Arial" w:eastAsia="Arial" w:hAnsi="Arial"/>
                <w:sz w:val="16"/>
                <w:szCs w:val="16"/>
                <w:color w:val="auto"/>
                <w:w w:val="86"/>
              </w:rPr>
              <w:t>Shares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Net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Share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69"/>
              <w:spacing w:after="0"/>
              <w:rPr>
                <w:sz w:val="20"/>
                <w:szCs w:val="20"/>
                <w:color w:val="auto"/>
              </w:rPr>
            </w:pPr>
            <w:r>
              <w:rPr>
                <w:rFonts w:ascii="Arial" w:cs="Arial" w:eastAsia="Arial" w:hAnsi="Arial"/>
                <w:sz w:val="16"/>
                <w:szCs w:val="16"/>
                <w:color w:val="auto"/>
                <w:w w:val="91"/>
              </w:rPr>
              <w:t>Net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6"/>
              <w:spacing w:after="0"/>
              <w:rPr>
                <w:sz w:val="20"/>
                <w:szCs w:val="20"/>
                <w:color w:val="auto"/>
              </w:rPr>
            </w:pPr>
            <w:r>
              <w:rPr>
                <w:rFonts w:ascii="Arial" w:cs="Arial" w:eastAsia="Arial" w:hAnsi="Arial"/>
                <w:sz w:val="16"/>
                <w:szCs w:val="16"/>
                <w:color w:val="auto"/>
                <w:w w:val="90"/>
              </w:rPr>
              <w:t>Outstanding</w:t>
            </w:r>
          </w:p>
        </w:tc>
        <w:tc>
          <w:tcPr>
            <w:tcW w:w="22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w w:val="90"/>
              </w:rPr>
              <w:t>Loss per Share</w:t>
            </w:r>
          </w:p>
        </w:tc>
      </w:tr>
      <w:tr>
        <w:trPr>
          <w:trHeight w:val="202"/>
        </w:trPr>
        <w:tc>
          <w:tcPr>
            <w:tcW w:w="86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7"/>
              </w:rPr>
              <w:t>Six Months</w:t>
            </w:r>
          </w:p>
        </w:tc>
        <w:tc>
          <w:tcPr>
            <w:tcW w:w="198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66"/>
        </w:trPr>
        <w:tc>
          <w:tcPr>
            <w:tcW w:w="2840" w:type="dxa"/>
            <w:vAlign w:val="bottom"/>
            <w:gridSpan w:val="3"/>
          </w:tcPr>
          <w:p>
            <w:pPr>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14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1,390</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9"/>
              <w:spacing w:after="0"/>
              <w:rPr>
                <w:sz w:val="20"/>
                <w:szCs w:val="20"/>
                <w:color w:val="auto"/>
              </w:rPr>
            </w:pPr>
            <w:r>
              <w:rPr>
                <w:rFonts w:ascii="Arial" w:cs="Arial" w:eastAsia="Arial" w:hAnsi="Arial"/>
                <w:sz w:val="18"/>
                <w:szCs w:val="18"/>
                <w:color w:val="auto"/>
              </w:rPr>
              <w:t>(1,659)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1,321</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06"/>
        </w:trPr>
        <w:tc>
          <w:tcPr>
            <w:tcW w:w="284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color w:val="auto"/>
              </w:rPr>
              <w:t>Assumed exercise of stock options</w:t>
            </w:r>
          </w:p>
        </w:tc>
        <w:tc>
          <w:tcPr>
            <w:tcW w:w="3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b w:val="1"/>
                <w:bCs w:val="1"/>
                <w:color w:val="auto"/>
              </w:rPr>
              <w:t>2</w:t>
            </w:r>
          </w:p>
        </w:tc>
        <w:tc>
          <w:tcPr>
            <w:tcW w:w="2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6"/>
        </w:trPr>
        <w:tc>
          <w:tcPr>
            <w:tcW w:w="284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Unvested restricted stock</w:t>
            </w:r>
          </w:p>
        </w:tc>
        <w:tc>
          <w:tcPr>
            <w:tcW w:w="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2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0.15</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(1,659)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w:t>
            </w:r>
          </w:p>
        </w:tc>
      </w:tr>
      <w:tr>
        <w:trPr>
          <w:trHeight w:val="20"/>
        </w:trPr>
        <w:tc>
          <w:tcPr>
            <w:tcW w:w="8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0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6"/>
        </w:trPr>
        <w:tc>
          <w:tcPr>
            <w:tcW w:w="7820" w:type="dxa"/>
            <w:vAlign w:val="bottom"/>
            <w:tcBorders>
              <w:bottom w:val="single" w:sz="8" w:color="CFF0FC"/>
            </w:tcBorders>
          </w:tcPr>
          <w:p>
            <w:pPr>
              <w:spacing w:after="0"/>
              <w:rPr>
                <w:sz w:val="24"/>
                <w:szCs w:val="24"/>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162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r>
      <w:tr>
        <w:trPr>
          <w:trHeight w:val="220"/>
        </w:trPr>
        <w:tc>
          <w:tcPr>
            <w:tcW w:w="9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Six Months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bl>
    <w:p>
      <w:pPr>
        <w:spacing w:after="0" w:line="196" w:lineRule="exact"/>
        <w:rPr>
          <w:sz w:val="20"/>
          <w:szCs w:val="20"/>
          <w:color w:val="auto"/>
        </w:rPr>
      </w:pPr>
    </w:p>
    <w:p>
      <w:pPr>
        <w:sectPr>
          <w:pgSz w:w="11900" w:h="16838" w:orient="portrait"/>
          <w:cols w:equalWidth="0" w:num="1">
            <w:col w:w="11420"/>
          </w:cols>
          <w:pgMar w:left="240" w:top="340" w:right="239" w:bottom="1440" w:gutter="0" w:footer="0" w:header="0"/>
        </w:sect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29107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type w:val="continuous"/>
        </w:sectPr>
      </w:pPr>
    </w:p>
    <w:bookmarkStart w:id="10" w:name="page11"/>
    <w:bookmarkEnd w:id="10"/>
    <w:p>
      <w:pPr>
        <w:ind w:left="280" w:hanging="274"/>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of Cameron</w:t>
      </w:r>
    </w:p>
    <w:p>
      <w:pPr>
        <w:spacing w:after="0" w:line="11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On April 1, 2016, Schlumberger acquired all of the outstanding shares of Cameron, a leading provider of flow equipment products, systems and services to the oil and gas industry worldwide. Schlumberger issued approximately 138 million shares of its common stock, which were valued at $9.9 billion at the time of closing, and paid cash of $2.8 billion. Prior to being acquired by Schlumberger, Cameron reported revenue of approximately $1.6 billion during the first quarter of 2016.</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Supplemental Pro Forma Financial Information</w:t>
      </w: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following supplemental pro forma results of operations assume that Cameron had been acquired as of January 1, 2015. The supplemental pro forma financial information was prepared based on the historical financial information of Schlumberger and Cameron and has been adjusted to give effect to pro forma adjustments that are both directly attributable to the transaction and factually supportable. The pro forma amounts reflect certain adjustments to intangible asset amortization expense, interest and income taxes resulting from purchasing accounting. The pro forma amounts also reflect adjustments to the 2016 results to exclude the amortization of purchase accounting adjustments associated with the write-up of acquired inventory to its estimated fair value and other merger and integration costs of $254 million, net of taxes, for the three and six months ended June 30, 2016.</w:t>
      </w:r>
    </w:p>
    <w:p>
      <w:pPr>
        <w:spacing w:after="0" w:line="16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supplemental pro forma financial information presented below does not include any anticipated cost savings or the expected realization of other synergies associated with this transaction. Accordingly, this supplemental pro forma financial information is presented for informational purposes only and is not necessarily indicative of what the actual results of operations of the combined company would have been had the acquisition occurred on January 1, 2015, nor is it indicative of future results of operations.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8"/>
                <w:szCs w:val="18"/>
                <w:b w:val="1"/>
                <w:bCs w:val="1"/>
                <w:color w:val="auto"/>
              </w:rPr>
              <w:t>2016</w:t>
            </w: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Second Quarter</w:t>
            </w:r>
          </w:p>
        </w:tc>
        <w:tc>
          <w:tcPr>
            <w:tcW w:w="240" w:type="dxa"/>
            <w:vAlign w:val="bottom"/>
          </w:tcPr>
          <w:p>
            <w:pPr>
              <w:spacing w:after="0"/>
              <w:rPr>
                <w:sz w:val="19"/>
                <w:szCs w:val="19"/>
                <w:color w:val="auto"/>
              </w:rPr>
            </w:pPr>
          </w:p>
        </w:tc>
        <w:tc>
          <w:tcPr>
            <w:tcW w:w="1380" w:type="dxa"/>
            <w:vAlign w:val="bottom"/>
          </w:tcPr>
          <w:p>
            <w:pPr>
              <w:jc w:val="center"/>
              <w:ind w:right="153"/>
              <w:spacing w:after="0"/>
              <w:rPr>
                <w:sz w:val="20"/>
                <w:szCs w:val="20"/>
                <w:color w:val="auto"/>
              </w:rPr>
            </w:pPr>
            <w:r>
              <w:rPr>
                <w:rFonts w:ascii="Arial" w:cs="Arial" w:eastAsia="Arial" w:hAnsi="Arial"/>
                <w:sz w:val="18"/>
                <w:szCs w:val="18"/>
                <w:b w:val="1"/>
                <w:bCs w:val="1"/>
                <w:color w:val="auto"/>
                <w:w w:val="89"/>
              </w:rPr>
              <w:t>Six Months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7,164</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gridSpan w:val="3"/>
          </w:tcPr>
          <w:p>
            <w:pPr>
              <w:spacing w:after="0"/>
              <w:rPr>
                <w:sz w:val="20"/>
                <w:szCs w:val="20"/>
                <w:color w:val="auto"/>
              </w:rPr>
            </w:pPr>
            <w:r>
              <w:rPr>
                <w:rFonts w:ascii="Arial" w:cs="Arial" w:eastAsia="Arial" w:hAnsi="Arial"/>
                <w:sz w:val="18"/>
                <w:szCs w:val="18"/>
                <w:color w:val="auto"/>
              </w:rPr>
              <w:t>Net loss attributable to Schlumberger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(1,905)</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 loss per share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8"/>
        </w:trPr>
        <w:tc>
          <w:tcPr>
            <w:tcW w:w="7820" w:type="dxa"/>
            <w:vAlign w:val="bottom"/>
            <w:gridSpan w:val="3"/>
          </w:tcPr>
          <w:p>
            <w:pPr>
              <w:spacing w:after="0"/>
              <w:rPr>
                <w:sz w:val="20"/>
                <w:szCs w:val="20"/>
                <w:color w:val="auto"/>
              </w:rPr>
            </w:pPr>
            <w:r>
              <w:rPr>
                <w:rFonts w:ascii="Arial" w:cs="Arial" w:eastAsia="Arial" w:hAnsi="Arial"/>
                <w:sz w:val="18"/>
                <w:szCs w:val="18"/>
                <w:b w:val="1"/>
                <w:bCs w:val="1"/>
                <w:color w:val="auto"/>
              </w:rPr>
              <w:t>5.  Inventories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7820" w:type="dxa"/>
            <w:vAlign w:val="bottom"/>
            <w:gridSpan w:val="3"/>
          </w:tcPr>
          <w:p>
            <w:pPr>
              <w:spacing w:after="0"/>
              <w:rPr>
                <w:sz w:val="20"/>
                <w:szCs w:val="20"/>
                <w:color w:val="auto"/>
              </w:rPr>
            </w:pPr>
            <w:r>
              <w:rPr>
                <w:rFonts w:ascii="Arial" w:cs="Arial" w:eastAsia="Arial" w:hAnsi="Arial"/>
                <w:sz w:val="18"/>
                <w:szCs w:val="18"/>
                <w:color w:val="auto"/>
              </w:rPr>
              <w:t>A summary of inventories, which are stated at the lower of average cost or market, follows: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Jun. 30,</w:t>
            </w:r>
          </w:p>
        </w:tc>
        <w:tc>
          <w:tcPr>
            <w:tcW w:w="2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67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73"/>
              <w:spacing w:after="0"/>
              <w:rPr>
                <w:sz w:val="20"/>
                <w:szCs w:val="20"/>
                <w:color w:val="auto"/>
              </w:rPr>
            </w:pPr>
            <w:r>
              <w:rPr>
                <w:rFonts w:ascii="Arial" w:cs="Arial" w:eastAsia="Arial" w:hAnsi="Arial"/>
                <w:sz w:val="18"/>
                <w:szCs w:val="18"/>
                <w:b w:val="1"/>
                <w:bCs w:val="1"/>
                <w:color w:val="auto"/>
                <w:w w:val="84"/>
              </w:rPr>
              <w:t>2017</w:t>
            </w: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1,701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570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2,067</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4,338</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ind w:left="562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78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53" w:right="219" w:bottom="1440" w:gutter="0" w:footer="0" w:header="0"/>
        </w:sectPr>
      </w:pPr>
    </w:p>
    <w:bookmarkStart w:id="11" w:name="page12"/>
    <w:bookmarkEnd w:id="11"/>
    <w:p>
      <w:pPr>
        <w:ind w:left="280" w:hanging="274"/>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78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 30,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100" w:type="dxa"/>
            <w:vAlign w:val="bottom"/>
            <w:shd w:val="clear" w:color="auto" w:fill="CFF0FC"/>
          </w:tcPr>
          <w:p>
            <w:pPr>
              <w:jc w:val="right"/>
              <w:ind w:right="941"/>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3"/>
              </w:rPr>
              <w:t>40,073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27,715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1"/>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3"/>
              </w:rPr>
              <w:t>12,358</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78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7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7820" w:type="dxa"/>
            <w:vAlign w:val="bottom"/>
            <w:tcBorders>
              <w:bottom w:val="single" w:sz="8" w:color="CFF0FC"/>
            </w:tcBorders>
          </w:tcPr>
          <w:p>
            <w:pPr>
              <w:spacing w:after="0"/>
              <w:rPr>
                <w:sz w:val="24"/>
                <w:szCs w:val="24"/>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100" w:type="dxa"/>
            <w:vAlign w:val="bottom"/>
            <w:shd w:val="clear" w:color="auto" w:fill="CFF0FC"/>
          </w:tcPr>
          <w:p>
            <w:pPr>
              <w:jc w:val="right"/>
              <w:ind w:right="941"/>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Six Months</w:t>
            </w:r>
          </w:p>
        </w:tc>
        <w:tc>
          <w:tcPr>
            <w:tcW w:w="1100" w:type="dxa"/>
            <w:vAlign w:val="bottom"/>
          </w:tcPr>
          <w:p>
            <w:pPr>
              <w:jc w:val="right"/>
              <w:ind w:right="941"/>
              <w:spacing w:after="0"/>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1,205</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80" w:hanging="274"/>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six months ended June 30, 2017 was as follows:</w:t>
      </w:r>
    </w:p>
    <w:p>
      <w:pPr>
        <w:spacing w:after="0" w:line="225" w:lineRule="exact"/>
        <w:rPr>
          <w:sz w:val="20"/>
          <w:szCs w:val="20"/>
          <w:color w:val="auto"/>
        </w:rPr>
      </w:pPr>
    </w:p>
    <w:p>
      <w:pPr>
        <w:ind w:left="10200"/>
        <w:spacing w:after="0"/>
        <w:rPr>
          <w:sz w:val="20"/>
          <w:szCs w:val="20"/>
          <w:color w:val="auto"/>
        </w:rPr>
      </w:pPr>
      <w:r>
        <w:rPr>
          <w:rFonts w:ascii="Arial" w:cs="Arial" w:eastAsia="Arial" w:hAnsi="Arial"/>
          <w:sz w:val="14"/>
          <w:szCs w:val="14"/>
          <w:i w:val="1"/>
          <w:i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248525" cy="143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2016</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143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Charged to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2017</w:t>
      </w:r>
    </w:p>
    <w:p>
      <w:pPr>
        <w:spacing w:after="0" w:line="345" w:lineRule="exact"/>
        <w:rPr>
          <w:sz w:val="20"/>
          <w:szCs w:val="20"/>
          <w:color w:val="auto"/>
        </w:rPr>
      </w:pPr>
    </w:p>
    <w:p>
      <w:pPr>
        <w:ind w:left="280" w:hanging="274"/>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gross book value, accumulated amortization and net book value of intangible assets were as follows: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967" w:hanging="967"/>
        <w:spacing w:after="0"/>
        <w:tabs>
          <w:tab w:leader="none" w:pos="9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1,073</w:t>
      </w:r>
    </w:p>
    <w:p>
      <w:pPr>
        <w:spacing w:after="0" w:line="18" w:lineRule="exact"/>
        <w:rPr>
          <w:rFonts w:ascii="Arial" w:cs="Arial" w:eastAsia="Arial" w:hAnsi="Arial"/>
          <w:sz w:val="18"/>
          <w:szCs w:val="18"/>
          <w:color w:val="auto"/>
        </w:rPr>
      </w:pPr>
    </w:p>
    <w:p>
      <w:pPr>
        <w:ind w:left="1087"/>
        <w:spacing w:after="0"/>
        <w:rPr>
          <w:rFonts w:ascii="Arial" w:cs="Arial" w:eastAsia="Arial" w:hAnsi="Arial"/>
          <w:sz w:val="18"/>
          <w:szCs w:val="18"/>
          <w:color w:val="auto"/>
        </w:rPr>
      </w:pPr>
      <w:r>
        <w:rPr>
          <w:rFonts w:ascii="Arial" w:cs="Arial" w:eastAsia="Arial" w:hAnsi="Arial"/>
          <w:sz w:val="18"/>
          <w:szCs w:val="18"/>
          <w:color w:val="auto"/>
        </w:rPr>
        <w:t>190</w:t>
      </w:r>
    </w:p>
    <w:p>
      <w:pPr>
        <w:spacing w:after="0" w:line="1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69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2" w:lineRule="exact"/>
        <w:rPr>
          <w:sz w:val="20"/>
          <w:szCs w:val="20"/>
          <w:color w:val="auto"/>
        </w:rPr>
      </w:pPr>
    </w:p>
    <w:p>
      <w:pPr>
        <w:ind w:left="967" w:hanging="967"/>
        <w:spacing w:after="0"/>
        <w:tabs>
          <w:tab w:leader="none" w:pos="9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693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wp:posOffset>
            </wp:positionV>
            <wp:extent cx="8693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054" w:lineRule="exact"/>
        <w:rPr>
          <w:sz w:val="20"/>
          <w:szCs w:val="20"/>
          <w:color w:val="auto"/>
        </w:rPr>
      </w:pPr>
    </w:p>
    <w:p>
      <w:pPr>
        <w:sectPr>
          <w:pgSz w:w="11900" w:h="16838" w:orient="portrait"/>
          <w:cols w:equalWidth="0" w:num="2">
            <w:col w:w="9213" w:space="720"/>
            <w:col w:w="1487"/>
          </w:cols>
          <w:pgMar w:left="240" w:top="121" w:right="239" w:bottom="1440" w:gutter="0" w:footer="0" w:header="0"/>
          <w:type w:val="continuous"/>
        </w:sectPr>
      </w:pPr>
    </w:p>
    <w:p>
      <w:pPr>
        <w:spacing w:after="0" w:line="115" w:lineRule="exact"/>
        <w:rPr>
          <w:sz w:val="20"/>
          <w:szCs w:val="20"/>
          <w:color w:val="auto"/>
        </w:rPr>
      </w:pPr>
    </w:p>
    <w:tbl>
      <w:tblPr>
        <w:tblLayout w:type="fixed"/>
        <w:tblInd w:w="3280" w:type="dxa"/>
        <w:tblCellMar>
          <w:top w:w="0" w:type="dxa"/>
          <w:left w:w="0" w:type="dxa"/>
          <w:bottom w:w="0" w:type="dxa"/>
          <w:right w:w="0" w:type="dxa"/>
        </w:tblCellMar>
      </w:tblPr>
      <w:tr>
        <w:trPr>
          <w:trHeight w:val="180"/>
        </w:trPr>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20" w:type="dxa"/>
            <w:vAlign w:val="bottom"/>
          </w:tcPr>
          <w:p>
            <w:pPr>
              <w:ind w:left="220"/>
              <w:spacing w:after="0"/>
              <w:rPr>
                <w:sz w:val="20"/>
                <w:szCs w:val="20"/>
                <w:color w:val="auto"/>
              </w:rPr>
            </w:pPr>
            <w:r>
              <w:rPr>
                <w:rFonts w:ascii="Arial" w:cs="Arial" w:eastAsia="Arial" w:hAnsi="Arial"/>
                <w:sz w:val="14"/>
                <w:szCs w:val="14"/>
                <w:i w:val="1"/>
                <w:iCs w:val="1"/>
                <w:color w:val="auto"/>
                <w:w w:val="93"/>
              </w:rPr>
              <w:t>(Stated in millions)</w:t>
            </w:r>
          </w:p>
        </w:tc>
      </w:tr>
      <w:tr>
        <w:trPr>
          <w:trHeight w:val="434"/>
        </w:trPr>
        <w:tc>
          <w:tcPr>
            <w:tcW w:w="1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Jun. 30, 2017</w:t>
            </w:r>
          </w:p>
        </w:tc>
        <w:tc>
          <w:tcPr>
            <w:tcW w:w="12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Dec. 31, 2016</w:t>
            </w:r>
          </w:p>
        </w:tc>
        <w:tc>
          <w:tcPr>
            <w:tcW w:w="1320" w:type="dxa"/>
            <w:vAlign w:val="bottom"/>
            <w:tcBorders>
              <w:bottom w:val="single" w:sz="8" w:color="auto"/>
            </w:tcBorders>
          </w:tcPr>
          <w:p>
            <w:pPr>
              <w:spacing w:after="0"/>
              <w:rPr>
                <w:sz w:val="24"/>
                <w:szCs w:val="24"/>
                <w:color w:val="auto"/>
              </w:rPr>
            </w:pPr>
          </w:p>
        </w:tc>
      </w:tr>
      <w:tr>
        <w:trPr>
          <w:trHeight w:val="204"/>
        </w:trPr>
        <w:tc>
          <w:tcPr>
            <w:tcW w:w="1220" w:type="dxa"/>
            <w:vAlign w:val="bottom"/>
          </w:tcPr>
          <w:p>
            <w:pPr>
              <w:jc w:val="center"/>
              <w:ind w:right="20"/>
              <w:spacing w:after="0"/>
              <w:rPr>
                <w:sz w:val="20"/>
                <w:szCs w:val="20"/>
                <w:color w:val="auto"/>
              </w:rPr>
            </w:pPr>
            <w:r>
              <w:rPr>
                <w:rFonts w:ascii="Arial" w:cs="Arial" w:eastAsia="Arial" w:hAnsi="Arial"/>
                <w:sz w:val="16"/>
                <w:szCs w:val="16"/>
                <w:b w:val="1"/>
                <w:bCs w:val="1"/>
                <w:color w:val="auto"/>
                <w:w w:val="86"/>
              </w:rPr>
              <w:t>Gross</w:t>
            </w:r>
          </w:p>
        </w:tc>
        <w:tc>
          <w:tcPr>
            <w:tcW w:w="1460" w:type="dxa"/>
            <w:vAlign w:val="bottom"/>
          </w:tcPr>
          <w:p>
            <w:pPr>
              <w:ind w:left="260"/>
              <w:spacing w:after="0"/>
              <w:rPr>
                <w:sz w:val="20"/>
                <w:szCs w:val="20"/>
                <w:color w:val="auto"/>
              </w:rPr>
            </w:pPr>
            <w:r>
              <w:rPr>
                <w:rFonts w:ascii="Arial" w:cs="Arial" w:eastAsia="Arial" w:hAnsi="Arial"/>
                <w:sz w:val="16"/>
                <w:szCs w:val="16"/>
                <w:b w:val="1"/>
                <w:bCs w:val="1"/>
                <w:color w:val="auto"/>
              </w:rPr>
              <w:t>Accumulated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Net Book</w:t>
            </w:r>
          </w:p>
        </w:tc>
        <w:tc>
          <w:tcPr>
            <w:tcW w:w="240" w:type="dxa"/>
            <w:vAlign w:val="bottom"/>
          </w:tcPr>
          <w:p>
            <w:pPr>
              <w:spacing w:after="0"/>
              <w:rPr>
                <w:sz w:val="17"/>
                <w:szCs w:val="17"/>
                <w:color w:val="auto"/>
              </w:rPr>
            </w:pPr>
          </w:p>
        </w:tc>
        <w:tc>
          <w:tcPr>
            <w:tcW w:w="1220" w:type="dxa"/>
            <w:vAlign w:val="bottom"/>
          </w:tcPr>
          <w:p>
            <w:pPr>
              <w:jc w:val="center"/>
              <w:ind w:right="20"/>
              <w:spacing w:after="0"/>
              <w:rPr>
                <w:sz w:val="20"/>
                <w:szCs w:val="20"/>
                <w:color w:val="auto"/>
              </w:rPr>
            </w:pPr>
            <w:r>
              <w:rPr>
                <w:rFonts w:ascii="Arial" w:cs="Arial" w:eastAsia="Arial" w:hAnsi="Arial"/>
                <w:sz w:val="16"/>
                <w:szCs w:val="16"/>
                <w:color w:val="auto"/>
                <w:w w:val="84"/>
              </w:rPr>
              <w:t>Gross</w:t>
            </w:r>
          </w:p>
        </w:tc>
        <w:tc>
          <w:tcPr>
            <w:tcW w:w="1380" w:type="dxa"/>
            <w:vAlign w:val="bottom"/>
          </w:tcPr>
          <w:p>
            <w:pPr>
              <w:ind w:left="300"/>
              <w:spacing w:after="0"/>
              <w:rPr>
                <w:sz w:val="20"/>
                <w:szCs w:val="20"/>
                <w:color w:val="auto"/>
              </w:rPr>
            </w:pPr>
            <w:r>
              <w:rPr>
                <w:rFonts w:ascii="Arial" w:cs="Arial" w:eastAsia="Arial" w:hAnsi="Arial"/>
                <w:sz w:val="16"/>
                <w:szCs w:val="16"/>
                <w:color w:val="auto"/>
              </w:rPr>
              <w:t>Accumulated</w:t>
            </w:r>
          </w:p>
        </w:tc>
        <w:tc>
          <w:tcPr>
            <w:tcW w:w="1320" w:type="dxa"/>
            <w:vAlign w:val="bottom"/>
          </w:tcPr>
          <w:p>
            <w:pPr>
              <w:jc w:val="center"/>
              <w:ind w:left="63"/>
              <w:spacing w:after="0"/>
              <w:rPr>
                <w:sz w:val="20"/>
                <w:szCs w:val="20"/>
                <w:color w:val="auto"/>
              </w:rPr>
            </w:pPr>
            <w:r>
              <w:rPr>
                <w:rFonts w:ascii="Arial" w:cs="Arial" w:eastAsia="Arial" w:hAnsi="Arial"/>
                <w:sz w:val="16"/>
                <w:szCs w:val="16"/>
                <w:color w:val="auto"/>
                <w:w w:val="94"/>
              </w:rPr>
              <w:t>Net Book</w:t>
            </w:r>
          </w:p>
        </w:tc>
      </w:tr>
      <w:tr>
        <w:trPr>
          <w:trHeight w:val="239"/>
        </w:trPr>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Book Value</w:t>
            </w:r>
          </w:p>
        </w:tc>
        <w:tc>
          <w:tcPr>
            <w:tcW w:w="1460" w:type="dxa"/>
            <w:vAlign w:val="bottom"/>
          </w:tcPr>
          <w:p>
            <w:pPr>
              <w:ind w:left="260"/>
              <w:spacing w:after="0"/>
              <w:rPr>
                <w:sz w:val="20"/>
                <w:szCs w:val="20"/>
                <w:color w:val="auto"/>
              </w:rPr>
            </w:pPr>
            <w:r>
              <w:rPr>
                <w:rFonts w:ascii="Arial" w:cs="Arial" w:eastAsia="Arial" w:hAnsi="Arial"/>
                <w:sz w:val="16"/>
                <w:szCs w:val="16"/>
                <w:b w:val="1"/>
                <w:bCs w:val="1"/>
                <w:color w:val="auto"/>
              </w:rPr>
              <w:t>Amortization</w:t>
            </w:r>
          </w:p>
        </w:tc>
        <w:tc>
          <w:tcPr>
            <w:tcW w:w="14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Value</w:t>
            </w:r>
          </w:p>
        </w:tc>
        <w:tc>
          <w:tcPr>
            <w:tcW w:w="1220" w:type="dxa"/>
            <w:vAlign w:val="bottom"/>
          </w:tcPr>
          <w:p>
            <w:pPr>
              <w:jc w:val="center"/>
              <w:ind w:right="20"/>
              <w:spacing w:after="0"/>
              <w:rPr>
                <w:sz w:val="20"/>
                <w:szCs w:val="20"/>
                <w:color w:val="auto"/>
              </w:rPr>
            </w:pPr>
            <w:r>
              <w:rPr>
                <w:rFonts w:ascii="Arial" w:cs="Arial" w:eastAsia="Arial" w:hAnsi="Arial"/>
                <w:sz w:val="16"/>
                <w:szCs w:val="16"/>
                <w:color w:val="auto"/>
                <w:w w:val="92"/>
              </w:rPr>
              <w:t>Book Value</w:t>
            </w:r>
          </w:p>
        </w:tc>
        <w:tc>
          <w:tcPr>
            <w:tcW w:w="138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1320" w:type="dxa"/>
            <w:vAlign w:val="bottom"/>
          </w:tcPr>
          <w:p>
            <w:pPr>
              <w:jc w:val="center"/>
              <w:ind w:left="63"/>
              <w:spacing w:after="0"/>
              <w:rPr>
                <w:sz w:val="20"/>
                <w:szCs w:val="20"/>
                <w:color w:val="auto"/>
              </w:rPr>
            </w:pPr>
            <w:r>
              <w:rPr>
                <w:rFonts w:ascii="Arial" w:cs="Arial" w:eastAsia="Arial" w:hAnsi="Arial"/>
                <w:sz w:val="16"/>
                <w:szCs w:val="16"/>
                <w:color w:val="auto"/>
                <w:w w:val="92"/>
              </w:rPr>
              <w:t>Value</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4"/>
        </w:trPr>
        <w:tc>
          <w:tcPr>
            <w:tcW w:w="3280" w:type="dxa"/>
            <w:vAlign w:val="bottom"/>
            <w:shd w:val="clear" w:color="auto" w:fill="CFF0FC"/>
          </w:tcPr>
          <w:p>
            <w:pPr>
              <w:spacing w:after="0" w:line="204" w:lineRule="exact"/>
              <w:rPr>
                <w:sz w:val="20"/>
                <w:szCs w:val="20"/>
                <w:color w:val="auto"/>
              </w:rPr>
            </w:pPr>
            <w:r>
              <w:rPr>
                <w:rFonts w:ascii="Arial" w:cs="Arial" w:eastAsia="Arial" w:hAnsi="Arial"/>
                <w:sz w:val="18"/>
                <w:szCs w:val="18"/>
                <w:color w:val="auto"/>
              </w:rPr>
              <w:t>Customer relationships</w:t>
            </w:r>
          </w:p>
        </w:tc>
        <w:tc>
          <w:tcPr>
            <w:tcW w:w="360" w:type="dxa"/>
            <w:vAlign w:val="bottom"/>
            <w:shd w:val="clear" w:color="auto" w:fill="CFF0FC"/>
          </w:tcPr>
          <w:p>
            <w:pPr>
              <w:jc w:val="right"/>
              <w:ind w:right="171"/>
              <w:spacing w:after="0" w:line="204" w:lineRule="exact"/>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b w:val="1"/>
                <w:bCs w:val="1"/>
                <w:color w:val="auto"/>
              </w:rPr>
              <w:t>4,944</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b w:val="1"/>
                <w:bCs w:val="1"/>
                <w:color w:val="auto"/>
              </w:rPr>
              <w:t>985</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1"/>
              <w:spacing w:after="0" w:line="204"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b w:val="1"/>
                <w:bCs w:val="1"/>
                <w:color w:val="auto"/>
              </w:rPr>
              <w:t>3,959</w:t>
            </w:r>
          </w:p>
        </w:tc>
        <w:tc>
          <w:tcPr>
            <w:tcW w:w="600" w:type="dxa"/>
            <w:vAlign w:val="bottom"/>
            <w:gridSpan w:val="2"/>
            <w:shd w:val="clear" w:color="auto" w:fill="CFF0FC"/>
          </w:tcPr>
          <w:p>
            <w:pPr>
              <w:jc w:val="right"/>
              <w:ind w:right="280"/>
              <w:spacing w:after="0" w:line="204"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4,938</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865</w:t>
            </w:r>
          </w:p>
        </w:tc>
        <w:tc>
          <w:tcPr>
            <w:tcW w:w="660" w:type="dxa"/>
            <w:vAlign w:val="bottom"/>
            <w:gridSpan w:val="2"/>
            <w:shd w:val="clear" w:color="auto" w:fill="CFF0FC"/>
          </w:tcPr>
          <w:p>
            <w:pPr>
              <w:jc w:val="right"/>
              <w:ind w:right="340"/>
              <w:spacing w:after="0" w:line="204"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4,073</w:t>
            </w:r>
          </w:p>
        </w:tc>
        <w:tc>
          <w:tcPr>
            <w:tcW w:w="100" w:type="dxa"/>
            <w:vAlign w:val="bottom"/>
            <w:shd w:val="clear" w:color="auto" w:fill="CFF0FC"/>
          </w:tcPr>
          <w:p>
            <w:pPr>
              <w:spacing w:after="0"/>
              <w:rPr>
                <w:sz w:val="17"/>
                <w:szCs w:val="17"/>
                <w:color w:val="auto"/>
              </w:rPr>
            </w:pPr>
          </w:p>
        </w:tc>
      </w:tr>
      <w:tr>
        <w:trPr>
          <w:trHeight w:val="226"/>
        </w:trPr>
        <w:tc>
          <w:tcPr>
            <w:tcW w:w="328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3,664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960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2,704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3,655</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19"/>
                <w:szCs w:val="19"/>
                <w:color w:val="auto"/>
              </w:rPr>
            </w:pPr>
          </w:p>
        </w:tc>
      </w:tr>
      <w:tr>
        <w:trPr>
          <w:trHeight w:val="226"/>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2,847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2,336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FF0FC"/>
          </w:tcPr>
          <w:p>
            <w:pPr>
              <w:spacing w:after="0"/>
              <w:rPr>
                <w:sz w:val="19"/>
                <w:szCs w:val="19"/>
                <w:color w:val="auto"/>
              </w:rPr>
            </w:pPr>
          </w:p>
        </w:tc>
      </w:tr>
      <w:tr>
        <w:trPr>
          <w:trHeight w:val="226"/>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1,222</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FF0FC"/>
            </w:tcBorders>
          </w:tcPr>
          <w:p>
            <w:pPr>
              <w:spacing w:after="0"/>
              <w:rPr>
                <w:sz w:val="19"/>
                <w:szCs w:val="19"/>
                <w:color w:val="auto"/>
              </w:rPr>
            </w:pPr>
          </w:p>
        </w:tc>
      </w:tr>
      <w:tr>
        <w:trPr>
          <w:trHeight w:val="219"/>
        </w:trPr>
        <w:tc>
          <w:tcPr>
            <w:tcW w:w="3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12,677</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3,041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1"/>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9,636</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6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100" w:type="dxa"/>
            <w:vAlign w:val="bottom"/>
            <w:shd w:val="clear" w:color="auto" w:fill="CFF0FC"/>
          </w:tcPr>
          <w:p>
            <w:pPr>
              <w:spacing w:after="0"/>
              <w:rPr>
                <w:sz w:val="19"/>
                <w:szCs w:val="19"/>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70"/>
        </w:trPr>
        <w:tc>
          <w:tcPr>
            <w:tcW w:w="782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Six Months</w:t>
            </w:r>
          </w:p>
        </w:tc>
        <w:tc>
          <w:tcPr>
            <w:tcW w:w="360" w:type="dxa"/>
            <w:vAlign w:val="bottom"/>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r>
    </w:tbl>
    <w:p>
      <w:pPr>
        <w:spacing w:after="0" w:line="196" w:lineRule="exact"/>
        <w:rPr>
          <w:sz w:val="20"/>
          <w:szCs w:val="20"/>
          <w:color w:val="auto"/>
        </w:rPr>
      </w:pPr>
    </w:p>
    <w:p>
      <w:pPr>
        <w:ind w:right="300"/>
        <w:spacing w:after="0" w:line="329" w:lineRule="auto"/>
        <w:rPr>
          <w:sz w:val="20"/>
          <w:szCs w:val="20"/>
          <w:color w:val="auto"/>
        </w:rPr>
      </w:pPr>
      <w:r>
        <w:rPr>
          <w:rFonts w:ascii="Arial" w:cs="Arial" w:eastAsia="Arial" w:hAnsi="Arial"/>
          <w:sz w:val="16"/>
          <w:szCs w:val="16"/>
          <w:color w:val="auto"/>
        </w:rPr>
        <w:t>Based on the net book value of intangible assets at June 30, 2017, amortization charged to income for the subsequent five years is estimated to be: remaining two quarters of 2017—$350 million; 2018—$681 million; 2019—$668 million; 2020—$621 million; 2021—$597 million; and 2022—$586 million.</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ind w:left="280" w:hanging="274"/>
        <w:spacing w:after="0"/>
        <w:tabs>
          <w:tab w:leader="none" w:pos="2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4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 30,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r>
      <w:tr>
        <w:trPr>
          <w:trHeight w:val="230"/>
        </w:trPr>
        <w:tc>
          <w:tcPr>
            <w:tcW w:w="480" w:type="dxa"/>
            <w:vAlign w:val="bottom"/>
            <w:tcBorders>
              <w:bottom w:val="single" w:sz="8" w:color="CFF0FC"/>
            </w:tcBorders>
          </w:tcPr>
          <w:p>
            <w:pPr>
              <w:spacing w:after="0"/>
              <w:rPr>
                <w:sz w:val="20"/>
                <w:szCs w:val="20"/>
                <w:color w:val="auto"/>
              </w:rPr>
            </w:pPr>
          </w:p>
        </w:tc>
        <w:tc>
          <w:tcPr>
            <w:tcW w:w="734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0"/>
                <w:szCs w:val="20"/>
                <w:color w:val="auto"/>
              </w:rPr>
            </w:pPr>
          </w:p>
        </w:tc>
      </w:tr>
      <w:tr>
        <w:trPr>
          <w:trHeight w:val="220"/>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 borrowings</w:t>
            </w:r>
          </w:p>
        </w:tc>
        <w:tc>
          <w:tcPr>
            <w:tcW w:w="1100" w:type="dxa"/>
            <w:vAlign w:val="bottom"/>
            <w:shd w:val="clear" w:color="auto" w:fill="CFF0FC"/>
          </w:tcPr>
          <w:p>
            <w:pPr>
              <w:jc w:val="right"/>
              <w:ind w:right="940"/>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2,833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4.00%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3.30%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3.00%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2020</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1,591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3.65%</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2023</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2.35%</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2018</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4.20%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2.40%</w:t>
            </w:r>
          </w:p>
        </w:tc>
        <w:tc>
          <w:tcPr>
            <w:tcW w:w="734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996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3.63%</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0.63%</w:t>
            </w:r>
          </w:p>
        </w:tc>
        <w:tc>
          <w:tcPr>
            <w:tcW w:w="7340" w:type="dxa"/>
            <w:vAlign w:val="bottom"/>
          </w:tcPr>
          <w:p>
            <w:pPr>
              <w:ind w:left="20"/>
              <w:spacing w:after="0"/>
              <w:rPr>
                <w:sz w:val="20"/>
                <w:szCs w:val="20"/>
                <w:color w:val="auto"/>
              </w:rPr>
            </w:pPr>
            <w:r>
              <w:rPr>
                <w:rFonts w:ascii="Arial" w:cs="Arial" w:eastAsia="Arial" w:hAnsi="Arial"/>
                <w:sz w:val="18"/>
                <w:szCs w:val="18"/>
                <w:color w:val="auto"/>
              </w:rPr>
              <w:t>Guaranteed Notes due 2019</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680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1.50%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2019</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6.38%</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2018</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7.00%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2038</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4.50%</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2021</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5.95%</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2041</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3.60%</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2022</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5.13%</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2043</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Arial" w:cs="Arial" w:eastAsia="Arial" w:hAnsi="Arial"/>
                <w:sz w:val="18"/>
                <w:szCs w:val="18"/>
                <w:color w:val="auto"/>
                <w:w w:val="90"/>
              </w:rPr>
              <w:t>4.00%</w:t>
            </w:r>
          </w:p>
        </w:tc>
        <w:tc>
          <w:tcPr>
            <w:tcW w:w="734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Arial" w:cs="Arial" w:eastAsia="Arial" w:hAnsi="Arial"/>
                <w:sz w:val="18"/>
                <w:szCs w:val="18"/>
                <w:color w:val="auto"/>
                <w:w w:val="90"/>
              </w:rPr>
              <w:t>3.70%</w:t>
            </w:r>
          </w:p>
        </w:tc>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2024</w:t>
            </w:r>
          </w:p>
        </w:tc>
        <w:tc>
          <w:tcPr>
            <w:tcW w:w="11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3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746</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FF0FC"/>
            </w:tcBorders>
          </w:tcPr>
          <w:p>
            <w:pPr>
              <w:spacing w:after="0"/>
              <w:rPr>
                <w:sz w:val="19"/>
                <w:szCs w:val="19"/>
                <w:color w:val="auto"/>
              </w:rPr>
            </w:pPr>
          </w:p>
        </w:tc>
      </w:tr>
      <w:tr>
        <w:trPr>
          <w:trHeight w:val="219"/>
        </w:trPr>
        <w:tc>
          <w:tcPr>
            <w:tcW w:w="480" w:type="dxa"/>
            <w:vAlign w:val="bottom"/>
            <w:tcBorders>
              <w:bottom w:val="single" w:sz="8" w:color="CFF0FC"/>
            </w:tcBorders>
            <w:shd w:val="clear" w:color="auto" w:fill="CFF0FC"/>
          </w:tcPr>
          <w:p>
            <w:pPr>
              <w:spacing w:after="0"/>
              <w:rPr>
                <w:sz w:val="19"/>
                <w:szCs w:val="19"/>
                <w:color w:val="auto"/>
              </w:rPr>
            </w:pPr>
          </w:p>
        </w:tc>
        <w:tc>
          <w:tcPr>
            <w:tcW w:w="73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0"/>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3"/>
              </w:rPr>
              <w:t>16,600</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based on quoted market prices at June 30, 2017 and December 31, 2016, was $16.9 billion and $16.8 billion, respectively.</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Borrowings under the commercial paper program at June 30, 2017 were $3.0 billion, of which $2.8 billion was classified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$0.2 billion was classified within </w:t>
      </w:r>
      <w:r>
        <w:rPr>
          <w:rFonts w:ascii="Arial" w:cs="Arial" w:eastAsia="Arial" w:hAnsi="Arial"/>
          <w:sz w:val="18"/>
          <w:szCs w:val="18"/>
          <w:i w:val="1"/>
          <w:iCs w:val="1"/>
          <w:color w:val="auto"/>
        </w:rPr>
        <w:t>Short-term borrowings and current portion of 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December 31, 2016, borrowings under the commercial paper program were $2.6 billion, of which $2.4 billion was classified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$0.2 billion was classified in </w:t>
      </w:r>
      <w:r>
        <w:rPr>
          <w:rFonts w:ascii="Arial" w:cs="Arial" w:eastAsia="Arial" w:hAnsi="Arial"/>
          <w:sz w:val="18"/>
          <w:szCs w:val="18"/>
          <w:i w:val="1"/>
          <w:iCs w:val="1"/>
          <w:color w:val="auto"/>
        </w:rPr>
        <w:t>Short-term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borrowings and current portion of long-term debt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w:t>
      </w:r>
    </w:p>
    <w:p>
      <w:pPr>
        <w:spacing w:after="0" w:line="331" w:lineRule="exact"/>
        <w:rPr>
          <w:sz w:val="20"/>
          <w:szCs w:val="20"/>
          <w:color w:val="auto"/>
        </w:rPr>
      </w:pPr>
    </w:p>
    <w:p>
      <w:pPr>
        <w:ind w:left="360" w:hanging="354"/>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During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54"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This cross currency swap is designated as a fair value hedge of the underlying debt. This derivative instrument is marked to market with gains and losses recognized currently in income to largely offset the respective gains and losses recognized on changes in the fair value of the hedged debt.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At June 30, 2017, Schlumberger had fixed rate debt of $13.9 billion and variable rate debt of $4.9 billion after taking into account the effect of the swap.</w:t>
      </w:r>
    </w:p>
    <w:p>
      <w:pPr>
        <w:spacing w:after="0" w:line="23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Fixed income 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held to maturity </w:t>
      </w:r>
      <w:r>
        <w:rPr>
          <w:rFonts w:ascii="Arial" w:cs="Arial" w:eastAsia="Arial" w:hAnsi="Arial"/>
          <w:sz w:val="18"/>
          <w:szCs w:val="18"/>
          <w:color w:val="auto"/>
        </w:rPr>
        <w:t>totaled $4.3 billion at June 30, 2017. The carrying value of these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approximated fair value, which was estimated using quoted market prices for those or similar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a multinational company, Schlumberger conducts its business in over 85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90"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that is denominated in currencies other than the functional currency. Schlumberger uses foreign currency forward contracts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Amounts recorded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are reclassified into earnings in the same period or periods that the hedged item is recognized in earnings. The ineffective portion of changes in the fair value of hedging instruments, if any, is recorded directly to earnings.</w:t>
      </w:r>
    </w:p>
    <w:p>
      <w:pPr>
        <w:spacing w:after="0" w:line="18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 xml:space="preserve">At June 30, 2017, Schlumberger recognized a cumulative net loss of $0.1 million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88"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 xml:space="preserve">Schlumberger is exposed to changes in the fair value of assets and liabilities that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 xml:space="preserve"> as are changes in fair value of the hedged item.</w:t>
      </w:r>
    </w:p>
    <w:p>
      <w:pPr>
        <w:spacing w:after="0" w:line="16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At June 30, 2017, contracts were outstanding for the US dollar equivalent of $4.8 billion in various foreign currencies, of which $0.8 billion related to hedges of debt denominated in currencies other than the functional currency.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4820" w:type="dxa"/>
            <w:vAlign w:val="bottom"/>
          </w:tcPr>
          <w:p>
            <w:pPr>
              <w:spacing w:after="0"/>
              <w:rPr>
                <w:sz w:val="24"/>
                <w:szCs w:val="24"/>
                <w:color w:val="auto"/>
              </w:rPr>
            </w:pPr>
          </w:p>
        </w:tc>
        <w:tc>
          <w:tcPr>
            <w:tcW w:w="2620" w:type="dxa"/>
            <w:vAlign w:val="bottom"/>
            <w:gridSpan w:val="4"/>
          </w:tcPr>
          <w:p>
            <w:pPr>
              <w:jc w:val="right"/>
              <w:ind w:right="215"/>
              <w:spacing w:after="0"/>
              <w:rPr>
                <w:sz w:val="20"/>
                <w:szCs w:val="20"/>
                <w:color w:val="auto"/>
              </w:rPr>
            </w:pPr>
            <w:r>
              <w:rPr>
                <w:rFonts w:ascii="Arial" w:cs="Arial" w:eastAsia="Arial" w:hAnsi="Arial"/>
                <w:sz w:val="16"/>
                <w:szCs w:val="16"/>
                <w:b w:val="1"/>
                <w:bCs w:val="1"/>
                <w:color w:val="auto"/>
              </w:rPr>
              <w:t>Fair Value of Derivatives</w:t>
            </w:r>
          </w:p>
        </w:tc>
        <w:tc>
          <w:tcPr>
            <w:tcW w:w="340" w:type="dxa"/>
            <w:vAlign w:val="bottom"/>
          </w:tcPr>
          <w:p>
            <w:pPr>
              <w:spacing w:after="0"/>
              <w:rPr>
                <w:sz w:val="24"/>
                <w:szCs w:val="24"/>
                <w:color w:val="auto"/>
              </w:rPr>
            </w:pPr>
          </w:p>
        </w:tc>
        <w:tc>
          <w:tcPr>
            <w:tcW w:w="3640" w:type="dxa"/>
            <w:vAlign w:val="bottom"/>
            <w:gridSpan w:val="2"/>
          </w:tcPr>
          <w:p>
            <w:pPr>
              <w:ind w:left="260"/>
              <w:spacing w:after="0"/>
              <w:rPr>
                <w:sz w:val="20"/>
                <w:szCs w:val="20"/>
                <w:color w:val="auto"/>
              </w:rPr>
            </w:pPr>
            <w:r>
              <w:rPr>
                <w:rFonts w:ascii="Arial" w:cs="Arial" w:eastAsia="Arial" w:hAnsi="Arial"/>
                <w:sz w:val="16"/>
                <w:szCs w:val="16"/>
                <w:color w:val="auto"/>
              </w:rPr>
              <w:t>Consolidated Balance Sheet Classification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820" w:type="dxa"/>
            <w:vAlign w:val="bottom"/>
          </w:tcPr>
          <w:p>
            <w:pPr>
              <w:spacing w:after="0"/>
              <w:rPr>
                <w:sz w:val="17"/>
                <w:szCs w:val="17"/>
                <w:color w:val="auto"/>
              </w:rPr>
            </w:pPr>
          </w:p>
        </w:tc>
        <w:tc>
          <w:tcPr>
            <w:tcW w:w="106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Jun. 30,</w:t>
            </w:r>
          </w:p>
        </w:tc>
        <w:tc>
          <w:tcPr>
            <w:tcW w:w="2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Dec. 31,</w:t>
            </w:r>
          </w:p>
        </w:tc>
        <w:tc>
          <w:tcPr>
            <w:tcW w:w="3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color w:val="auto"/>
              </w:rPr>
              <w:t>2016</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3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tcBorders>
              <w:bottom w:val="single" w:sz="8" w:color="auto"/>
            </w:tcBorders>
            <w:shd w:val="clear" w:color="auto" w:fill="CFF0FC"/>
          </w:tcPr>
          <w:p>
            <w:pPr>
              <w:jc w:val="right"/>
              <w:ind w:right="904"/>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Other current assets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tcBorders>
              <w:bottom w:val="single" w:sz="8" w:color="auto"/>
            </w:tcBorders>
          </w:tcPr>
          <w:p>
            <w:pPr>
              <w:jc w:val="right"/>
              <w:ind w:right="904"/>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6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i w:val="1"/>
                <w:iCs w:val="1"/>
                <w:color w:val="auto"/>
              </w:rPr>
              <w:t>Other current assets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4"/>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CFF0FC"/>
            </w:tcBorders>
            <w:shd w:val="clear" w:color="auto" w:fill="CFF0FC"/>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2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Derivatives designated as hedges: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tcPr>
          <w:p>
            <w:pPr>
              <w:jc w:val="right"/>
              <w:ind w:right="904"/>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19"/>
                <w:szCs w:val="19"/>
                <w:color w:val="auto"/>
              </w:rPr>
            </w:pP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3640" w:type="dxa"/>
            <w:vAlign w:val="bottom"/>
            <w:gridSpan w:val="2"/>
          </w:tcPr>
          <w:p>
            <w:pPr>
              <w:ind w:left="260"/>
              <w:spacing w:after="0"/>
              <w:rPr>
                <w:sz w:val="20"/>
                <w:szCs w:val="20"/>
                <w:color w:val="auto"/>
              </w:rPr>
            </w:pPr>
            <w:r>
              <w:rPr>
                <w:rFonts w:ascii="Arial" w:cs="Arial" w:eastAsia="Arial" w:hAnsi="Arial"/>
                <w:sz w:val="18"/>
                <w:szCs w:val="18"/>
                <w:i w:val="1"/>
                <w:iCs w:val="1"/>
                <w:color w:val="auto"/>
              </w:rPr>
              <w:t>Accounts payable and accrued liabilities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Cross currency swap</w:t>
            </w:r>
          </w:p>
        </w:tc>
        <w:tc>
          <w:tcPr>
            <w:tcW w:w="10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Other Liabilities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904"/>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6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spacing w:after="0"/>
              <w:rPr>
                <w:sz w:val="20"/>
                <w:szCs w:val="20"/>
                <w:color w:val="auto"/>
              </w:rPr>
            </w:pPr>
            <w:r>
              <w:rPr>
                <w:rFonts w:ascii="Arial" w:cs="Arial" w:eastAsia="Arial" w:hAnsi="Arial"/>
                <w:sz w:val="18"/>
                <w:szCs w:val="18"/>
                <w:color w:val="auto"/>
              </w:rPr>
              <w:t>Derivatives not designated as hedges: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60" w:type="dxa"/>
            <w:vAlign w:val="bottom"/>
            <w:tcBorders>
              <w:bottom w:val="single" w:sz="8" w:color="auto"/>
            </w:tcBorders>
            <w:shd w:val="clear" w:color="auto" w:fill="CFF0FC"/>
          </w:tcPr>
          <w:p>
            <w:pPr>
              <w:jc w:val="right"/>
              <w:ind w:right="904"/>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Accounts payable and accrued liabilities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1060" w:type="dxa"/>
            <w:vAlign w:val="bottom"/>
            <w:tcBorders>
              <w:bottom w:val="single" w:sz="8" w:color="auto"/>
            </w:tcBorders>
          </w:tcPr>
          <w:p>
            <w:pPr>
              <w:jc w:val="right"/>
              <w:ind w:right="904"/>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126</w:t>
            </w: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4820" w:type="dxa"/>
            <w:vAlign w:val="bottom"/>
          </w:tcPr>
          <w:p>
            <w:pPr>
              <w:spacing w:after="0"/>
              <w:rPr>
                <w:sz w:val="24"/>
                <w:szCs w:val="24"/>
                <w:color w:val="auto"/>
              </w:rPr>
            </w:pPr>
          </w:p>
        </w:tc>
        <w:tc>
          <w:tcPr>
            <w:tcW w:w="1060" w:type="dxa"/>
            <w:vAlign w:val="bottom"/>
          </w:tcPr>
          <w:p>
            <w:pPr>
              <w:jc w:val="right"/>
              <w:ind w:right="4"/>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14" w:name="page15"/>
    <w:bookmarkEnd w:id="14"/>
    <w:p>
      <w:pPr>
        <w:ind w:right="720"/>
        <w:spacing w:after="0" w:line="266"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that can be derived from, or corroborated by, observable data.</w:t>
      </w:r>
    </w:p>
    <w:p>
      <w:pPr>
        <w:spacing w:after="0" w:line="17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The effect of derivative instruments designated as fair value hedges and those not designated as hedges on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xml:space="preserve">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14"/>
                <w:szCs w:val="14"/>
                <w:i w:val="1"/>
                <w:iCs w:val="1"/>
                <w:color w:val="auto"/>
              </w:rPr>
              <w:t>(Stated in millions)</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3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6"/>
                <w:szCs w:val="16"/>
                <w:b w:val="1"/>
                <w:bCs w:val="1"/>
                <w:color w:val="auto"/>
                <w:w w:val="94"/>
              </w:rPr>
              <w:t>Gain (Loss) Recognized in Income (Loss)</w:t>
            </w: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0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6"/>
                <w:szCs w:val="16"/>
                <w:b w:val="1"/>
                <w:bCs w:val="1"/>
                <w:color w:val="auto"/>
              </w:rPr>
              <w:t>Second Quarter</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Six Months</w:t>
            </w: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40" w:type="dxa"/>
            <w:vAlign w:val="bottom"/>
          </w:tcPr>
          <w:p>
            <w:pPr>
              <w:spacing w:after="0"/>
              <w:rPr>
                <w:sz w:val="17"/>
                <w:szCs w:val="17"/>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restart"/>
          </w:tcPr>
          <w:p>
            <w:pPr>
              <w:jc w:val="right"/>
              <w:ind w:right="256"/>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Consolidated Statement of</w:t>
            </w: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2016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ind w:right="254"/>
              <w:spacing w:after="0"/>
              <w:rPr>
                <w:sz w:val="20"/>
                <w:szCs w:val="20"/>
                <w:color w:val="auto"/>
              </w:rPr>
            </w:pPr>
            <w:r>
              <w:rPr>
                <w:rFonts w:ascii="Arial" w:cs="Arial" w:eastAsia="Arial" w:hAnsi="Arial"/>
                <w:sz w:val="16"/>
                <w:szCs w:val="16"/>
                <w:color w:val="auto"/>
                <w:w w:val="95"/>
              </w:rPr>
              <w:t>2016</w:t>
            </w:r>
          </w:p>
        </w:tc>
        <w:tc>
          <w:tcPr>
            <w:tcW w:w="22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Income (Loss) Classification</w:t>
            </w:r>
          </w:p>
        </w:tc>
        <w:tc>
          <w:tcPr>
            <w:tcW w:w="0" w:type="dxa"/>
            <w:vAlign w:val="bottom"/>
          </w:tcPr>
          <w:p>
            <w:pPr>
              <w:spacing w:after="0"/>
              <w:rPr>
                <w:sz w:val="1"/>
                <w:szCs w:val="1"/>
                <w:color w:val="auto"/>
              </w:rPr>
            </w:pPr>
          </w:p>
        </w:tc>
      </w:tr>
      <w:tr>
        <w:trPr>
          <w:trHeight w:val="222"/>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6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40" w:type="dxa"/>
            <w:vAlign w:val="bottom"/>
          </w:tcPr>
          <w:p>
            <w:pPr>
              <w:spacing w:after="0"/>
              <w:rPr>
                <w:sz w:val="20"/>
                <w:szCs w:val="20"/>
                <w:color w:val="auto"/>
              </w:rPr>
            </w:pPr>
            <w:r>
              <w:rPr>
                <w:rFonts w:ascii="Arial" w:cs="Arial" w:eastAsia="Arial" w:hAnsi="Arial"/>
                <w:sz w:val="18"/>
                <w:szCs w:val="18"/>
                <w:color w:val="auto"/>
              </w:rPr>
              <w:t>Cross currency swap</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19"/>
                <w:szCs w:val="19"/>
                <w:color w:val="auto"/>
              </w:rPr>
            </w:pPr>
          </w:p>
        </w:tc>
        <w:tc>
          <w:tcPr>
            <w:tcW w:w="700" w:type="dxa"/>
            <w:vAlign w:val="bottom"/>
          </w:tcPr>
          <w:p>
            <w:pPr>
              <w:jc w:val="right"/>
              <w:ind w:right="545"/>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6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4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9"/>
                <w:szCs w:val="19"/>
                <w:color w:val="auto"/>
              </w:rPr>
            </w:pPr>
          </w:p>
        </w:tc>
        <w:tc>
          <w:tcPr>
            <w:tcW w:w="700" w:type="dxa"/>
            <w:vAlign w:val="bottom"/>
          </w:tcPr>
          <w:p>
            <w:pPr>
              <w:jc w:val="right"/>
              <w:ind w:right="545"/>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20" w:type="dxa"/>
            <w:vAlign w:val="bottom"/>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2200" w:type="dxa"/>
            <w:vAlign w:val="bottom"/>
          </w:tcPr>
          <w:p>
            <w:pPr>
              <w:spacing w:after="0"/>
              <w:rPr>
                <w:sz w:val="20"/>
                <w:szCs w:val="20"/>
                <w:color w:val="auto"/>
              </w:rPr>
            </w:pPr>
            <w:r>
              <w:rPr>
                <w:rFonts w:ascii="Arial" w:cs="Arial" w:eastAsia="Arial" w:hAnsi="Arial"/>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360" w:hanging="354"/>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6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b w:val="1"/>
          <w:bCs w:val="1"/>
          <w:u w:val="single" w:color="auto"/>
          <w:color w:val="auto"/>
        </w:rPr>
        <w:t>Segment Information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8"/>
                <w:szCs w:val="18"/>
                <w:b w:val="1"/>
                <w:bCs w:val="1"/>
                <w:color w:val="auto"/>
              </w:rPr>
              <w:t>Second Quarter 2017</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8"/>
                <w:szCs w:val="18"/>
                <w:color w:val="auto"/>
              </w:rPr>
              <w:t>Second Quarter 2016</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0"/>
        </w:trPr>
        <w:tc>
          <w:tcPr>
            <w:tcW w:w="5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r>
      <w:tr>
        <w:trPr>
          <w:trHeight w:val="22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2,496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(165)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(46)</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w:t>
            </w: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(242)</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(241)</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(128)</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(591)</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(2,908)</w:t>
            </w: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(2,514)</w:t>
            </w: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3" w:lineRule="exact"/>
        <w:rPr>
          <w:sz w:val="20"/>
          <w:szCs w:val="20"/>
          <w:color w:val="auto"/>
        </w:rPr>
      </w:pPr>
    </w:p>
    <w:p>
      <w:pPr>
        <w:ind w:left="300" w:hanging="287"/>
        <w:spacing w:after="0" w:line="286" w:lineRule="auto"/>
        <w:tabs>
          <w:tab w:leader="none" w:pos="241" w:val="left"/>
        </w:tabs>
        <w:numPr>
          <w:ilvl w:val="0"/>
          <w:numId w:val="18"/>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55"/>
        <w:spacing w:after="0"/>
        <w:tabs>
          <w:tab w:leader="none" w:pos="280" w:val="left"/>
        </w:tabs>
        <w:numPr>
          <w:ilvl w:val="2"/>
          <w:numId w:val="18"/>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($6 million in 2017; $6 million in 2016).</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8"/>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($14 million in 2017; $13 million in 2016).</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8"/>
        </w:numPr>
        <w:rPr>
          <w:rFonts w:ascii="Arial" w:cs="Arial" w:eastAsia="Arial" w:hAnsi="Arial"/>
          <w:sz w:val="15"/>
          <w:szCs w:val="15"/>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Certain prior period items have been reclassified to conform to the current period presentation.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8"/>
                <w:szCs w:val="18"/>
                <w:b w:val="1"/>
                <w:bCs w:val="1"/>
                <w:color w:val="auto"/>
              </w:rPr>
              <w:t>Six Months 2017</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611"/>
              <w:spacing w:after="0"/>
              <w:rPr>
                <w:sz w:val="20"/>
                <w:szCs w:val="20"/>
                <w:color w:val="auto"/>
              </w:rPr>
            </w:pPr>
            <w:r>
              <w:rPr>
                <w:rFonts w:ascii="Arial" w:cs="Arial" w:eastAsia="Arial" w:hAnsi="Arial"/>
                <w:sz w:val="18"/>
                <w:szCs w:val="18"/>
                <w:color w:val="auto"/>
              </w:rPr>
              <w:t>Six Months 2016</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0"/>
        </w:trPr>
        <w:tc>
          <w:tcPr>
            <w:tcW w:w="5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r>
      <w:tr>
        <w:trPr>
          <w:trHeight w:val="22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(290)</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(71)</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(480)</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(414)</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(254)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(674)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(2,908)</w:t>
            </w: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(1,893)</w:t>
            </w: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22" w:lineRule="exact"/>
        <w:rPr>
          <w:sz w:val="20"/>
          <w:szCs w:val="20"/>
          <w:color w:val="auto"/>
        </w:rPr>
      </w:pPr>
    </w:p>
    <w:p>
      <w:pPr>
        <w:ind w:left="300" w:hanging="287"/>
        <w:spacing w:after="0" w:line="286" w:lineRule="auto"/>
        <w:tabs>
          <w:tab w:leader="none" w:pos="241" w:val="left"/>
        </w:tabs>
        <w:numPr>
          <w:ilvl w:val="0"/>
          <w:numId w:val="19"/>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55"/>
        <w:spacing w:after="0"/>
        <w:tabs>
          <w:tab w:leader="none" w:pos="280" w:val="left"/>
        </w:tabs>
        <w:numPr>
          <w:ilvl w:val="2"/>
          <w:numId w:val="19"/>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($11 million in 2017; $12 million in 2016).</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9"/>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($27 million in 2017; $26 million in 2016).</w:t>
      </w:r>
    </w:p>
    <w:p>
      <w:pPr>
        <w:spacing w:after="0" w:line="134" w:lineRule="exact"/>
        <w:rPr>
          <w:rFonts w:ascii="Arial" w:cs="Arial" w:eastAsia="Arial" w:hAnsi="Arial"/>
          <w:sz w:val="15"/>
          <w:szCs w:val="15"/>
          <w:color w:val="auto"/>
        </w:rPr>
      </w:pPr>
    </w:p>
    <w:p>
      <w:pPr>
        <w:ind w:left="300" w:hanging="294"/>
        <w:spacing w:after="0"/>
        <w:tabs>
          <w:tab w:leader="none" w:pos="300" w:val="left"/>
        </w:tabs>
        <w:numPr>
          <w:ilvl w:val="1"/>
          <w:numId w:val="19"/>
        </w:numPr>
        <w:rPr>
          <w:rFonts w:ascii="Arial" w:cs="Arial" w:eastAsia="Arial" w:hAnsi="Arial"/>
          <w:sz w:val="15"/>
          <w:szCs w:val="15"/>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Certain prior period items have been reclassified to conform to the current period presentation.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16" w:name="page17"/>
    <w:bookmarkEnd w:id="16"/>
    <w:p>
      <w:pPr>
        <w:ind w:left="360" w:hanging="354"/>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5"/>
        </w:trPr>
        <w:tc>
          <w:tcPr>
            <w:tcW w:w="34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6"/>
              </w:rPr>
              <w:t>Second Quarter</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Six Months</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34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2016</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b w:val="1"/>
                <w:bCs w:val="1"/>
                <w:color w:val="auto"/>
              </w:rPr>
              <w:t>2017</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9"/>
        </w:trPr>
        <w:tc>
          <w:tcPr>
            <w:tcW w:w="34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Int'l</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Int'l</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US</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Int'l</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US</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Int'l</w:t>
            </w:r>
          </w:p>
        </w:tc>
        <w:tc>
          <w:tcPr>
            <w:tcW w:w="120" w:type="dxa"/>
            <w:vAlign w:val="bottom"/>
            <w:tcBorders>
              <w:bottom w:val="single" w:sz="8" w:color="CFF0FC"/>
            </w:tcBorders>
          </w:tcPr>
          <w:p>
            <w:pPr>
              <w:spacing w:after="0"/>
              <w:rPr>
                <w:sz w:val="19"/>
                <w:szCs w:val="19"/>
                <w:color w:val="auto"/>
              </w:rPr>
            </w:pPr>
          </w:p>
        </w:tc>
      </w:tr>
      <w:tr>
        <w:trPr>
          <w:trHeight w:val="232"/>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520" w:type="dxa"/>
            <w:vAlign w:val="bottom"/>
            <w:shd w:val="clear" w:color="auto" w:fill="CFF0FC"/>
          </w:tcPr>
          <w:p>
            <w:pPr>
              <w:jc w:val="right"/>
              <w:ind w:right="362"/>
              <w:spacing w:after="0"/>
              <w:rPr>
                <w:sz w:val="20"/>
                <w:szCs w:val="20"/>
                <w:color w:val="auto"/>
              </w:rPr>
            </w:pPr>
            <w:r>
              <w:rPr>
                <w:rFonts w:ascii="Arial" w:cs="Arial" w:eastAsia="Arial" w:hAnsi="Arial"/>
                <w:sz w:val="14"/>
                <w:szCs w:val="14"/>
                <w:b w:val="1"/>
                <w:bCs w:val="1"/>
                <w:color w:val="auto"/>
                <w:w w:val="76"/>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1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3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20"/>
                <w:szCs w:val="20"/>
                <w:color w:val="auto"/>
              </w:rPr>
            </w:pPr>
          </w:p>
        </w:tc>
      </w:tr>
      <w:tr>
        <w:trPr>
          <w:trHeight w:val="239"/>
        </w:trPr>
        <w:tc>
          <w:tcPr>
            <w:tcW w:w="3480" w:type="dxa"/>
            <w:vAlign w:val="bottom"/>
          </w:tcPr>
          <w:p>
            <w:pPr>
              <w:spacing w:after="0"/>
              <w:rPr>
                <w:sz w:val="20"/>
                <w:szCs w:val="20"/>
                <w:color w:val="auto"/>
              </w:rPr>
            </w:pPr>
            <w:r>
              <w:rPr>
                <w:rFonts w:ascii="Arial" w:cs="Arial" w:eastAsia="Arial" w:hAnsi="Arial"/>
                <w:sz w:val="18"/>
                <w:szCs w:val="18"/>
                <w:color w:val="auto"/>
              </w:rPr>
              <w:t>Interest cost</w:t>
            </w: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r>
      <w:tr>
        <w:trPr>
          <w:trHeight w:val="24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5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w w:val="99"/>
              </w:rPr>
              <w:t>(62)</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(134)</w:t>
            </w:r>
          </w:p>
        </w:tc>
        <w:tc>
          <w:tcPr>
            <w:tcW w:w="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(58)</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(122)</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(270)</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(263)</w:t>
            </w:r>
          </w:p>
        </w:tc>
      </w:tr>
      <w:tr>
        <w:trPr>
          <w:trHeight w:val="239"/>
        </w:trPr>
        <w:tc>
          <w:tcPr>
            <w:tcW w:w="34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r>
      <w:tr>
        <w:trPr>
          <w:trHeight w:val="23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5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24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2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60</w:t>
            </w:r>
          </w:p>
        </w:tc>
        <w:tc>
          <w:tcPr>
            <w:tcW w:w="2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20"/>
                <w:szCs w:val="20"/>
                <w:color w:val="auto"/>
              </w:rPr>
            </w:pPr>
          </w:p>
        </w:tc>
      </w:tr>
      <w:tr>
        <w:trPr>
          <w:trHeight w:val="232"/>
        </w:trPr>
        <w:tc>
          <w:tcPr>
            <w:tcW w:w="3480" w:type="dxa"/>
            <w:vAlign w:val="bottom"/>
          </w:tcPr>
          <w:p>
            <w:pPr>
              <w:spacing w:after="0"/>
              <w:rPr>
                <w:sz w:val="20"/>
                <w:szCs w:val="20"/>
                <w:color w:val="auto"/>
              </w:rPr>
            </w:pPr>
          </w:p>
        </w:tc>
        <w:tc>
          <w:tcPr>
            <w:tcW w:w="520" w:type="dxa"/>
            <w:vAlign w:val="bottom"/>
          </w:tcPr>
          <w:p>
            <w:pPr>
              <w:jc w:val="right"/>
              <w:ind w:right="362"/>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20"/>
                <w:szCs w:val="20"/>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60" w:type="dxa"/>
            <w:vAlign w:val="bottom"/>
          </w:tcPr>
          <w:p>
            <w:pPr>
              <w:spacing w:after="0"/>
              <w:rPr>
                <w:sz w:val="20"/>
                <w:szCs w:val="20"/>
                <w:color w:val="auto"/>
              </w:rPr>
            </w:pPr>
          </w:p>
        </w:tc>
        <w:tc>
          <w:tcPr>
            <w:tcW w:w="60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2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0"/>
                <w:szCs w:val="20"/>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r>
      <w:tr>
        <w:trPr>
          <w:trHeight w:val="20"/>
        </w:trPr>
        <w:tc>
          <w:tcPr>
            <w:tcW w:w="3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credit for the Schlumberger US postretirement medical plan included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7"/>
          </w:tcPr>
          <w:p>
            <w:pPr>
              <w:jc w:val="right"/>
              <w:ind w:right="940"/>
              <w:spacing w:after="0"/>
              <w:rPr>
                <w:sz w:val="20"/>
                <w:szCs w:val="20"/>
                <w:color w:val="auto"/>
              </w:rPr>
            </w:pPr>
            <w:r>
              <w:rPr>
                <w:rFonts w:ascii="Arial" w:cs="Arial" w:eastAsia="Arial" w:hAnsi="Arial"/>
                <w:sz w:val="18"/>
                <w:szCs w:val="18"/>
                <w:b w:val="1"/>
                <w:bCs w:val="1"/>
                <w:color w:val="auto"/>
              </w:rPr>
              <w:t>Second Quarter</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5"/>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0" w:type="dxa"/>
            <w:vAlign w:val="bottom"/>
            <w:tcBorders>
              <w:bottom w:val="single" w:sz="8" w:color="CFF0FC"/>
            </w:tcBorders>
          </w:tcPr>
          <w:p>
            <w:pPr>
              <w:spacing w:after="0"/>
              <w:rPr>
                <w:sz w:val="19"/>
                <w:szCs w:val="19"/>
                <w:color w:val="auto"/>
              </w:rPr>
            </w:pPr>
          </w:p>
        </w:tc>
        <w:tc>
          <w:tcPr>
            <w:tcW w:w="310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w w:val="94"/>
              </w:rPr>
              <w:t>2017</w:t>
            </w:r>
          </w:p>
        </w:tc>
        <w:tc>
          <w:tcPr>
            <w:tcW w:w="2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2016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tcBorders>
              <w:left w:val="single" w:sz="8" w:color="CFF0FC"/>
              <w:right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FF0FC"/>
          </w:tcPr>
          <w:p>
            <w:pPr>
              <w:spacing w:after="0"/>
              <w:rPr>
                <w:sz w:val="19"/>
                <w:szCs w:val="19"/>
                <w:color w:val="auto"/>
              </w:rPr>
            </w:pPr>
          </w:p>
        </w:tc>
        <w:tc>
          <w:tcPr>
            <w:tcW w:w="240" w:type="dxa"/>
            <w:vAlign w:val="bottom"/>
            <w:tcBorders>
              <w:left w:val="single" w:sz="8" w:color="CFF0FC"/>
              <w:right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34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(16)</w:t>
            </w: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(31)</w:t>
            </w:r>
          </w:p>
        </w:tc>
        <w:tc>
          <w:tcPr>
            <w:tcW w:w="1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gridSpan w:val="3"/>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13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vMerge w:val="restart"/>
            <w:shd w:val="clear" w:color="auto" w:fill="CFF0FC"/>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tcBorders>
              <w:left w:val="single" w:sz="8" w:color="CFF0FC"/>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8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13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40" w:type="dxa"/>
            <w:vAlign w:val="bottom"/>
            <w:tcBorders>
              <w:left w:val="single" w:sz="8" w:color="CFF0FC"/>
              <w:right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w:t>
            </w:r>
          </w:p>
        </w:tc>
        <w:tc>
          <w:tcPr>
            <w:tcW w:w="240" w:type="dxa"/>
            <w:vAlign w:val="bottom"/>
            <w:tcBorders>
              <w:left w:val="single" w:sz="8" w:color="CFF0FC"/>
              <w:right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(7)</w:t>
            </w:r>
          </w:p>
        </w:tc>
        <w:tc>
          <w:tcPr>
            <w:tcW w:w="140" w:type="dxa"/>
            <w:vAlign w:val="bottom"/>
            <w:tcBorders>
              <w:right w:val="single" w:sz="8" w:color="CFF0FC"/>
            </w:tcBorders>
            <w:shd w:val="clear" w:color="auto" w:fill="CFF0FC"/>
          </w:tcPr>
          <w:p>
            <w:pPr>
              <w:spacing w:after="0"/>
              <w:rPr>
                <w:sz w:val="19"/>
                <w:szCs w:val="19"/>
                <w:color w:val="auto"/>
              </w:rPr>
            </w:pPr>
          </w:p>
        </w:tc>
        <w:tc>
          <w:tcPr>
            <w:tcW w:w="34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8"/>
                <w:szCs w:val="18"/>
                <w:b w:val="1"/>
                <w:bCs w:val="1"/>
                <w:color w:val="auto"/>
              </w:rPr>
              <w:t>14. Accumulated Other Comprehensive Loss</w:t>
            </w: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7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740" w:type="dxa"/>
            <w:vAlign w:val="bottom"/>
            <w:gridSpan w:val="3"/>
          </w:tcPr>
          <w:p>
            <w:pPr>
              <w:spacing w:after="0"/>
              <w:rPr>
                <w:sz w:val="20"/>
                <w:szCs w:val="20"/>
                <w:color w:val="auto"/>
              </w:rPr>
            </w:pPr>
            <w:r>
              <w:rPr>
                <w:rFonts w:ascii="Arial" w:cs="Arial" w:eastAsia="Arial" w:hAnsi="Arial"/>
                <w:sz w:val="18"/>
                <w:szCs w:val="18"/>
                <w:i w:val="1"/>
                <w:iCs w:val="1"/>
                <w:color w:val="auto"/>
                <w:w w:val="91"/>
              </w:rPr>
              <w:t xml:space="preserve">Accumulated other comprehensive loss </w:t>
            </w:r>
            <w:r>
              <w:rPr>
                <w:rFonts w:ascii="Arial" w:cs="Arial" w:eastAsia="Arial" w:hAnsi="Arial"/>
                <w:sz w:val="18"/>
                <w:szCs w:val="18"/>
                <w:color w:val="auto"/>
                <w:w w:val="91"/>
              </w:rPr>
              <w:t>consists of the following:</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6"/>
              </w:rPr>
              <w:t>Pension and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71"/>
              <w:spacing w:after="0"/>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Gain 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71"/>
              <w:spacing w:after="0"/>
              <w:rPr>
                <w:sz w:val="20"/>
                <w:szCs w:val="20"/>
                <w:color w:val="auto"/>
              </w:rPr>
            </w:pPr>
            <w:r>
              <w:rPr>
                <w:rFonts w:ascii="Arial" w:cs="Arial" w:eastAsia="Arial" w:hAnsi="Arial"/>
                <w:sz w:val="16"/>
                <w:szCs w:val="16"/>
                <w:b w:val="1"/>
                <w:bCs w:val="1"/>
                <w:color w:val="auto"/>
                <w:w w:val="90"/>
              </w:rPr>
              <w:t>Translation</w:t>
            </w: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5"/>
              </w:rPr>
              <w:t>Marketable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2"/>
              </w:rPr>
              <w:t>Cash Flow</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Postretirement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0" w:type="dxa"/>
            <w:vAlign w:val="bottom"/>
            <w:tcBorders>
              <w:bottom w:val="single" w:sz="8" w:color="CFF0FC"/>
            </w:tcBorders>
          </w:tcPr>
          <w:p>
            <w:pPr>
              <w:spacing w:after="0"/>
              <w:rPr>
                <w:sz w:val="18"/>
                <w:szCs w:val="18"/>
                <w:color w:val="auto"/>
              </w:rPr>
            </w:pPr>
          </w:p>
        </w:tc>
        <w:tc>
          <w:tcPr>
            <w:tcW w:w="310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8"/>
              </w:rPr>
              <w:t>Adjustments</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86"/>
              </w:rPr>
              <w:t>Securities</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Hedges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Benefit Plans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right w:val="single" w:sz="8" w:color="CFF0FC"/>
            </w:tcBorders>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(2,136)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(2,509)</w:t>
            </w:r>
          </w:p>
        </w:tc>
        <w:tc>
          <w:tcPr>
            <w:tcW w:w="3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gridSpan w:val="3"/>
          </w:tcPr>
          <w:p>
            <w:pPr>
              <w:spacing w:after="0"/>
              <w:rPr>
                <w:sz w:val="20"/>
                <w:szCs w:val="20"/>
                <w:color w:val="auto"/>
              </w:rPr>
            </w:pPr>
            <w:r>
              <w:rPr>
                <w:rFonts w:ascii="Arial" w:cs="Arial" w:eastAsia="Arial" w:hAnsi="Arial"/>
                <w:sz w:val="18"/>
                <w:szCs w:val="18"/>
                <w:color w:val="auto"/>
              </w:rPr>
              <w:t>Other comprehensive gain (loss) before reclassifications</w:t>
            </w:r>
          </w:p>
        </w:tc>
        <w:tc>
          <w:tcPr>
            <w:tcW w:w="100" w:type="dxa"/>
            <w:vAlign w:val="bottom"/>
          </w:tcPr>
          <w:p>
            <w:pPr>
              <w:spacing w:after="0"/>
              <w:rPr>
                <w:sz w:val="19"/>
                <w:szCs w:val="19"/>
                <w:color w:val="auto"/>
              </w:rPr>
            </w:pPr>
          </w:p>
        </w:tc>
        <w:tc>
          <w:tcPr>
            <w:tcW w:w="1260" w:type="dxa"/>
            <w:vAlign w:val="bottom"/>
            <w:gridSpan w:val="2"/>
          </w:tcPr>
          <w:p>
            <w:pPr>
              <w:jc w:val="right"/>
              <w:ind w:right="91"/>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240" w:type="dxa"/>
            <w:vAlign w:val="bottom"/>
            <w:gridSpan w:val="3"/>
          </w:tcPr>
          <w:p>
            <w:pPr>
              <w:jc w:val="right"/>
              <w:ind w:right="91"/>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4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w w:val="89"/>
              </w:rPr>
              <w:t>Amounts reclassified from accumulated other comprehensive loss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w:t>
            </w:r>
          </w:p>
        </w:tc>
        <w:tc>
          <w:tcPr>
            <w:tcW w:w="1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right w:val="single" w:sz="8" w:color="CFF0FC"/>
            </w:tcBorders>
            <w:gridSpan w:val="3"/>
            <w:vMerge w:val="restart"/>
            <w:shd w:val="clear" w:color="auto" w:fill="CFF0FC"/>
          </w:tcPr>
          <w:p>
            <w:pPr>
              <w:spacing w:after="0"/>
              <w:rPr>
                <w:sz w:val="20"/>
                <w:szCs w:val="20"/>
                <w:color w:val="auto"/>
              </w:rPr>
            </w:pPr>
            <w:r>
              <w:rPr>
                <w:rFonts w:ascii="Arial" w:cs="Arial" w:eastAsia="Arial" w:hAnsi="Arial"/>
                <w:sz w:val="18"/>
                <w:szCs w:val="18"/>
                <w:color w:val="auto"/>
              </w:rPr>
              <w:t>Net other comprehensive (loss) income</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40" w:type="dxa"/>
            <w:vAlign w:val="bottom"/>
            <w:tcBorders>
              <w:right w:val="single" w:sz="8" w:color="CFF0FC"/>
            </w:tcBorders>
            <w:gridSpan w:val="3"/>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1240" w:type="dxa"/>
            <w:vAlign w:val="bottom"/>
            <w:tcBorders>
              <w:right w:val="single" w:sz="8" w:color="CFF0FC"/>
            </w:tcBorders>
            <w:gridSpan w:val="3"/>
            <w:shd w:val="clear" w:color="auto" w:fill="CFF0FC"/>
          </w:tcPr>
          <w:p>
            <w:pPr>
              <w:jc w:val="right"/>
              <w:ind w:right="91"/>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w:t>
            </w:r>
          </w:p>
        </w:tc>
        <w:tc>
          <w:tcPr>
            <w:tcW w:w="1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Balance, June 30, 2017</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7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91"/>
              <w:spacing w:after="0"/>
              <w:rPr>
                <w:sz w:val="20"/>
                <w:szCs w:val="20"/>
                <w:color w:val="auto"/>
              </w:rPr>
            </w:pPr>
            <w:r>
              <w:rPr>
                <w:rFonts w:ascii="Arial" w:cs="Arial" w:eastAsia="Arial" w:hAnsi="Arial"/>
                <w:sz w:val="18"/>
                <w:szCs w:val="18"/>
                <w:color w:val="auto"/>
              </w:rPr>
              <w:t>(2,162)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91"/>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(2,392)</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8"/>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center"/>
              <w:ind w:left="4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Pension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80" w:type="dxa"/>
            <w:vAlign w:val="bottom"/>
          </w:tcPr>
          <w:p>
            <w:pPr>
              <w:spacing w:after="0"/>
              <w:rPr>
                <w:sz w:val="18"/>
                <w:szCs w:val="18"/>
                <w:color w:val="auto"/>
              </w:rPr>
            </w:pPr>
          </w:p>
        </w:tc>
        <w:tc>
          <w:tcPr>
            <w:tcW w:w="980" w:type="dxa"/>
            <w:vAlign w:val="bottom"/>
          </w:tcPr>
          <w:p>
            <w:pPr>
              <w:jc w:val="center"/>
              <w:ind w:left="40"/>
              <w:spacing w:after="0"/>
              <w:rPr>
                <w:sz w:val="20"/>
                <w:szCs w:val="20"/>
                <w:color w:val="auto"/>
              </w:rPr>
            </w:pPr>
            <w:r>
              <w:rPr>
                <w:rFonts w:ascii="Arial" w:cs="Arial" w:eastAsia="Arial" w:hAnsi="Arial"/>
                <w:sz w:val="16"/>
                <w:szCs w:val="16"/>
                <w:b w:val="1"/>
                <w:bCs w:val="1"/>
                <w:color w:val="auto"/>
                <w:w w:val="90"/>
              </w:rPr>
              <w:t>Gain 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80" w:type="dxa"/>
            <w:vAlign w:val="bottom"/>
          </w:tcPr>
          <w:p>
            <w:pPr>
              <w:spacing w:after="0"/>
              <w:rPr>
                <w:sz w:val="18"/>
                <w:szCs w:val="18"/>
                <w:color w:val="auto"/>
              </w:rPr>
            </w:pPr>
          </w:p>
        </w:tc>
        <w:tc>
          <w:tcPr>
            <w:tcW w:w="980" w:type="dxa"/>
            <w:vAlign w:val="bottom"/>
          </w:tcPr>
          <w:p>
            <w:pPr>
              <w:jc w:val="center"/>
              <w:ind w:left="60"/>
              <w:spacing w:after="0"/>
              <w:rPr>
                <w:sz w:val="20"/>
                <w:szCs w:val="20"/>
                <w:color w:val="auto"/>
              </w:rPr>
            </w:pPr>
            <w:r>
              <w:rPr>
                <w:rFonts w:ascii="Arial" w:cs="Arial" w:eastAsia="Arial" w:hAnsi="Arial"/>
                <w:sz w:val="16"/>
                <w:szCs w:val="16"/>
                <w:b w:val="1"/>
                <w:bCs w:val="1"/>
                <w:color w:val="auto"/>
                <w:w w:val="95"/>
              </w:rPr>
              <w:t>Marketable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4"/>
              </w:rPr>
              <w:t>Cash Flow</w:t>
            </w:r>
          </w:p>
        </w:tc>
        <w:tc>
          <w:tcPr>
            <w:tcW w:w="13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Postretirement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8"/>
              </w:rPr>
              <w:t>Adjustments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center"/>
              <w:ind w:left="40"/>
              <w:spacing w:after="0"/>
              <w:rPr>
                <w:sz w:val="20"/>
                <w:szCs w:val="20"/>
                <w:color w:val="auto"/>
              </w:rPr>
            </w:pPr>
            <w:r>
              <w:rPr>
                <w:rFonts w:ascii="Arial" w:cs="Arial" w:eastAsia="Arial" w:hAnsi="Arial"/>
                <w:sz w:val="16"/>
                <w:szCs w:val="16"/>
                <w:b w:val="1"/>
                <w:bCs w:val="1"/>
                <w:color w:val="auto"/>
                <w:w w:val="86"/>
              </w:rPr>
              <w:t>Securities</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Hedges</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8"/>
              </w:rPr>
              <w:t>Benefit Plans</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(2,053)</w:t>
            </w:r>
          </w:p>
        </w:tc>
        <w:tc>
          <w:tcPr>
            <w:tcW w:w="106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(2,466)</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spacing w:after="0"/>
              <w:rPr>
                <w:sz w:val="20"/>
                <w:szCs w:val="20"/>
                <w:color w:val="auto"/>
              </w:rPr>
            </w:pPr>
            <w:r>
              <w:rPr>
                <w:rFonts w:ascii="Arial" w:cs="Arial" w:eastAsia="Arial" w:hAnsi="Arial"/>
                <w:sz w:val="18"/>
                <w:szCs w:val="18"/>
                <w:color w:val="auto"/>
              </w:rPr>
              <w:t>Other comprehensive gain (loss) before reclassifications</w:t>
            </w: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Net other comprehensive income</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800" w:type="dxa"/>
            <w:vAlign w:val="bottom"/>
            <w:tcBorders>
              <w:right w:val="single" w:sz="8" w:color="CFF0FC"/>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Balance, June 30, 2016</w:t>
            </w: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8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(2,104)</w:t>
            </w:r>
          </w:p>
        </w:tc>
        <w:tc>
          <w:tcPr>
            <w:tcW w:w="10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(2,350)</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6"/>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65" w:right="219" w:bottom="1440" w:gutter="0" w:footer="0" w:header="0"/>
        </w:sectPr>
      </w:pPr>
    </w:p>
    <w:bookmarkStart w:id="18" w:name="page19"/>
    <w:bookmarkEnd w:id="18"/>
    <w:p>
      <w:pPr>
        <w:ind w:left="120"/>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2017 Compared to First Quarter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8"/>
                <w:szCs w:val="18"/>
                <w:b w:val="1"/>
                <w:bCs w:val="1"/>
                <w:color w:val="auto"/>
              </w:rPr>
              <w:t>Second Quarter 2017</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8"/>
                <w:szCs w:val="18"/>
                <w:color w:val="auto"/>
              </w:rPr>
              <w:t>First Quarter 2017</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0"/>
        </w:trPr>
        <w:tc>
          <w:tcPr>
            <w:tcW w:w="5880" w:type="dxa"/>
            <w:vAlign w:val="bottom"/>
            <w:tcBorders>
              <w:bottom w:val="single" w:sz="8" w:color="CFF0F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E"/>
            </w:tcBorders>
          </w:tcPr>
          <w:p>
            <w:pPr>
              <w:spacing w:after="0"/>
              <w:rPr>
                <w:sz w:val="20"/>
                <w:szCs w:val="20"/>
                <w:color w:val="auto"/>
              </w:rPr>
            </w:pPr>
          </w:p>
        </w:tc>
        <w:tc>
          <w:tcPr>
            <w:tcW w:w="100" w:type="dxa"/>
            <w:vAlign w:val="bottom"/>
            <w:tcBorders>
              <w:bottom w:val="single" w:sz="8" w:color="CFF0F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E"/>
            </w:tcBorders>
          </w:tcPr>
          <w:p>
            <w:pPr>
              <w:spacing w:after="0"/>
              <w:rPr>
                <w:sz w:val="20"/>
                <w:szCs w:val="20"/>
                <w:color w:val="auto"/>
              </w:rPr>
            </w:pPr>
          </w:p>
        </w:tc>
      </w:tr>
      <w:tr>
        <w:trPr>
          <w:trHeight w:val="220"/>
        </w:trPr>
        <w:tc>
          <w:tcPr>
            <w:tcW w:w="5880" w:type="dxa"/>
            <w:vAlign w:val="bottom"/>
            <w:shd w:val="clear" w:color="auto" w:fill="CFF0FE"/>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E"/>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E"/>
          </w:tcPr>
          <w:p>
            <w:pPr>
              <w:jc w:val="right"/>
              <w:spacing w:after="0"/>
              <w:rPr>
                <w:sz w:val="20"/>
                <w:szCs w:val="20"/>
                <w:color w:val="auto"/>
              </w:rPr>
            </w:pPr>
            <w:r>
              <w:rPr>
                <w:rFonts w:ascii="Arial" w:cs="Arial" w:eastAsia="Arial" w:hAnsi="Arial"/>
                <w:sz w:val="18"/>
                <w:szCs w:val="18"/>
                <w:b w:val="1"/>
                <w:bCs w:val="1"/>
                <w:color w:val="auto"/>
              </w:rPr>
              <w:t>1,759</w:t>
            </w:r>
          </w:p>
        </w:tc>
        <w:tc>
          <w:tcPr>
            <w:tcW w:w="240" w:type="dxa"/>
            <w:vAlign w:val="bottom"/>
            <w:shd w:val="clear" w:color="auto" w:fill="CFF0FE"/>
          </w:tcPr>
          <w:p>
            <w:pPr>
              <w:spacing w:after="0"/>
              <w:rPr>
                <w:sz w:val="19"/>
                <w:szCs w:val="19"/>
                <w:color w:val="auto"/>
              </w:rPr>
            </w:pPr>
          </w:p>
        </w:tc>
        <w:tc>
          <w:tcPr>
            <w:tcW w:w="200" w:type="dxa"/>
            <w:vAlign w:val="bottom"/>
            <w:shd w:val="clear" w:color="auto" w:fill="CFF0FE"/>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E"/>
          </w:tcPr>
          <w:p>
            <w:pPr>
              <w:jc w:val="right"/>
              <w:spacing w:after="0"/>
              <w:rPr>
                <w:sz w:val="20"/>
                <w:szCs w:val="20"/>
                <w:color w:val="auto"/>
              </w:rPr>
            </w:pPr>
            <w:r>
              <w:rPr>
                <w:rFonts w:ascii="Arial" w:cs="Arial" w:eastAsia="Arial" w:hAnsi="Arial"/>
                <w:sz w:val="18"/>
                <w:szCs w:val="18"/>
                <w:b w:val="1"/>
                <w:bCs w:val="1"/>
                <w:color w:val="auto"/>
              </w:rPr>
              <w:t>299</w:t>
            </w:r>
          </w:p>
        </w:tc>
        <w:tc>
          <w:tcPr>
            <w:tcW w:w="240" w:type="dxa"/>
            <w:vAlign w:val="bottom"/>
            <w:shd w:val="clear" w:color="auto" w:fill="CFF0FE"/>
          </w:tcPr>
          <w:p>
            <w:pPr>
              <w:spacing w:after="0"/>
              <w:rPr>
                <w:sz w:val="19"/>
                <w:szCs w:val="19"/>
                <w:color w:val="auto"/>
              </w:rPr>
            </w:pPr>
          </w:p>
        </w:tc>
        <w:tc>
          <w:tcPr>
            <w:tcW w:w="180" w:type="dxa"/>
            <w:vAlign w:val="bottom"/>
            <w:shd w:val="clear" w:color="auto" w:fill="CFF0FE"/>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E"/>
          </w:tcPr>
          <w:p>
            <w:pPr>
              <w:jc w:val="right"/>
              <w:spacing w:after="0"/>
              <w:rPr>
                <w:sz w:val="20"/>
                <w:szCs w:val="20"/>
                <w:color w:val="auto"/>
              </w:rPr>
            </w:pPr>
            <w:r>
              <w:rPr>
                <w:rFonts w:ascii="Arial" w:cs="Arial" w:eastAsia="Arial" w:hAnsi="Arial"/>
                <w:sz w:val="18"/>
                <w:szCs w:val="18"/>
                <w:color w:val="auto"/>
              </w:rPr>
              <w:t>1,618</w:t>
            </w:r>
          </w:p>
        </w:tc>
        <w:tc>
          <w:tcPr>
            <w:tcW w:w="140" w:type="dxa"/>
            <w:vAlign w:val="bottom"/>
            <w:shd w:val="clear" w:color="auto" w:fill="CFF0FE"/>
          </w:tcPr>
          <w:p>
            <w:pPr>
              <w:spacing w:after="0"/>
              <w:rPr>
                <w:sz w:val="19"/>
                <w:szCs w:val="19"/>
                <w:color w:val="auto"/>
              </w:rPr>
            </w:pPr>
          </w:p>
        </w:tc>
        <w:tc>
          <w:tcPr>
            <w:tcW w:w="300" w:type="dxa"/>
            <w:vAlign w:val="bottom"/>
            <w:gridSpan w:val="2"/>
            <w:shd w:val="clear" w:color="auto" w:fill="CFF0FE"/>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E"/>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E"/>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r>
      <w:tr>
        <w:trPr>
          <w:trHeight w:val="226"/>
        </w:trPr>
        <w:tc>
          <w:tcPr>
            <w:tcW w:w="5880" w:type="dxa"/>
            <w:vAlign w:val="bottom"/>
            <w:shd w:val="clear" w:color="auto" w:fill="CFF0FE"/>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E"/>
          </w:tcPr>
          <w:p>
            <w:pPr>
              <w:spacing w:after="0"/>
              <w:rPr>
                <w:sz w:val="19"/>
                <w:szCs w:val="19"/>
                <w:color w:val="auto"/>
              </w:rPr>
            </w:pPr>
          </w:p>
        </w:tc>
        <w:tc>
          <w:tcPr>
            <w:tcW w:w="980" w:type="dxa"/>
            <w:vAlign w:val="bottom"/>
            <w:shd w:val="clear" w:color="auto" w:fill="CFF0FE"/>
          </w:tcPr>
          <w:p>
            <w:pPr>
              <w:jc w:val="right"/>
              <w:spacing w:after="0"/>
              <w:rPr>
                <w:sz w:val="20"/>
                <w:szCs w:val="20"/>
                <w:color w:val="auto"/>
              </w:rPr>
            </w:pPr>
            <w:r>
              <w:rPr>
                <w:rFonts w:ascii="Arial" w:cs="Arial" w:eastAsia="Arial" w:hAnsi="Arial"/>
                <w:sz w:val="18"/>
                <w:szCs w:val="18"/>
                <w:b w:val="1"/>
                <w:bCs w:val="1"/>
                <w:color w:val="auto"/>
              </w:rPr>
              <w:t>2,496</w:t>
            </w:r>
          </w:p>
        </w:tc>
        <w:tc>
          <w:tcPr>
            <w:tcW w:w="24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1000" w:type="dxa"/>
            <w:vAlign w:val="bottom"/>
            <w:shd w:val="clear" w:color="auto" w:fill="CFF0FE"/>
          </w:tcPr>
          <w:p>
            <w:pPr>
              <w:jc w:val="right"/>
              <w:spacing w:after="0"/>
              <w:rPr>
                <w:sz w:val="20"/>
                <w:szCs w:val="20"/>
                <w:color w:val="auto"/>
              </w:rPr>
            </w:pPr>
            <w:r>
              <w:rPr>
                <w:rFonts w:ascii="Arial" w:cs="Arial" w:eastAsia="Arial" w:hAnsi="Arial"/>
                <w:sz w:val="18"/>
                <w:szCs w:val="18"/>
                <w:b w:val="1"/>
                <w:bCs w:val="1"/>
                <w:color w:val="auto"/>
              </w:rPr>
              <w:t>221</w:t>
            </w:r>
          </w:p>
        </w:tc>
        <w:tc>
          <w:tcPr>
            <w:tcW w:w="240" w:type="dxa"/>
            <w:vAlign w:val="bottom"/>
            <w:shd w:val="clear" w:color="auto" w:fill="CFF0FE"/>
          </w:tcPr>
          <w:p>
            <w:pPr>
              <w:spacing w:after="0"/>
              <w:rPr>
                <w:sz w:val="19"/>
                <w:szCs w:val="19"/>
                <w:color w:val="auto"/>
              </w:rPr>
            </w:pPr>
          </w:p>
        </w:tc>
        <w:tc>
          <w:tcPr>
            <w:tcW w:w="180" w:type="dxa"/>
            <w:vAlign w:val="bottom"/>
            <w:shd w:val="clear" w:color="auto" w:fill="CFF0FE"/>
          </w:tcPr>
          <w:p>
            <w:pPr>
              <w:spacing w:after="0"/>
              <w:rPr>
                <w:sz w:val="19"/>
                <w:szCs w:val="19"/>
                <w:color w:val="auto"/>
              </w:rPr>
            </w:pPr>
          </w:p>
        </w:tc>
        <w:tc>
          <w:tcPr>
            <w:tcW w:w="1000" w:type="dxa"/>
            <w:vAlign w:val="bottom"/>
            <w:shd w:val="clear" w:color="auto" w:fill="CFF0FE"/>
          </w:tcPr>
          <w:p>
            <w:pPr>
              <w:jc w:val="right"/>
              <w:spacing w:after="0"/>
              <w:rPr>
                <w:sz w:val="20"/>
                <w:szCs w:val="20"/>
                <w:color w:val="auto"/>
              </w:rPr>
            </w:pPr>
            <w:r>
              <w:rPr>
                <w:rFonts w:ascii="Arial" w:cs="Arial" w:eastAsia="Arial" w:hAnsi="Arial"/>
                <w:sz w:val="18"/>
                <w:szCs w:val="18"/>
                <w:color w:val="auto"/>
              </w:rPr>
              <w:t>2,187</w:t>
            </w:r>
          </w:p>
        </w:tc>
        <w:tc>
          <w:tcPr>
            <w:tcW w:w="140" w:type="dxa"/>
            <w:vAlign w:val="bottom"/>
            <w:shd w:val="clear" w:color="auto" w:fill="CFF0FE"/>
          </w:tcPr>
          <w:p>
            <w:pPr>
              <w:spacing w:after="0"/>
              <w:rPr>
                <w:sz w:val="19"/>
                <w:szCs w:val="19"/>
                <w:color w:val="auto"/>
              </w:rPr>
            </w:pPr>
          </w:p>
        </w:tc>
        <w:tc>
          <w:tcPr>
            <w:tcW w:w="10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980" w:type="dxa"/>
            <w:vAlign w:val="bottom"/>
            <w:shd w:val="clear" w:color="auto" w:fill="CFF0FE"/>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E"/>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E"/>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E"/>
          </w:tcPr>
          <w:p>
            <w:pPr>
              <w:spacing w:after="0"/>
              <w:rPr>
                <w:sz w:val="19"/>
                <w:szCs w:val="19"/>
                <w:color w:val="auto"/>
              </w:rPr>
            </w:pPr>
          </w:p>
        </w:tc>
        <w:tc>
          <w:tcPr>
            <w:tcW w:w="1220" w:type="dxa"/>
            <w:vAlign w:val="bottom"/>
            <w:gridSpan w:val="2"/>
            <w:shd w:val="clear" w:color="auto" w:fill="CFF0FE"/>
          </w:tcPr>
          <w:p>
            <w:pPr>
              <w:jc w:val="right"/>
              <w:ind w:right="180"/>
              <w:spacing w:after="0"/>
              <w:rPr>
                <w:sz w:val="20"/>
                <w:szCs w:val="20"/>
                <w:color w:val="auto"/>
              </w:rPr>
            </w:pPr>
            <w:r>
              <w:rPr>
                <w:rFonts w:ascii="Arial" w:cs="Arial" w:eastAsia="Arial" w:hAnsi="Arial"/>
                <w:sz w:val="18"/>
                <w:szCs w:val="18"/>
                <w:b w:val="1"/>
                <w:bCs w:val="1"/>
                <w:color w:val="auto"/>
              </w:rPr>
              <w:t>(165)</w:t>
            </w:r>
          </w:p>
        </w:tc>
        <w:tc>
          <w:tcPr>
            <w:tcW w:w="200" w:type="dxa"/>
            <w:vAlign w:val="bottom"/>
            <w:shd w:val="clear" w:color="auto" w:fill="CFF0FE"/>
          </w:tcPr>
          <w:p>
            <w:pPr>
              <w:spacing w:after="0"/>
              <w:rPr>
                <w:sz w:val="19"/>
                <w:szCs w:val="19"/>
                <w:color w:val="auto"/>
              </w:rPr>
            </w:pPr>
          </w:p>
        </w:tc>
        <w:tc>
          <w:tcPr>
            <w:tcW w:w="1240" w:type="dxa"/>
            <w:vAlign w:val="bottom"/>
            <w:gridSpan w:val="2"/>
            <w:shd w:val="clear" w:color="auto" w:fill="CFF0FE"/>
          </w:tcPr>
          <w:p>
            <w:pPr>
              <w:jc w:val="right"/>
              <w:ind w:right="180"/>
              <w:spacing w:after="0"/>
              <w:rPr>
                <w:sz w:val="20"/>
                <w:szCs w:val="20"/>
                <w:color w:val="auto"/>
              </w:rPr>
            </w:pPr>
            <w:r>
              <w:rPr>
                <w:rFonts w:ascii="Arial" w:cs="Arial" w:eastAsia="Arial" w:hAnsi="Arial"/>
                <w:sz w:val="18"/>
                <w:szCs w:val="18"/>
                <w:b w:val="1"/>
                <w:bCs w:val="1"/>
                <w:color w:val="auto"/>
              </w:rPr>
              <w:t>(46)</w:t>
            </w:r>
          </w:p>
        </w:tc>
        <w:tc>
          <w:tcPr>
            <w:tcW w:w="180" w:type="dxa"/>
            <w:vAlign w:val="bottom"/>
            <w:shd w:val="clear" w:color="auto" w:fill="CFF0FE"/>
          </w:tcPr>
          <w:p>
            <w:pPr>
              <w:spacing w:after="0"/>
              <w:rPr>
                <w:sz w:val="19"/>
                <w:szCs w:val="19"/>
                <w:color w:val="auto"/>
              </w:rPr>
            </w:pPr>
          </w:p>
        </w:tc>
        <w:tc>
          <w:tcPr>
            <w:tcW w:w="1140" w:type="dxa"/>
            <w:vAlign w:val="bottom"/>
            <w:gridSpan w:val="2"/>
            <w:shd w:val="clear" w:color="auto" w:fill="CFF0FE"/>
          </w:tcPr>
          <w:p>
            <w:pPr>
              <w:jc w:val="right"/>
              <w:ind w:right="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1080" w:type="dxa"/>
            <w:vAlign w:val="bottom"/>
            <w:gridSpan w:val="2"/>
            <w:shd w:val="clear" w:color="auto" w:fill="CFF0FE"/>
          </w:tcPr>
          <w:p>
            <w:pPr>
              <w:jc w:val="right"/>
              <w:ind w:right="40"/>
              <w:spacing w:after="0"/>
              <w:rPr>
                <w:sz w:val="20"/>
                <w:szCs w:val="20"/>
                <w:color w:val="auto"/>
              </w:rPr>
            </w:pPr>
            <w:r>
              <w:rPr>
                <w:rFonts w:ascii="Arial" w:cs="Arial" w:eastAsia="Arial" w:hAnsi="Arial"/>
                <w:sz w:val="18"/>
                <w:szCs w:val="18"/>
                <w:color w:val="auto"/>
              </w:rPr>
              <w:t>(25)</w:t>
            </w: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r>
      <w:tr>
        <w:trPr>
          <w:trHeight w:val="226"/>
        </w:trPr>
        <w:tc>
          <w:tcPr>
            <w:tcW w:w="5880" w:type="dxa"/>
            <w:vAlign w:val="bottom"/>
            <w:shd w:val="clear" w:color="auto" w:fill="CFF0FE"/>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E"/>
          </w:tcPr>
          <w:p>
            <w:pPr>
              <w:spacing w:after="0"/>
              <w:rPr>
                <w:sz w:val="19"/>
                <w:szCs w:val="19"/>
                <w:color w:val="auto"/>
              </w:rPr>
            </w:pPr>
          </w:p>
        </w:tc>
        <w:tc>
          <w:tcPr>
            <w:tcW w:w="980" w:type="dxa"/>
            <w:vAlign w:val="bottom"/>
            <w:shd w:val="clear" w:color="auto" w:fill="CFF0FE"/>
          </w:tcPr>
          <w:p>
            <w:pPr>
              <w:spacing w:after="0"/>
              <w:rPr>
                <w:sz w:val="19"/>
                <w:szCs w:val="19"/>
                <w:color w:val="auto"/>
              </w:rPr>
            </w:pPr>
          </w:p>
        </w:tc>
        <w:tc>
          <w:tcPr>
            <w:tcW w:w="24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1240" w:type="dxa"/>
            <w:vAlign w:val="bottom"/>
            <w:gridSpan w:val="2"/>
            <w:shd w:val="clear" w:color="auto" w:fill="CFF0FE"/>
          </w:tcPr>
          <w:p>
            <w:pPr>
              <w:jc w:val="right"/>
              <w:ind w:right="180"/>
              <w:spacing w:after="0"/>
              <w:rPr>
                <w:sz w:val="20"/>
                <w:szCs w:val="20"/>
                <w:color w:val="auto"/>
              </w:rPr>
            </w:pPr>
            <w:r>
              <w:rPr>
                <w:rFonts w:ascii="Arial" w:cs="Arial" w:eastAsia="Arial" w:hAnsi="Arial"/>
                <w:sz w:val="18"/>
                <w:szCs w:val="18"/>
                <w:b w:val="1"/>
                <w:bCs w:val="1"/>
                <w:color w:val="auto"/>
              </w:rPr>
              <w:t>(242)</w:t>
            </w:r>
          </w:p>
        </w:tc>
        <w:tc>
          <w:tcPr>
            <w:tcW w:w="180" w:type="dxa"/>
            <w:vAlign w:val="bottom"/>
            <w:shd w:val="clear" w:color="auto" w:fill="CFF0FE"/>
          </w:tcPr>
          <w:p>
            <w:pPr>
              <w:spacing w:after="0"/>
              <w:rPr>
                <w:sz w:val="19"/>
                <w:szCs w:val="19"/>
                <w:color w:val="auto"/>
              </w:rPr>
            </w:pPr>
          </w:p>
        </w:tc>
        <w:tc>
          <w:tcPr>
            <w:tcW w:w="1000" w:type="dxa"/>
            <w:vAlign w:val="bottom"/>
            <w:shd w:val="clear" w:color="auto" w:fill="CFF0FE"/>
          </w:tcPr>
          <w:p>
            <w:pPr>
              <w:spacing w:after="0"/>
              <w:rPr>
                <w:sz w:val="19"/>
                <w:szCs w:val="19"/>
                <w:color w:val="auto"/>
              </w:rPr>
            </w:pPr>
          </w:p>
        </w:tc>
        <w:tc>
          <w:tcPr>
            <w:tcW w:w="140" w:type="dxa"/>
            <w:vAlign w:val="bottom"/>
            <w:shd w:val="clear" w:color="auto" w:fill="CFF0FE"/>
          </w:tcPr>
          <w:p>
            <w:pPr>
              <w:spacing w:after="0"/>
              <w:rPr>
                <w:sz w:val="19"/>
                <w:szCs w:val="19"/>
                <w:color w:val="auto"/>
              </w:rPr>
            </w:pPr>
          </w:p>
        </w:tc>
        <w:tc>
          <w:tcPr>
            <w:tcW w:w="10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1080" w:type="dxa"/>
            <w:vAlign w:val="bottom"/>
            <w:gridSpan w:val="2"/>
            <w:shd w:val="clear" w:color="auto" w:fill="CFF0FE"/>
          </w:tcPr>
          <w:p>
            <w:pPr>
              <w:jc w:val="right"/>
              <w:ind w:right="40"/>
              <w:spacing w:after="0"/>
              <w:rPr>
                <w:sz w:val="20"/>
                <w:szCs w:val="20"/>
                <w:color w:val="auto"/>
              </w:rPr>
            </w:pPr>
            <w:r>
              <w:rPr>
                <w:rFonts w:ascii="Arial" w:cs="Arial" w:eastAsia="Arial" w:hAnsi="Arial"/>
                <w:sz w:val="18"/>
                <w:szCs w:val="18"/>
                <w:color w:val="auto"/>
              </w:rPr>
              <w:t>(239)</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E"/>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E"/>
          </w:tcPr>
          <w:p>
            <w:pPr>
              <w:spacing w:after="0"/>
              <w:rPr>
                <w:sz w:val="19"/>
                <w:szCs w:val="19"/>
                <w:color w:val="auto"/>
              </w:rPr>
            </w:pPr>
          </w:p>
        </w:tc>
        <w:tc>
          <w:tcPr>
            <w:tcW w:w="980" w:type="dxa"/>
            <w:vAlign w:val="bottom"/>
            <w:shd w:val="clear" w:color="auto" w:fill="CFF0FE"/>
          </w:tcPr>
          <w:p>
            <w:pPr>
              <w:spacing w:after="0"/>
              <w:rPr>
                <w:sz w:val="19"/>
                <w:szCs w:val="19"/>
                <w:color w:val="auto"/>
              </w:rPr>
            </w:pPr>
          </w:p>
        </w:tc>
        <w:tc>
          <w:tcPr>
            <w:tcW w:w="24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1240" w:type="dxa"/>
            <w:vAlign w:val="bottom"/>
            <w:gridSpan w:val="2"/>
            <w:shd w:val="clear" w:color="auto" w:fill="CFF0FE"/>
          </w:tcPr>
          <w:p>
            <w:pPr>
              <w:jc w:val="right"/>
              <w:ind w:right="180"/>
              <w:spacing w:after="0"/>
              <w:rPr>
                <w:sz w:val="20"/>
                <w:szCs w:val="20"/>
                <w:color w:val="auto"/>
              </w:rPr>
            </w:pPr>
            <w:r>
              <w:rPr>
                <w:rFonts w:ascii="Arial" w:cs="Arial" w:eastAsia="Arial" w:hAnsi="Arial"/>
                <w:sz w:val="18"/>
                <w:szCs w:val="18"/>
                <w:b w:val="1"/>
                <w:bCs w:val="1"/>
                <w:color w:val="auto"/>
              </w:rPr>
              <w:t>(128)</w:t>
            </w:r>
          </w:p>
        </w:tc>
        <w:tc>
          <w:tcPr>
            <w:tcW w:w="180" w:type="dxa"/>
            <w:vAlign w:val="bottom"/>
            <w:shd w:val="clear" w:color="auto" w:fill="CFF0FE"/>
          </w:tcPr>
          <w:p>
            <w:pPr>
              <w:spacing w:after="0"/>
              <w:rPr>
                <w:sz w:val="19"/>
                <w:szCs w:val="19"/>
                <w:color w:val="auto"/>
              </w:rPr>
            </w:pPr>
          </w:p>
        </w:tc>
        <w:tc>
          <w:tcPr>
            <w:tcW w:w="1000" w:type="dxa"/>
            <w:vAlign w:val="bottom"/>
            <w:shd w:val="clear" w:color="auto" w:fill="CFF0FE"/>
          </w:tcPr>
          <w:p>
            <w:pPr>
              <w:spacing w:after="0"/>
              <w:rPr>
                <w:sz w:val="19"/>
                <w:szCs w:val="19"/>
                <w:color w:val="auto"/>
              </w:rPr>
            </w:pPr>
          </w:p>
        </w:tc>
        <w:tc>
          <w:tcPr>
            <w:tcW w:w="140" w:type="dxa"/>
            <w:vAlign w:val="bottom"/>
            <w:shd w:val="clear" w:color="auto" w:fill="CFF0FE"/>
          </w:tcPr>
          <w:p>
            <w:pPr>
              <w:spacing w:after="0"/>
              <w:rPr>
                <w:sz w:val="19"/>
                <w:szCs w:val="19"/>
                <w:color w:val="auto"/>
              </w:rPr>
            </w:pPr>
          </w:p>
        </w:tc>
        <w:tc>
          <w:tcPr>
            <w:tcW w:w="10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1080" w:type="dxa"/>
            <w:vAlign w:val="bottom"/>
            <w:gridSpan w:val="2"/>
            <w:shd w:val="clear" w:color="auto" w:fill="CFF0FE"/>
          </w:tcPr>
          <w:p>
            <w:pPr>
              <w:jc w:val="right"/>
              <w:ind w:right="40"/>
              <w:spacing w:after="0"/>
              <w:rPr>
                <w:sz w:val="20"/>
                <w:szCs w:val="20"/>
                <w:color w:val="auto"/>
              </w:rPr>
            </w:pPr>
            <w:r>
              <w:rPr>
                <w:rFonts w:ascii="Arial" w:cs="Arial" w:eastAsia="Arial" w:hAnsi="Arial"/>
                <w:sz w:val="18"/>
                <w:szCs w:val="18"/>
                <w:color w:val="auto"/>
              </w:rPr>
              <w:t>(126)</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(591)</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56" w:lineRule="exact"/>
        <w:rPr>
          <w:sz w:val="20"/>
          <w:szCs w:val="20"/>
          <w:color w:val="auto"/>
        </w:rPr>
      </w:pPr>
    </w:p>
    <w:p>
      <w:pPr>
        <w:ind w:left="300" w:hanging="286"/>
        <w:spacing w:after="0" w:line="286" w:lineRule="auto"/>
        <w:tabs>
          <w:tab w:leader="none" w:pos="237" w:val="left"/>
        </w:tabs>
        <w:numPr>
          <w:ilvl w:val="0"/>
          <w:numId w:val="21"/>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40" w:hanging="227"/>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5"/>
          <w:szCs w:val="15"/>
          <w:color w:val="auto"/>
        </w:rPr>
        <w:t>Interest income excludes amounts which are included in the segments’ income ($6 million in the second quarter of 2017; $5 million in the first quarter of 2017).</w:t>
      </w:r>
    </w:p>
    <w:p>
      <w:pPr>
        <w:spacing w:after="0" w:line="146" w:lineRule="exact"/>
        <w:rPr>
          <w:rFonts w:ascii="Arial" w:cs="Arial" w:eastAsia="Arial" w:hAnsi="Arial"/>
          <w:sz w:val="14"/>
          <w:szCs w:val="14"/>
          <w:color w:val="auto"/>
        </w:rPr>
      </w:pPr>
    </w:p>
    <w:p>
      <w:pPr>
        <w:ind w:left="280" w:hanging="267"/>
        <w:spacing w:after="0"/>
        <w:tabs>
          <w:tab w:leader="none" w:pos="280" w:val="left"/>
        </w:tabs>
        <w:numPr>
          <w:ilvl w:val="0"/>
          <w:numId w:val="21"/>
        </w:numPr>
        <w:rPr>
          <w:rFonts w:ascii="Arial" w:cs="Arial" w:eastAsia="Arial" w:hAnsi="Arial"/>
          <w:sz w:val="14"/>
          <w:szCs w:val="14"/>
          <w:color w:val="auto"/>
        </w:rPr>
      </w:pPr>
      <w:r>
        <w:rPr>
          <w:rFonts w:ascii="Arial" w:cs="Arial" w:eastAsia="Arial" w:hAnsi="Arial"/>
          <w:sz w:val="15"/>
          <w:szCs w:val="15"/>
          <w:color w:val="auto"/>
        </w:rPr>
        <w:t>Interest expense excludes amounts which are included in the segments’ income ($14 million in the second quarter of 2017; $13 million in the first quarter of 2017).</w:t>
      </w:r>
    </w:p>
    <w:p>
      <w:pPr>
        <w:spacing w:after="0" w:line="146" w:lineRule="exact"/>
        <w:rPr>
          <w:rFonts w:ascii="Arial" w:cs="Arial" w:eastAsia="Arial" w:hAnsi="Arial"/>
          <w:sz w:val="14"/>
          <w:szCs w:val="14"/>
          <w:color w:val="auto"/>
        </w:rPr>
      </w:pPr>
    </w:p>
    <w:p>
      <w:pPr>
        <w:ind w:left="280" w:hanging="267"/>
        <w:spacing w:after="0"/>
        <w:tabs>
          <w:tab w:leader="none" w:pos="280" w:val="left"/>
        </w:tabs>
        <w:numPr>
          <w:ilvl w:val="0"/>
          <w:numId w:val="21"/>
        </w:numPr>
        <w:rPr>
          <w:rFonts w:ascii="Arial" w:cs="Arial" w:eastAsia="Arial" w:hAnsi="Arial"/>
          <w:sz w:val="15"/>
          <w:szCs w:val="15"/>
          <w:color w:val="auto"/>
        </w:rPr>
      </w:pPr>
      <w:r>
        <w:rPr>
          <w:rFonts w:ascii="Arial" w:cs="Arial" w:eastAsia="Arial" w:hAnsi="Arial"/>
          <w:sz w:val="16"/>
          <w:szCs w:val="16"/>
          <w:color w:val="auto"/>
        </w:rPr>
        <w:t xml:space="preserve">Charges and credits are described in detail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Reservoir Characterization Group revenue of $1.8 billion increased 9% sequentially primarily due to higher WesternGeco multiclient seismic license sales in the international markets. Increased Testing &amp; Process activity in the international markets and seasonal improvements in Wireline in Russia also contributed to the increase.</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Pretax operating margin of 17% was essentially flat sequentially as the increased contribution from high-margin Wireline exploration activities was offset by reduced profitability in Testing &amp; Process due to increased project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Drilling Group revenue of $2.1 billion increased 6% sequentially primarily due to the seasonal rebound in activity in the Russia &amp; CIS and North Sea regions and strong directional drilling activity in US land.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of 14% increased 278 basis points (bps) sequentially due to increased volume and pricing improvements in US land.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Production Group revenue of $2.5 billion was 14% higher sequentially as a result of strong hydraulic fracturing activity and a sustained pricing recovery in North America.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of 9% increased 382 bps sequentially due to the increased activity and pricing recovery on land in North America.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Cameron Group</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Cameron Group revenue of $1.3 billion increased 3% sequentially driven by higher Surface Systems and Valves &amp; Measurement activity in US land.</w:t>
      </w:r>
    </w:p>
    <w:p>
      <w:pPr>
        <w:spacing w:after="0" w:line="230"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Pretax operating margin of 14% improved 61 bps sequentially as increased project volumes and product sales in Surface Systems and Valves &amp; Measurement and continued strong project execution in OneSubsea more than offset the impact of lower project activity in Drilling Systems.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2017 Compared to Second Quarter 2016</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8"/>
                <w:szCs w:val="18"/>
                <w:b w:val="1"/>
                <w:bCs w:val="1"/>
                <w:color w:val="auto"/>
              </w:rPr>
              <w:t>Second Quarter 2017</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8"/>
                <w:szCs w:val="18"/>
                <w:color w:val="auto"/>
              </w:rPr>
              <w:t>Second Quarter 2016</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0"/>
        </w:trPr>
        <w:tc>
          <w:tcPr>
            <w:tcW w:w="5880" w:type="dxa"/>
            <w:vAlign w:val="bottom"/>
            <w:tcBorders>
              <w:bottom w:val="single" w:sz="8" w:color="CFF0F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E"/>
            </w:tcBorders>
          </w:tcPr>
          <w:p>
            <w:pPr>
              <w:spacing w:after="0"/>
              <w:rPr>
                <w:sz w:val="20"/>
                <w:szCs w:val="20"/>
                <w:color w:val="auto"/>
              </w:rPr>
            </w:pPr>
          </w:p>
        </w:tc>
        <w:tc>
          <w:tcPr>
            <w:tcW w:w="100" w:type="dxa"/>
            <w:vAlign w:val="bottom"/>
            <w:tcBorders>
              <w:bottom w:val="single" w:sz="8" w:color="CFF0F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E"/>
            </w:tcBorders>
          </w:tcPr>
          <w:p>
            <w:pPr>
              <w:spacing w:after="0"/>
              <w:rPr>
                <w:sz w:val="20"/>
                <w:szCs w:val="20"/>
                <w:color w:val="auto"/>
              </w:rPr>
            </w:pPr>
          </w:p>
        </w:tc>
      </w:tr>
      <w:tr>
        <w:trPr>
          <w:trHeight w:val="220"/>
        </w:trPr>
        <w:tc>
          <w:tcPr>
            <w:tcW w:w="5880" w:type="dxa"/>
            <w:vAlign w:val="bottom"/>
            <w:shd w:val="clear" w:color="auto" w:fill="CFF0FE"/>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E"/>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E"/>
          </w:tcPr>
          <w:p>
            <w:pPr>
              <w:jc w:val="right"/>
              <w:spacing w:after="0"/>
              <w:rPr>
                <w:sz w:val="20"/>
                <w:szCs w:val="20"/>
                <w:color w:val="auto"/>
              </w:rPr>
            </w:pPr>
            <w:r>
              <w:rPr>
                <w:rFonts w:ascii="Arial" w:cs="Arial" w:eastAsia="Arial" w:hAnsi="Arial"/>
                <w:sz w:val="18"/>
                <w:szCs w:val="18"/>
                <w:b w:val="1"/>
                <w:bCs w:val="1"/>
                <w:color w:val="auto"/>
              </w:rPr>
              <w:t>1,759</w:t>
            </w:r>
          </w:p>
        </w:tc>
        <w:tc>
          <w:tcPr>
            <w:tcW w:w="240" w:type="dxa"/>
            <w:vAlign w:val="bottom"/>
            <w:shd w:val="clear" w:color="auto" w:fill="CFF0FE"/>
          </w:tcPr>
          <w:p>
            <w:pPr>
              <w:spacing w:after="0"/>
              <w:rPr>
                <w:sz w:val="19"/>
                <w:szCs w:val="19"/>
                <w:color w:val="auto"/>
              </w:rPr>
            </w:pPr>
          </w:p>
        </w:tc>
        <w:tc>
          <w:tcPr>
            <w:tcW w:w="200" w:type="dxa"/>
            <w:vAlign w:val="bottom"/>
            <w:shd w:val="clear" w:color="auto" w:fill="CFF0FE"/>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E"/>
          </w:tcPr>
          <w:p>
            <w:pPr>
              <w:jc w:val="right"/>
              <w:spacing w:after="0"/>
              <w:rPr>
                <w:sz w:val="20"/>
                <w:szCs w:val="20"/>
                <w:color w:val="auto"/>
              </w:rPr>
            </w:pPr>
            <w:r>
              <w:rPr>
                <w:rFonts w:ascii="Arial" w:cs="Arial" w:eastAsia="Arial" w:hAnsi="Arial"/>
                <w:sz w:val="18"/>
                <w:szCs w:val="18"/>
                <w:b w:val="1"/>
                <w:bCs w:val="1"/>
                <w:color w:val="auto"/>
              </w:rPr>
              <w:t>299</w:t>
            </w:r>
          </w:p>
        </w:tc>
        <w:tc>
          <w:tcPr>
            <w:tcW w:w="240" w:type="dxa"/>
            <w:vAlign w:val="bottom"/>
            <w:shd w:val="clear" w:color="auto" w:fill="CFF0FE"/>
          </w:tcPr>
          <w:p>
            <w:pPr>
              <w:spacing w:after="0"/>
              <w:rPr>
                <w:sz w:val="19"/>
                <w:szCs w:val="19"/>
                <w:color w:val="auto"/>
              </w:rPr>
            </w:pPr>
          </w:p>
        </w:tc>
        <w:tc>
          <w:tcPr>
            <w:tcW w:w="180" w:type="dxa"/>
            <w:vAlign w:val="bottom"/>
            <w:shd w:val="clear" w:color="auto" w:fill="CFF0FE"/>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E"/>
          </w:tcPr>
          <w:p>
            <w:pPr>
              <w:jc w:val="right"/>
              <w:spacing w:after="0"/>
              <w:rPr>
                <w:sz w:val="20"/>
                <w:szCs w:val="20"/>
                <w:color w:val="auto"/>
              </w:rPr>
            </w:pPr>
            <w:r>
              <w:rPr>
                <w:rFonts w:ascii="Arial" w:cs="Arial" w:eastAsia="Arial" w:hAnsi="Arial"/>
                <w:sz w:val="18"/>
                <w:szCs w:val="18"/>
                <w:color w:val="auto"/>
              </w:rPr>
              <w:t>1,586</w:t>
            </w:r>
          </w:p>
        </w:tc>
        <w:tc>
          <w:tcPr>
            <w:tcW w:w="140" w:type="dxa"/>
            <w:vAlign w:val="bottom"/>
            <w:shd w:val="clear" w:color="auto" w:fill="CFF0FE"/>
          </w:tcPr>
          <w:p>
            <w:pPr>
              <w:spacing w:after="0"/>
              <w:rPr>
                <w:sz w:val="19"/>
                <w:szCs w:val="19"/>
                <w:color w:val="auto"/>
              </w:rPr>
            </w:pPr>
          </w:p>
        </w:tc>
        <w:tc>
          <w:tcPr>
            <w:tcW w:w="300" w:type="dxa"/>
            <w:vAlign w:val="bottom"/>
            <w:gridSpan w:val="2"/>
            <w:shd w:val="clear" w:color="auto" w:fill="CFF0FE"/>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E"/>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E"/>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r>
      <w:tr>
        <w:trPr>
          <w:trHeight w:val="226"/>
        </w:trPr>
        <w:tc>
          <w:tcPr>
            <w:tcW w:w="5880" w:type="dxa"/>
            <w:vAlign w:val="bottom"/>
            <w:shd w:val="clear" w:color="auto" w:fill="CFF0FE"/>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E"/>
          </w:tcPr>
          <w:p>
            <w:pPr>
              <w:spacing w:after="0"/>
              <w:rPr>
                <w:sz w:val="19"/>
                <w:szCs w:val="19"/>
                <w:color w:val="auto"/>
              </w:rPr>
            </w:pPr>
          </w:p>
        </w:tc>
        <w:tc>
          <w:tcPr>
            <w:tcW w:w="980" w:type="dxa"/>
            <w:vAlign w:val="bottom"/>
            <w:shd w:val="clear" w:color="auto" w:fill="CFF0FE"/>
          </w:tcPr>
          <w:p>
            <w:pPr>
              <w:jc w:val="right"/>
              <w:spacing w:after="0"/>
              <w:rPr>
                <w:sz w:val="20"/>
                <w:szCs w:val="20"/>
                <w:color w:val="auto"/>
              </w:rPr>
            </w:pPr>
            <w:r>
              <w:rPr>
                <w:rFonts w:ascii="Arial" w:cs="Arial" w:eastAsia="Arial" w:hAnsi="Arial"/>
                <w:sz w:val="18"/>
                <w:szCs w:val="18"/>
                <w:b w:val="1"/>
                <w:bCs w:val="1"/>
                <w:color w:val="auto"/>
              </w:rPr>
              <w:t>2,496</w:t>
            </w:r>
          </w:p>
        </w:tc>
        <w:tc>
          <w:tcPr>
            <w:tcW w:w="24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1000" w:type="dxa"/>
            <w:vAlign w:val="bottom"/>
            <w:shd w:val="clear" w:color="auto" w:fill="CFF0FE"/>
          </w:tcPr>
          <w:p>
            <w:pPr>
              <w:jc w:val="right"/>
              <w:spacing w:after="0"/>
              <w:rPr>
                <w:sz w:val="20"/>
                <w:szCs w:val="20"/>
                <w:color w:val="auto"/>
              </w:rPr>
            </w:pPr>
            <w:r>
              <w:rPr>
                <w:rFonts w:ascii="Arial" w:cs="Arial" w:eastAsia="Arial" w:hAnsi="Arial"/>
                <w:sz w:val="18"/>
                <w:szCs w:val="18"/>
                <w:b w:val="1"/>
                <w:bCs w:val="1"/>
                <w:color w:val="auto"/>
              </w:rPr>
              <w:t>221</w:t>
            </w:r>
          </w:p>
        </w:tc>
        <w:tc>
          <w:tcPr>
            <w:tcW w:w="240" w:type="dxa"/>
            <w:vAlign w:val="bottom"/>
            <w:shd w:val="clear" w:color="auto" w:fill="CFF0FE"/>
          </w:tcPr>
          <w:p>
            <w:pPr>
              <w:spacing w:after="0"/>
              <w:rPr>
                <w:sz w:val="19"/>
                <w:szCs w:val="19"/>
                <w:color w:val="auto"/>
              </w:rPr>
            </w:pPr>
          </w:p>
        </w:tc>
        <w:tc>
          <w:tcPr>
            <w:tcW w:w="180" w:type="dxa"/>
            <w:vAlign w:val="bottom"/>
            <w:shd w:val="clear" w:color="auto" w:fill="CFF0FE"/>
          </w:tcPr>
          <w:p>
            <w:pPr>
              <w:spacing w:after="0"/>
              <w:rPr>
                <w:sz w:val="19"/>
                <w:szCs w:val="19"/>
                <w:color w:val="auto"/>
              </w:rPr>
            </w:pPr>
          </w:p>
        </w:tc>
        <w:tc>
          <w:tcPr>
            <w:tcW w:w="1000" w:type="dxa"/>
            <w:vAlign w:val="bottom"/>
            <w:shd w:val="clear" w:color="auto" w:fill="CFF0FE"/>
          </w:tcPr>
          <w:p>
            <w:pPr>
              <w:jc w:val="right"/>
              <w:spacing w:after="0"/>
              <w:rPr>
                <w:sz w:val="20"/>
                <w:szCs w:val="20"/>
                <w:color w:val="auto"/>
              </w:rPr>
            </w:pPr>
            <w:r>
              <w:rPr>
                <w:rFonts w:ascii="Arial" w:cs="Arial" w:eastAsia="Arial" w:hAnsi="Arial"/>
                <w:sz w:val="18"/>
                <w:szCs w:val="18"/>
                <w:color w:val="auto"/>
              </w:rPr>
              <w:t>2,121</w:t>
            </w:r>
          </w:p>
        </w:tc>
        <w:tc>
          <w:tcPr>
            <w:tcW w:w="140" w:type="dxa"/>
            <w:vAlign w:val="bottom"/>
            <w:shd w:val="clear" w:color="auto" w:fill="CFF0FE"/>
          </w:tcPr>
          <w:p>
            <w:pPr>
              <w:spacing w:after="0"/>
              <w:rPr>
                <w:sz w:val="19"/>
                <w:szCs w:val="19"/>
                <w:color w:val="auto"/>
              </w:rPr>
            </w:pPr>
          </w:p>
        </w:tc>
        <w:tc>
          <w:tcPr>
            <w:tcW w:w="10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980" w:type="dxa"/>
            <w:vAlign w:val="bottom"/>
            <w:shd w:val="clear" w:color="auto" w:fill="CFF0FE"/>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E"/>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E"/>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E"/>
          </w:tcPr>
          <w:p>
            <w:pPr>
              <w:spacing w:after="0"/>
              <w:rPr>
                <w:sz w:val="19"/>
                <w:szCs w:val="19"/>
                <w:color w:val="auto"/>
              </w:rPr>
            </w:pPr>
          </w:p>
        </w:tc>
        <w:tc>
          <w:tcPr>
            <w:tcW w:w="1220" w:type="dxa"/>
            <w:vAlign w:val="bottom"/>
            <w:gridSpan w:val="2"/>
            <w:shd w:val="clear" w:color="auto" w:fill="CFF0FE"/>
          </w:tcPr>
          <w:p>
            <w:pPr>
              <w:jc w:val="right"/>
              <w:ind w:right="180"/>
              <w:spacing w:after="0"/>
              <w:rPr>
                <w:sz w:val="20"/>
                <w:szCs w:val="20"/>
                <w:color w:val="auto"/>
              </w:rPr>
            </w:pPr>
            <w:r>
              <w:rPr>
                <w:rFonts w:ascii="Arial" w:cs="Arial" w:eastAsia="Arial" w:hAnsi="Arial"/>
                <w:sz w:val="18"/>
                <w:szCs w:val="18"/>
                <w:b w:val="1"/>
                <w:bCs w:val="1"/>
                <w:color w:val="auto"/>
              </w:rPr>
              <w:t>(165)</w:t>
            </w:r>
          </w:p>
        </w:tc>
        <w:tc>
          <w:tcPr>
            <w:tcW w:w="200" w:type="dxa"/>
            <w:vAlign w:val="bottom"/>
            <w:shd w:val="clear" w:color="auto" w:fill="CFF0FE"/>
          </w:tcPr>
          <w:p>
            <w:pPr>
              <w:spacing w:after="0"/>
              <w:rPr>
                <w:sz w:val="19"/>
                <w:szCs w:val="19"/>
                <w:color w:val="auto"/>
              </w:rPr>
            </w:pPr>
          </w:p>
        </w:tc>
        <w:tc>
          <w:tcPr>
            <w:tcW w:w="1240" w:type="dxa"/>
            <w:vAlign w:val="bottom"/>
            <w:gridSpan w:val="2"/>
            <w:shd w:val="clear" w:color="auto" w:fill="CFF0FE"/>
          </w:tcPr>
          <w:p>
            <w:pPr>
              <w:jc w:val="right"/>
              <w:ind w:right="180"/>
              <w:spacing w:after="0"/>
              <w:rPr>
                <w:sz w:val="20"/>
                <w:szCs w:val="20"/>
                <w:color w:val="auto"/>
              </w:rPr>
            </w:pPr>
            <w:r>
              <w:rPr>
                <w:rFonts w:ascii="Arial" w:cs="Arial" w:eastAsia="Arial" w:hAnsi="Arial"/>
                <w:sz w:val="18"/>
                <w:szCs w:val="18"/>
                <w:b w:val="1"/>
                <w:bCs w:val="1"/>
                <w:color w:val="auto"/>
              </w:rPr>
              <w:t>(46)</w:t>
            </w:r>
          </w:p>
        </w:tc>
        <w:tc>
          <w:tcPr>
            <w:tcW w:w="180" w:type="dxa"/>
            <w:vAlign w:val="bottom"/>
            <w:shd w:val="clear" w:color="auto" w:fill="CFF0FE"/>
          </w:tcPr>
          <w:p>
            <w:pPr>
              <w:spacing w:after="0"/>
              <w:rPr>
                <w:sz w:val="19"/>
                <w:szCs w:val="19"/>
                <w:color w:val="auto"/>
              </w:rPr>
            </w:pPr>
          </w:p>
        </w:tc>
        <w:tc>
          <w:tcPr>
            <w:tcW w:w="1140" w:type="dxa"/>
            <w:vAlign w:val="bottom"/>
            <w:gridSpan w:val="2"/>
            <w:shd w:val="clear" w:color="auto" w:fill="CFF0FE"/>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1080" w:type="dxa"/>
            <w:vAlign w:val="bottom"/>
            <w:gridSpan w:val="2"/>
            <w:shd w:val="clear" w:color="auto" w:fill="CFF0FE"/>
          </w:tcPr>
          <w:p>
            <w:pPr>
              <w:jc w:val="right"/>
              <w:ind w:right="40"/>
              <w:spacing w:after="0"/>
              <w:rPr>
                <w:sz w:val="20"/>
                <w:szCs w:val="20"/>
                <w:color w:val="auto"/>
              </w:rPr>
            </w:pPr>
            <w:r>
              <w:rPr>
                <w:rFonts w:ascii="Arial" w:cs="Arial" w:eastAsia="Arial" w:hAnsi="Arial"/>
                <w:sz w:val="18"/>
                <w:szCs w:val="18"/>
                <w:color w:val="auto"/>
              </w:rPr>
              <w:t>(24)</w:t>
            </w: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r>
      <w:tr>
        <w:trPr>
          <w:trHeight w:val="226"/>
        </w:trPr>
        <w:tc>
          <w:tcPr>
            <w:tcW w:w="5880" w:type="dxa"/>
            <w:vAlign w:val="bottom"/>
            <w:shd w:val="clear" w:color="auto" w:fill="CFF0FE"/>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E"/>
          </w:tcPr>
          <w:p>
            <w:pPr>
              <w:spacing w:after="0"/>
              <w:rPr>
                <w:sz w:val="19"/>
                <w:szCs w:val="19"/>
                <w:color w:val="auto"/>
              </w:rPr>
            </w:pPr>
          </w:p>
        </w:tc>
        <w:tc>
          <w:tcPr>
            <w:tcW w:w="980" w:type="dxa"/>
            <w:vAlign w:val="bottom"/>
            <w:shd w:val="clear" w:color="auto" w:fill="CFF0FE"/>
          </w:tcPr>
          <w:p>
            <w:pPr>
              <w:spacing w:after="0"/>
              <w:rPr>
                <w:sz w:val="19"/>
                <w:szCs w:val="19"/>
                <w:color w:val="auto"/>
              </w:rPr>
            </w:pPr>
          </w:p>
        </w:tc>
        <w:tc>
          <w:tcPr>
            <w:tcW w:w="24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1240" w:type="dxa"/>
            <w:vAlign w:val="bottom"/>
            <w:gridSpan w:val="2"/>
            <w:shd w:val="clear" w:color="auto" w:fill="CFF0FE"/>
          </w:tcPr>
          <w:p>
            <w:pPr>
              <w:jc w:val="right"/>
              <w:ind w:right="180"/>
              <w:spacing w:after="0"/>
              <w:rPr>
                <w:sz w:val="20"/>
                <w:szCs w:val="20"/>
                <w:color w:val="auto"/>
              </w:rPr>
            </w:pPr>
            <w:r>
              <w:rPr>
                <w:rFonts w:ascii="Arial" w:cs="Arial" w:eastAsia="Arial" w:hAnsi="Arial"/>
                <w:sz w:val="18"/>
                <w:szCs w:val="18"/>
                <w:b w:val="1"/>
                <w:bCs w:val="1"/>
                <w:color w:val="auto"/>
              </w:rPr>
              <w:t>(242)</w:t>
            </w:r>
          </w:p>
        </w:tc>
        <w:tc>
          <w:tcPr>
            <w:tcW w:w="180" w:type="dxa"/>
            <w:vAlign w:val="bottom"/>
            <w:shd w:val="clear" w:color="auto" w:fill="CFF0FE"/>
          </w:tcPr>
          <w:p>
            <w:pPr>
              <w:spacing w:after="0"/>
              <w:rPr>
                <w:sz w:val="19"/>
                <w:szCs w:val="19"/>
                <w:color w:val="auto"/>
              </w:rPr>
            </w:pPr>
          </w:p>
        </w:tc>
        <w:tc>
          <w:tcPr>
            <w:tcW w:w="1000" w:type="dxa"/>
            <w:vAlign w:val="bottom"/>
            <w:shd w:val="clear" w:color="auto" w:fill="CFF0FE"/>
          </w:tcPr>
          <w:p>
            <w:pPr>
              <w:spacing w:after="0"/>
              <w:rPr>
                <w:sz w:val="19"/>
                <w:szCs w:val="19"/>
                <w:color w:val="auto"/>
              </w:rPr>
            </w:pPr>
          </w:p>
        </w:tc>
        <w:tc>
          <w:tcPr>
            <w:tcW w:w="140" w:type="dxa"/>
            <w:vAlign w:val="bottom"/>
            <w:shd w:val="clear" w:color="auto" w:fill="CFF0FE"/>
          </w:tcPr>
          <w:p>
            <w:pPr>
              <w:spacing w:after="0"/>
              <w:rPr>
                <w:sz w:val="19"/>
                <w:szCs w:val="19"/>
                <w:color w:val="auto"/>
              </w:rPr>
            </w:pPr>
          </w:p>
        </w:tc>
        <w:tc>
          <w:tcPr>
            <w:tcW w:w="10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1080" w:type="dxa"/>
            <w:vAlign w:val="bottom"/>
            <w:gridSpan w:val="2"/>
            <w:shd w:val="clear" w:color="auto" w:fill="CFF0FE"/>
          </w:tcPr>
          <w:p>
            <w:pPr>
              <w:jc w:val="right"/>
              <w:ind w:right="40"/>
              <w:spacing w:after="0"/>
              <w:rPr>
                <w:sz w:val="20"/>
                <w:szCs w:val="20"/>
                <w:color w:val="auto"/>
              </w:rPr>
            </w:pPr>
            <w:r>
              <w:rPr>
                <w:rFonts w:ascii="Arial" w:cs="Arial" w:eastAsia="Arial" w:hAnsi="Arial"/>
                <w:sz w:val="18"/>
                <w:szCs w:val="18"/>
                <w:color w:val="auto"/>
              </w:rPr>
              <w:t>(241)</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E"/>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E"/>
          </w:tcPr>
          <w:p>
            <w:pPr>
              <w:spacing w:after="0"/>
              <w:rPr>
                <w:sz w:val="19"/>
                <w:szCs w:val="19"/>
                <w:color w:val="auto"/>
              </w:rPr>
            </w:pPr>
          </w:p>
        </w:tc>
        <w:tc>
          <w:tcPr>
            <w:tcW w:w="980" w:type="dxa"/>
            <w:vAlign w:val="bottom"/>
            <w:shd w:val="clear" w:color="auto" w:fill="CFF0FE"/>
          </w:tcPr>
          <w:p>
            <w:pPr>
              <w:spacing w:after="0"/>
              <w:rPr>
                <w:sz w:val="19"/>
                <w:szCs w:val="19"/>
                <w:color w:val="auto"/>
              </w:rPr>
            </w:pPr>
          </w:p>
        </w:tc>
        <w:tc>
          <w:tcPr>
            <w:tcW w:w="24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1240" w:type="dxa"/>
            <w:vAlign w:val="bottom"/>
            <w:gridSpan w:val="2"/>
            <w:shd w:val="clear" w:color="auto" w:fill="CFF0FE"/>
          </w:tcPr>
          <w:p>
            <w:pPr>
              <w:jc w:val="right"/>
              <w:ind w:right="180"/>
              <w:spacing w:after="0"/>
              <w:rPr>
                <w:sz w:val="20"/>
                <w:szCs w:val="20"/>
                <w:color w:val="auto"/>
              </w:rPr>
            </w:pPr>
            <w:r>
              <w:rPr>
                <w:rFonts w:ascii="Arial" w:cs="Arial" w:eastAsia="Arial" w:hAnsi="Arial"/>
                <w:sz w:val="18"/>
                <w:szCs w:val="18"/>
                <w:b w:val="1"/>
                <w:bCs w:val="1"/>
                <w:color w:val="auto"/>
              </w:rPr>
              <w:t>(128)</w:t>
            </w:r>
          </w:p>
        </w:tc>
        <w:tc>
          <w:tcPr>
            <w:tcW w:w="180" w:type="dxa"/>
            <w:vAlign w:val="bottom"/>
            <w:shd w:val="clear" w:color="auto" w:fill="CFF0FE"/>
          </w:tcPr>
          <w:p>
            <w:pPr>
              <w:spacing w:after="0"/>
              <w:rPr>
                <w:sz w:val="19"/>
                <w:szCs w:val="19"/>
                <w:color w:val="auto"/>
              </w:rPr>
            </w:pPr>
          </w:p>
        </w:tc>
        <w:tc>
          <w:tcPr>
            <w:tcW w:w="1000" w:type="dxa"/>
            <w:vAlign w:val="bottom"/>
            <w:shd w:val="clear" w:color="auto" w:fill="CFF0FE"/>
          </w:tcPr>
          <w:p>
            <w:pPr>
              <w:spacing w:after="0"/>
              <w:rPr>
                <w:sz w:val="19"/>
                <w:szCs w:val="19"/>
                <w:color w:val="auto"/>
              </w:rPr>
            </w:pPr>
          </w:p>
        </w:tc>
        <w:tc>
          <w:tcPr>
            <w:tcW w:w="140" w:type="dxa"/>
            <w:vAlign w:val="bottom"/>
            <w:shd w:val="clear" w:color="auto" w:fill="CFF0FE"/>
          </w:tcPr>
          <w:p>
            <w:pPr>
              <w:spacing w:after="0"/>
              <w:rPr>
                <w:sz w:val="19"/>
                <w:szCs w:val="19"/>
                <w:color w:val="auto"/>
              </w:rPr>
            </w:pPr>
          </w:p>
        </w:tc>
        <w:tc>
          <w:tcPr>
            <w:tcW w:w="100" w:type="dxa"/>
            <w:vAlign w:val="bottom"/>
            <w:shd w:val="clear" w:color="auto" w:fill="CFF0FE"/>
          </w:tcPr>
          <w:p>
            <w:pPr>
              <w:spacing w:after="0"/>
              <w:rPr>
                <w:sz w:val="19"/>
                <w:szCs w:val="19"/>
                <w:color w:val="auto"/>
              </w:rPr>
            </w:pPr>
          </w:p>
        </w:tc>
        <w:tc>
          <w:tcPr>
            <w:tcW w:w="200" w:type="dxa"/>
            <w:vAlign w:val="bottom"/>
            <w:shd w:val="clear" w:color="auto" w:fill="CFF0FE"/>
          </w:tcPr>
          <w:p>
            <w:pPr>
              <w:spacing w:after="0"/>
              <w:rPr>
                <w:sz w:val="19"/>
                <w:szCs w:val="19"/>
                <w:color w:val="auto"/>
              </w:rPr>
            </w:pPr>
          </w:p>
        </w:tc>
        <w:tc>
          <w:tcPr>
            <w:tcW w:w="1080" w:type="dxa"/>
            <w:vAlign w:val="bottom"/>
            <w:gridSpan w:val="2"/>
            <w:shd w:val="clear" w:color="auto" w:fill="CFF0FE"/>
          </w:tcPr>
          <w:p>
            <w:pPr>
              <w:jc w:val="right"/>
              <w:ind w:right="40"/>
              <w:spacing w:after="0"/>
              <w:rPr>
                <w:sz w:val="20"/>
                <w:szCs w:val="20"/>
                <w:color w:val="auto"/>
              </w:rPr>
            </w:pPr>
            <w:r>
              <w:rPr>
                <w:rFonts w:ascii="Arial" w:cs="Arial" w:eastAsia="Arial" w:hAnsi="Arial"/>
                <w:sz w:val="18"/>
                <w:szCs w:val="18"/>
                <w:color w:val="auto"/>
              </w:rPr>
              <w:t>(136)</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(591)</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(2,908)</w:t>
            </w: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(2,514)</w:t>
            </w: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2" w:lineRule="exact"/>
        <w:rPr>
          <w:sz w:val="20"/>
          <w:szCs w:val="20"/>
          <w:color w:val="auto"/>
        </w:rPr>
      </w:pPr>
    </w:p>
    <w:p>
      <w:pPr>
        <w:ind w:left="300" w:hanging="286"/>
        <w:spacing w:after="0" w:line="286" w:lineRule="auto"/>
        <w:tabs>
          <w:tab w:leader="none" w:pos="237" w:val="left"/>
        </w:tabs>
        <w:numPr>
          <w:ilvl w:val="0"/>
          <w:numId w:val="22"/>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23"/>
        <w:spacing w:after="0"/>
        <w:tabs>
          <w:tab w:leader="none" w:pos="280" w:val="left"/>
        </w:tabs>
        <w:numPr>
          <w:ilvl w:val="3"/>
          <w:numId w:val="22"/>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($6 million in 2017; $6 million in 2016).</w:t>
      </w:r>
    </w:p>
    <w:p>
      <w:pPr>
        <w:spacing w:after="0" w:line="134" w:lineRule="exact"/>
        <w:rPr>
          <w:rFonts w:ascii="Arial" w:cs="Arial" w:eastAsia="Arial" w:hAnsi="Arial"/>
          <w:sz w:val="15"/>
          <w:szCs w:val="15"/>
          <w:color w:val="auto"/>
        </w:rPr>
      </w:pPr>
    </w:p>
    <w:p>
      <w:pPr>
        <w:ind w:left="300" w:hanging="270"/>
        <w:spacing w:after="0"/>
        <w:tabs>
          <w:tab w:leader="none" w:pos="300" w:val="left"/>
        </w:tabs>
        <w:numPr>
          <w:ilvl w:val="2"/>
          <w:numId w:val="22"/>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($14 million in 2017; $13 million in 2016).</w:t>
      </w:r>
    </w:p>
    <w:p>
      <w:pPr>
        <w:spacing w:after="0" w:line="134" w:lineRule="exact"/>
        <w:rPr>
          <w:rFonts w:ascii="Arial" w:cs="Arial" w:eastAsia="Arial" w:hAnsi="Arial"/>
          <w:sz w:val="15"/>
          <w:szCs w:val="15"/>
          <w:color w:val="auto"/>
        </w:rPr>
      </w:pPr>
    </w:p>
    <w:p>
      <w:pPr>
        <w:jc w:val="both"/>
        <w:ind w:left="300" w:right="5080" w:hanging="287"/>
        <w:spacing w:after="0" w:line="519" w:lineRule="auto"/>
        <w:tabs>
          <w:tab w:leader="none" w:pos="286" w:val="left"/>
        </w:tabs>
        <w:numPr>
          <w:ilvl w:val="1"/>
          <w:numId w:val="22"/>
        </w:numPr>
        <w:rPr>
          <w:rFonts w:ascii="Arial" w:cs="Arial" w:eastAsia="Arial" w:hAnsi="Arial"/>
          <w:sz w:val="13"/>
          <w:szCs w:val="13"/>
          <w:color w:val="auto"/>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 Certain prior period items have been reclassified to conform to the current period presentation.</w:t>
      </w:r>
    </w:p>
    <w:p>
      <w:pPr>
        <w:spacing w:after="0" w:line="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Second-quarter 2017 revenue of $7.5 billion increased 4% year-on-year. North America land rig count increased more than 150% versus the same period last year while the international land rig count was flat. The North America offshore rig count decreased by 26%, and the international offshore rig count was lower by 12%. Driven by the accelerated land activity growth in North America, Production Group revenue increased 18% year-on-year while Reservoir Characterization Group revenue was 11% higher driven by increases in WesternGeco and Testing &amp; Process. Drilling Group revenue increased by 4% while Cameron Group revenue declined 17%.</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Second-quarter 2017 pretax operating margin increased 231 bps to 13%, as a result of improved profitability in North America due to accelerated land activity growth that benefited the Production and Drilling Groups. As a result, Production Group pretax operating margin expanded 499 bps to 9% while Drilling Group increased 594 bps to 14%. Reservoir Characterization Group pretax operating margin was essentially flat at 17% and the Cameron Group declined 260 bps to 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18"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Second-quarter 2017 revenue of $1.8 billion increased 11% year-on-year primarily due to higher WesternGeco and Testing &amp; Process revenue on projects in the Middle East &amp; Asia Area. Strong WesternGeco multiclient seismic license sales in the international markets also contributed to the increase.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Year-on-year, pretax operating margin was essentially flat at 17% as increased revenue was offset by higher project costs in Testing &amp; Process.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Drilling Group</w:t>
      </w:r>
    </w:p>
    <w:p>
      <w:pPr>
        <w:spacing w:after="0" w:line="11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Second-quarter 2017 revenue of $2.1 billion increased 4% year-on-year primarily due to higher demand for directional drilling technologies on land in North America.</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Year-on-year, pretax operating margin increased 594 bps to 14% primarily due to improved profitability in North America due to accelerated land activity and improved pricing.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1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Second-quarter 2017 revenue of $2.5 billion increased 18% year-on-year with most of the revenue increase attributable to the accelerated land activity growth in North America that benefited the pressure pumping business.</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Year-on-year, pretax operating margin increased 499 bps to 9% as a result of improved profitability in North America due to accelerated land activity and improved pricing.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11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Second-quarter revenue of $1.3 billion declined 17% year-on-year, primarily due to a declining backlog for the long-cycle businesses of Drilling Systems and, to a lesser extent, OneSubsea.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of 14% declined 260 bps primarily due the decline in high-margin Drilling Systems project volumes.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Six Months 2017 Compared to Six Months 2016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8"/>
                <w:szCs w:val="18"/>
                <w:b w:val="1"/>
                <w:bCs w:val="1"/>
                <w:color w:val="auto"/>
              </w:rPr>
              <w:t>Six Months 2017</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611"/>
              <w:spacing w:after="0"/>
              <w:rPr>
                <w:sz w:val="20"/>
                <w:szCs w:val="20"/>
                <w:color w:val="auto"/>
              </w:rPr>
            </w:pPr>
            <w:r>
              <w:rPr>
                <w:rFonts w:ascii="Arial" w:cs="Arial" w:eastAsia="Arial" w:hAnsi="Arial"/>
                <w:sz w:val="18"/>
                <w:szCs w:val="18"/>
                <w:color w:val="auto"/>
              </w:rPr>
              <w:t>Six Months 2016</w:t>
            </w:r>
          </w:p>
        </w:tc>
        <w:tc>
          <w:tcPr>
            <w:tcW w:w="100" w:type="dxa"/>
            <w:vAlign w:val="bottom"/>
          </w:tcPr>
          <w:p>
            <w:pPr>
              <w:spacing w:after="0"/>
              <w:rPr>
                <w:sz w:val="24"/>
                <w:szCs w:val="24"/>
                <w:color w:val="auto"/>
              </w:rPr>
            </w:pPr>
          </w:p>
        </w:tc>
      </w:tr>
      <w:tr>
        <w:trPr>
          <w:trHeight w:val="215"/>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before</w:t>
            </w:r>
          </w:p>
        </w:tc>
      </w:tr>
      <w:tr>
        <w:trPr>
          <w:trHeight w:val="230"/>
        </w:trPr>
        <w:tc>
          <w:tcPr>
            <w:tcW w:w="5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3"/>
              </w:rPr>
              <w:t>Revenue</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2"/>
              </w:rPr>
              <w:t>Taxes</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4"/>
              </w:rPr>
              <w:t>Revenue</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color w:val="auto"/>
                <w:w w:val="81"/>
              </w:rPr>
              <w:t>Taxes</w:t>
            </w:r>
          </w:p>
        </w:tc>
        <w:tc>
          <w:tcPr>
            <w:tcW w:w="100" w:type="dxa"/>
            <w:vAlign w:val="bottom"/>
            <w:tcBorders>
              <w:bottom w:val="single" w:sz="8" w:color="CFF0FC"/>
            </w:tcBorders>
          </w:tcPr>
          <w:p>
            <w:pPr>
              <w:spacing w:after="0"/>
              <w:rPr>
                <w:sz w:val="20"/>
                <w:szCs w:val="20"/>
                <w:color w:val="auto"/>
              </w:rPr>
            </w:pPr>
          </w:p>
        </w:tc>
      </w:tr>
      <w:tr>
        <w:trPr>
          <w:trHeight w:val="22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3,377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(290)</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(71)</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19"/>
        </w:trPr>
        <w:tc>
          <w:tcPr>
            <w:tcW w:w="5880" w:type="dxa"/>
            <w:vAlign w:val="bottom"/>
          </w:tcPr>
          <w:p>
            <w:pPr>
              <w:ind w:left="24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(480)</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(414)</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(254)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w:t>
            </w:r>
          </w:p>
        </w:tc>
      </w:tr>
      <w:tr>
        <w:trPr>
          <w:trHeight w:val="226"/>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(674)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(2,908)</w:t>
            </w:r>
          </w:p>
        </w:tc>
      </w:tr>
      <w:tr>
        <w:trPr>
          <w:trHeight w:val="20"/>
        </w:trPr>
        <w:tc>
          <w:tcPr>
            <w:tcW w:w="5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9"/>
        </w:trPr>
        <w:tc>
          <w:tcPr>
            <w:tcW w:w="58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(1,893)</w:t>
            </w: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2" w:lineRule="exact"/>
        <w:rPr>
          <w:sz w:val="20"/>
          <w:szCs w:val="20"/>
          <w:color w:val="auto"/>
        </w:rPr>
      </w:pPr>
    </w:p>
    <w:p>
      <w:pPr>
        <w:ind w:left="300" w:hanging="286"/>
        <w:spacing w:after="0" w:line="286" w:lineRule="auto"/>
        <w:tabs>
          <w:tab w:leader="none" w:pos="237" w:val="left"/>
        </w:tabs>
        <w:numPr>
          <w:ilvl w:val="0"/>
          <w:numId w:val="23"/>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9" w:lineRule="exact"/>
        <w:rPr>
          <w:rFonts w:ascii="Arial" w:cs="Arial" w:eastAsia="Arial" w:hAnsi="Arial"/>
          <w:sz w:val="15"/>
          <w:szCs w:val="15"/>
          <w:color w:val="auto"/>
        </w:rPr>
      </w:pPr>
    </w:p>
    <w:p>
      <w:pPr>
        <w:ind w:left="280" w:hanging="223"/>
        <w:spacing w:after="0"/>
        <w:tabs>
          <w:tab w:leader="none" w:pos="280" w:val="left"/>
        </w:tabs>
        <w:numPr>
          <w:ilvl w:val="3"/>
          <w:numId w:val="23"/>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($11 million in 2017; $12 million in 2016).</w:t>
      </w:r>
    </w:p>
    <w:p>
      <w:pPr>
        <w:spacing w:after="0" w:line="134" w:lineRule="exact"/>
        <w:rPr>
          <w:rFonts w:ascii="Arial" w:cs="Arial" w:eastAsia="Arial" w:hAnsi="Arial"/>
          <w:sz w:val="15"/>
          <w:szCs w:val="15"/>
          <w:color w:val="auto"/>
        </w:rPr>
      </w:pPr>
    </w:p>
    <w:p>
      <w:pPr>
        <w:ind w:left="300" w:hanging="270"/>
        <w:spacing w:after="0"/>
        <w:tabs>
          <w:tab w:leader="none" w:pos="300" w:val="left"/>
        </w:tabs>
        <w:numPr>
          <w:ilvl w:val="2"/>
          <w:numId w:val="23"/>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($27 million in 2017; $26 million in 2016).</w:t>
      </w:r>
    </w:p>
    <w:p>
      <w:pPr>
        <w:spacing w:after="0" w:line="134" w:lineRule="exact"/>
        <w:rPr>
          <w:rFonts w:ascii="Arial" w:cs="Arial" w:eastAsia="Arial" w:hAnsi="Arial"/>
          <w:sz w:val="15"/>
          <w:szCs w:val="15"/>
          <w:color w:val="auto"/>
        </w:rPr>
      </w:pPr>
    </w:p>
    <w:p>
      <w:pPr>
        <w:ind w:left="240" w:hanging="227"/>
        <w:spacing w:after="0"/>
        <w:tabs>
          <w:tab w:leader="none" w:pos="240" w:val="left"/>
        </w:tabs>
        <w:numPr>
          <w:ilvl w:val="1"/>
          <w:numId w:val="23"/>
        </w:numPr>
        <w:rPr>
          <w:rFonts w:ascii="Arial" w:cs="Arial" w:eastAsia="Arial" w:hAnsi="Arial"/>
          <w:sz w:val="15"/>
          <w:szCs w:val="15"/>
          <w:color w:val="auto"/>
        </w:rPr>
      </w:pPr>
      <w:r>
        <w:rPr>
          <w:rFonts w:ascii="Arial" w:cs="Arial" w:eastAsia="Arial" w:hAnsi="Arial"/>
          <w:sz w:val="16"/>
          <w:szCs w:val="16"/>
          <w:color w:val="auto"/>
        </w:rPr>
        <w:t xml:space="preserve">Charges and credits recorded are described in detail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Certain prior period items have been reclassified to conform to the current period presentation.</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Six-month 2017 revenue of $14.4 billion increased 5% year-on-year. This included a full six months of activity from the acquired Cameron businesses versus one quarter of activity for the same period in 2016. Excluding the impact of the Cameron Group, revenue for the six months ended June 30, 2017 declined 4% year-on-year.</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Six-month revenue for the Drilling Group declined 10%, primarily driven by the 9% decline in the international rig count combined with Schlumberger's decision in April 2016 to reduce its activities in Venezuela in order to align operations with cash collections.</w:t>
      </w:r>
    </w:p>
    <w:p>
      <w:pPr>
        <w:sectPr>
          <w:pgSz w:w="11900" w:h="16838" w:orient="portrait"/>
          <w:cols w:equalWidth="0" w:num="1">
            <w:col w:w="11420"/>
          </w:cols>
          <w:pgMar w:left="240" w:top="334" w:right="2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80645</wp:posOffset>
            </wp:positionV>
            <wp:extent cx="729107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21" w:name="page22"/>
    <w:bookmarkEnd w:id="21"/>
    <w:p>
      <w:pPr>
        <w:jc w:val="both"/>
        <w:spacing w:after="0" w:line="266" w:lineRule="auto"/>
        <w:rPr>
          <w:sz w:val="20"/>
          <w:szCs w:val="20"/>
          <w:color w:val="auto"/>
        </w:rPr>
      </w:pPr>
      <w:r>
        <w:rPr>
          <w:rFonts w:ascii="Arial" w:cs="Arial" w:eastAsia="Arial" w:hAnsi="Arial"/>
          <w:sz w:val="18"/>
          <w:szCs w:val="18"/>
          <w:color w:val="auto"/>
        </w:rPr>
        <w:t>These decreases were slightly mitigated by higher activity in US Land. Production Group revenue increased 4% as accelerated North America land activity growth benefited the pressure pumping business. Reservoir Characterization Group revenue improved 2%.</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Six-month 2017 pretax operating margin increased 168 bps to 12%, as a result of improved profitability in North America due to accelerated land activity growth that benefited the Production and Drilling Groups. As a result, Drilling Group pretax operating margin expanded 101 bps to 13% while the Production Group increased 66 bps to 7%. Reservoir Characterization Group pretax operating margin declined 102 bps to 17% and the Cameron Group recorded a pretax operating margin of 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Six-month 2017 revenue of $3.4 billion increased 2% year-on-year primarily due to higher WesternGeco and Testing &amp; Process revenue on projects in the Middle East &amp; Asia Area.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102 bps to 17% due to reduced profitability in Testing &amp; Process as project costs increased.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Six-month 2017 revenue of $4.1 billion decreased 10% year-on-year primarily due to the drop in rig counts internationally and in offshore North America combined with pricing pressure. Revenue also declined as a result of Schlumberger's decision in April 2016 to reduce its activities in Venezuela to align operations with cash collections.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Year-on-year, pretax operating margin increased 101 bps to 13% primarily due to improved profitability in North America land due to accelerated land activity and improved pricing; however this improvement in North America was partially offset by pricing pressure and activity declines internationally and the negative impact of reduced activity in Venezuela.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Six-month 2017 revenue of $4.7 billion increased 4% year-on-year with most of the revenue increase attributable to the accelerated land activity growth in North America that benefited the pressure pumping product lines, which grew 15%. Lower production levels in Ecuador negatively impacted Schlumberger Production Management projects, which partially offset the revenue increase.</w:t>
      </w:r>
    </w:p>
    <w:p>
      <w:pPr>
        <w:spacing w:after="0" w:line="18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Year-on-year, pretax operating margin increased 66 bps to 7% as a result of improved profitability in North America due to accelerated land activity and improved pricing. This was offset by lower profitability in Schlumberger Production Management projects due to lower production in Ecuador.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Cameron Group contributed six-month 2017 revenue of $2.5 billion. Cameron Group revenue for the six months of 2016 only reflected only one quarter of revenue following the acquisition closing in April 2016. Revenue in 2017 was impacted by a declining project backlog particularly for the long-cycle businesses of Drilling Systems and OneSubsea .</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of 13% was 260 bps lower as a result of lower Drilling Systems project volumes.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r>
      <w:tr>
        <w:trPr>
          <w:trHeight w:val="436"/>
        </w:trPr>
        <w:tc>
          <w:tcPr>
            <w:tcW w:w="588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8"/>
                <w:szCs w:val="18"/>
                <w:b w:val="1"/>
                <w:bCs w:val="1"/>
                <w:color w:val="auto"/>
              </w:rPr>
              <w:t>Second Quarter</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Six months</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880" w:type="dxa"/>
            <w:vAlign w:val="bottom"/>
            <w:tcBorders>
              <w:bottom w:val="single" w:sz="8" w:color="CFF0FE"/>
            </w:tcBorders>
          </w:tcPr>
          <w:p>
            <w:pPr>
              <w:spacing w:after="0"/>
              <w:rPr>
                <w:sz w:val="19"/>
                <w:szCs w:val="19"/>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E"/>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E"/>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CFF0F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2016</w:t>
            </w:r>
          </w:p>
        </w:tc>
        <w:tc>
          <w:tcPr>
            <w:tcW w:w="100" w:type="dxa"/>
            <w:vAlign w:val="bottom"/>
            <w:tcBorders>
              <w:bottom w:val="single" w:sz="8" w:color="CFF0FE"/>
            </w:tcBorders>
          </w:tcPr>
          <w:p>
            <w:pPr>
              <w:spacing w:after="0"/>
              <w:rPr>
                <w:sz w:val="19"/>
                <w:szCs w:val="19"/>
                <w:color w:val="auto"/>
              </w:rPr>
            </w:pPr>
          </w:p>
        </w:tc>
      </w:tr>
      <w:tr>
        <w:trPr>
          <w:trHeight w:val="219"/>
        </w:trPr>
        <w:tc>
          <w:tcPr>
            <w:tcW w:w="5880" w:type="dxa"/>
            <w:vAlign w:val="bottom"/>
            <w:shd w:val="clear" w:color="auto" w:fill="CFF0FE"/>
          </w:tcPr>
          <w:p>
            <w:pPr>
              <w:spacing w:after="0"/>
              <w:rPr>
                <w:sz w:val="20"/>
                <w:szCs w:val="20"/>
                <w:color w:val="auto"/>
              </w:rPr>
            </w:pPr>
            <w:r>
              <w:rPr>
                <w:rFonts w:ascii="Arial" w:cs="Arial" w:eastAsia="Arial" w:hAnsi="Arial"/>
                <w:sz w:val="18"/>
                <w:szCs w:val="18"/>
                <w:color w:val="auto"/>
              </w:rPr>
              <w:t>Equity in net earnings of affiliated companies</w:t>
            </w:r>
          </w:p>
        </w:tc>
        <w:tc>
          <w:tcPr>
            <w:tcW w:w="860" w:type="dxa"/>
            <w:vAlign w:val="bottom"/>
            <w:shd w:val="clear" w:color="auto" w:fill="CFF0FE"/>
          </w:tcPr>
          <w:p>
            <w:pPr>
              <w:jc w:val="right"/>
              <w:ind w:right="700"/>
              <w:spacing w:after="0"/>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FF0FE"/>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shd w:val="clear" w:color="auto" w:fill="CFF0FE"/>
          </w:tcPr>
          <w:p>
            <w:pPr>
              <w:spacing w:after="0"/>
              <w:rPr>
                <w:sz w:val="19"/>
                <w:szCs w:val="19"/>
                <w:color w:val="auto"/>
              </w:rPr>
            </w:pPr>
          </w:p>
        </w:tc>
        <w:tc>
          <w:tcPr>
            <w:tcW w:w="880" w:type="dxa"/>
            <w:vAlign w:val="bottom"/>
            <w:shd w:val="clear" w:color="auto" w:fill="CFF0FE"/>
          </w:tcPr>
          <w:p>
            <w:pPr>
              <w:jc w:val="right"/>
              <w:ind w:right="69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E"/>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E"/>
          </w:tcPr>
          <w:p>
            <w:pPr>
              <w:spacing w:after="0"/>
              <w:rPr>
                <w:sz w:val="19"/>
                <w:szCs w:val="19"/>
                <w:color w:val="auto"/>
              </w:rPr>
            </w:pPr>
          </w:p>
        </w:tc>
        <w:tc>
          <w:tcPr>
            <w:tcW w:w="800" w:type="dxa"/>
            <w:vAlign w:val="bottom"/>
            <w:shd w:val="clear" w:color="auto" w:fill="CFF0FE"/>
          </w:tcPr>
          <w:p>
            <w:pPr>
              <w:jc w:val="right"/>
              <w:ind w:right="642"/>
              <w:spacing w:after="0"/>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FF0FE"/>
          </w:tcPr>
          <w:p>
            <w:pPr>
              <w:jc w:val="right"/>
              <w:spacing w:after="0"/>
              <w:rPr>
                <w:sz w:val="20"/>
                <w:szCs w:val="20"/>
                <w:color w:val="auto"/>
              </w:rPr>
            </w:pPr>
            <w:r>
              <w:rPr>
                <w:rFonts w:ascii="Arial" w:cs="Arial" w:eastAsia="Arial" w:hAnsi="Arial"/>
                <w:sz w:val="18"/>
                <w:szCs w:val="18"/>
                <w:b w:val="1"/>
                <w:bCs w:val="1"/>
                <w:color w:val="auto"/>
              </w:rPr>
              <w:t>45</w:t>
            </w:r>
          </w:p>
        </w:tc>
        <w:tc>
          <w:tcPr>
            <w:tcW w:w="580" w:type="dxa"/>
            <w:vAlign w:val="bottom"/>
            <w:gridSpan w:val="2"/>
            <w:shd w:val="clear" w:color="auto" w:fill="CFF0FE"/>
          </w:tcPr>
          <w:p>
            <w:pPr>
              <w:jc w:val="right"/>
              <w:ind w:right="189"/>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E"/>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E"/>
          </w:tcPr>
          <w:p>
            <w:pPr>
              <w:spacing w:after="0"/>
              <w:rPr>
                <w:sz w:val="19"/>
                <w:szCs w:val="19"/>
                <w:color w:val="auto"/>
              </w:rPr>
            </w:pPr>
          </w:p>
        </w:tc>
      </w:tr>
      <w:tr>
        <w:trPr>
          <w:trHeight w:val="226"/>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tcPr>
          <w:p>
            <w:pPr>
              <w:spacing w:after="0"/>
              <w:rPr>
                <w:sz w:val="19"/>
                <w:szCs w:val="19"/>
                <w:color w:val="auto"/>
              </w:rPr>
            </w:pPr>
          </w:p>
        </w:tc>
      </w:tr>
      <w:tr>
        <w:trPr>
          <w:trHeight w:val="219"/>
        </w:trPr>
        <w:tc>
          <w:tcPr>
            <w:tcW w:w="58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0"/>
              <w:spacing w:after="0"/>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2"/>
              <w:spacing w:after="0"/>
              <w:rPr>
                <w:sz w:val="20"/>
                <w:szCs w:val="20"/>
                <w:color w:val="auto"/>
              </w:rPr>
            </w:pPr>
            <w:r>
              <w:rPr>
                <w:rFonts w:ascii="Arial" w:cs="Arial" w:eastAsia="Arial" w:hAnsi="Arial"/>
                <w:sz w:val="14"/>
                <w:szCs w:val="14"/>
                <w:b w:val="1"/>
                <w:bCs w:val="1"/>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w:t>
            </w:r>
          </w:p>
        </w:tc>
        <w:tc>
          <w:tcPr>
            <w:tcW w:w="580" w:type="dxa"/>
            <w:vAlign w:val="bottom"/>
            <w:gridSpan w:val="2"/>
            <w:shd w:val="clear" w:color="auto" w:fill="CFF0FC"/>
          </w:tcPr>
          <w:p>
            <w:pPr>
              <w:jc w:val="right"/>
              <w:ind w:right="189"/>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second quarter and six months ended June 30, 2017 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2016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23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8"/>
                <w:szCs w:val="18"/>
                <w:b w:val="1"/>
                <w:bCs w:val="1"/>
                <w:color w:val="auto"/>
              </w:rPr>
              <w:t>Second Quarter</w:t>
            </w:r>
          </w:p>
        </w:tc>
        <w:tc>
          <w:tcPr>
            <w:tcW w:w="3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5"/>
              </w:rPr>
              <w:t>Six Months</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0"/>
        </w:trPr>
        <w:tc>
          <w:tcPr>
            <w:tcW w:w="5660" w:type="dxa"/>
            <w:vAlign w:val="bottom"/>
            <w:tcBorders>
              <w:bottom w:val="single" w:sz="8" w:color="CFF0FE"/>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CFF0FE"/>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CFF0FE"/>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CFF0F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9"/>
              </w:rPr>
              <w:t>2016</w:t>
            </w:r>
          </w:p>
        </w:tc>
        <w:tc>
          <w:tcPr>
            <w:tcW w:w="180" w:type="dxa"/>
            <w:vAlign w:val="bottom"/>
            <w:tcBorders>
              <w:bottom w:val="single" w:sz="8" w:color="CFF0FE"/>
            </w:tcBorders>
          </w:tcPr>
          <w:p>
            <w:pPr>
              <w:spacing w:after="0"/>
              <w:rPr>
                <w:sz w:val="19"/>
                <w:szCs w:val="19"/>
                <w:color w:val="auto"/>
              </w:rPr>
            </w:pPr>
          </w:p>
        </w:tc>
      </w:tr>
      <w:tr>
        <w:trPr>
          <w:trHeight w:val="219"/>
        </w:trPr>
        <w:tc>
          <w:tcPr>
            <w:tcW w:w="6480" w:type="dxa"/>
            <w:vAlign w:val="bottom"/>
            <w:gridSpan w:val="2"/>
            <w:shd w:val="clear" w:color="auto" w:fill="CFF0FE"/>
          </w:tcPr>
          <w:p>
            <w:pPr>
              <w:spacing w:after="0"/>
              <w:rPr>
                <w:sz w:val="20"/>
                <w:szCs w:val="20"/>
                <w:color w:val="auto"/>
              </w:rPr>
            </w:pPr>
            <w:r>
              <w:rPr>
                <w:rFonts w:ascii="Arial" w:cs="Arial" w:eastAsia="Arial" w:hAnsi="Arial"/>
                <w:sz w:val="18"/>
                <w:szCs w:val="18"/>
                <w:color w:val="auto"/>
              </w:rPr>
              <w:t>Research &amp; engineering</w:t>
            </w:r>
          </w:p>
        </w:tc>
        <w:tc>
          <w:tcPr>
            <w:tcW w:w="660" w:type="dxa"/>
            <w:vAlign w:val="bottom"/>
            <w:gridSpan w:val="2"/>
            <w:shd w:val="clear" w:color="auto" w:fill="CFF0FE"/>
          </w:tcPr>
          <w:p>
            <w:pPr>
              <w:jc w:val="right"/>
              <w:ind w:right="160"/>
              <w:spacing w:after="0"/>
              <w:rPr>
                <w:sz w:val="20"/>
                <w:szCs w:val="20"/>
                <w:color w:val="auto"/>
              </w:rPr>
            </w:pPr>
            <w:r>
              <w:rPr>
                <w:rFonts w:ascii="Arial" w:cs="Arial" w:eastAsia="Arial" w:hAnsi="Arial"/>
                <w:sz w:val="18"/>
                <w:szCs w:val="18"/>
                <w:b w:val="1"/>
                <w:bCs w:val="1"/>
                <w:color w:val="auto"/>
              </w:rPr>
              <w:t>2.6%</w:t>
            </w:r>
          </w:p>
        </w:tc>
        <w:tc>
          <w:tcPr>
            <w:tcW w:w="840" w:type="dxa"/>
            <w:vAlign w:val="bottom"/>
            <w:shd w:val="clear" w:color="auto" w:fill="CFF0FE"/>
          </w:tcPr>
          <w:p>
            <w:pPr>
              <w:spacing w:after="0"/>
              <w:rPr>
                <w:sz w:val="19"/>
                <w:szCs w:val="19"/>
                <w:color w:val="auto"/>
              </w:rPr>
            </w:pPr>
          </w:p>
        </w:tc>
        <w:tc>
          <w:tcPr>
            <w:tcW w:w="620" w:type="dxa"/>
            <w:vAlign w:val="bottom"/>
            <w:gridSpan w:val="2"/>
            <w:shd w:val="clear" w:color="auto" w:fill="CFF0FE"/>
          </w:tcPr>
          <w:p>
            <w:pPr>
              <w:jc w:val="right"/>
              <w:ind w:right="160"/>
              <w:spacing w:after="0"/>
              <w:rPr>
                <w:sz w:val="20"/>
                <w:szCs w:val="20"/>
                <w:color w:val="auto"/>
              </w:rPr>
            </w:pPr>
            <w:r>
              <w:rPr>
                <w:rFonts w:ascii="Arial" w:cs="Arial" w:eastAsia="Arial" w:hAnsi="Arial"/>
                <w:sz w:val="18"/>
                <w:szCs w:val="18"/>
                <w:color w:val="auto"/>
              </w:rPr>
              <w:t>3.6%</w:t>
            </w:r>
          </w:p>
        </w:tc>
        <w:tc>
          <w:tcPr>
            <w:tcW w:w="820" w:type="dxa"/>
            <w:vAlign w:val="bottom"/>
            <w:shd w:val="clear" w:color="auto" w:fill="CFF0FE"/>
          </w:tcPr>
          <w:p>
            <w:pPr>
              <w:spacing w:after="0"/>
              <w:rPr>
                <w:sz w:val="19"/>
                <w:szCs w:val="19"/>
                <w:color w:val="auto"/>
              </w:rPr>
            </w:pPr>
          </w:p>
        </w:tc>
        <w:tc>
          <w:tcPr>
            <w:tcW w:w="680" w:type="dxa"/>
            <w:vAlign w:val="bottom"/>
            <w:gridSpan w:val="2"/>
            <w:shd w:val="clear" w:color="auto" w:fill="CFF0FE"/>
          </w:tcPr>
          <w:p>
            <w:pPr>
              <w:jc w:val="right"/>
              <w:ind w:right="160"/>
              <w:spacing w:after="0"/>
              <w:rPr>
                <w:sz w:val="20"/>
                <w:szCs w:val="20"/>
                <w:color w:val="auto"/>
              </w:rPr>
            </w:pPr>
            <w:r>
              <w:rPr>
                <w:rFonts w:ascii="Arial" w:cs="Arial" w:eastAsia="Arial" w:hAnsi="Arial"/>
                <w:sz w:val="18"/>
                <w:szCs w:val="18"/>
                <w:b w:val="1"/>
                <w:bCs w:val="1"/>
                <w:color w:val="auto"/>
              </w:rPr>
              <w:t>2.8%</w:t>
            </w:r>
          </w:p>
        </w:tc>
        <w:tc>
          <w:tcPr>
            <w:tcW w:w="320" w:type="dxa"/>
            <w:vAlign w:val="bottom"/>
            <w:shd w:val="clear" w:color="auto" w:fill="CFF0FE"/>
          </w:tcPr>
          <w:p>
            <w:pPr>
              <w:spacing w:after="0"/>
              <w:rPr>
                <w:sz w:val="19"/>
                <w:szCs w:val="19"/>
                <w:color w:val="auto"/>
              </w:rPr>
            </w:pPr>
          </w:p>
        </w:tc>
        <w:tc>
          <w:tcPr>
            <w:tcW w:w="1000" w:type="dxa"/>
            <w:vAlign w:val="bottom"/>
            <w:gridSpan w:val="2"/>
            <w:shd w:val="clear" w:color="auto" w:fill="CFF0FE"/>
          </w:tcPr>
          <w:p>
            <w:pPr>
              <w:jc w:val="right"/>
              <w:ind w:right="20"/>
              <w:spacing w:after="0"/>
              <w:rPr>
                <w:sz w:val="20"/>
                <w:szCs w:val="20"/>
                <w:color w:val="auto"/>
              </w:rPr>
            </w:pPr>
            <w:r>
              <w:rPr>
                <w:rFonts w:ascii="Arial" w:cs="Arial" w:eastAsia="Arial" w:hAnsi="Arial"/>
                <w:sz w:val="18"/>
                <w:szCs w:val="18"/>
                <w:color w:val="auto"/>
              </w:rPr>
              <w:t>3.6%</w:t>
            </w: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w:t>
            </w:r>
          </w:p>
        </w:tc>
        <w:tc>
          <w:tcPr>
            <w:tcW w:w="8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8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3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bl>
    <w:p>
      <w:pPr>
        <w:spacing w:after="0" w:line="196"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i w:val="1"/>
          <w:iCs w:val="1"/>
          <w:color w:val="auto"/>
        </w:rPr>
        <w:t xml:space="preserve">Research &amp; engineering </w:t>
      </w:r>
      <w:r>
        <w:rPr>
          <w:rFonts w:ascii="Arial" w:cs="Arial" w:eastAsia="Arial" w:hAnsi="Arial"/>
          <w:sz w:val="17"/>
          <w:szCs w:val="17"/>
          <w:color w:val="auto"/>
        </w:rPr>
        <w:t>costs for the second quarter of 2017 and the six months ended June 30, 2017 have decreased as compared to the same periods in 2016</w:t>
      </w:r>
      <w:r>
        <w:rPr>
          <w:rFonts w:ascii="Arial" w:cs="Arial" w:eastAsia="Arial" w:hAnsi="Arial"/>
          <w:sz w:val="17"/>
          <w:szCs w:val="17"/>
          <w:i w:val="1"/>
          <w:iCs w:val="1"/>
          <w:color w:val="auto"/>
        </w:rPr>
        <w:t xml:space="preserve"> </w:t>
      </w:r>
      <w:r>
        <w:rPr>
          <w:rFonts w:ascii="Arial" w:cs="Arial" w:eastAsia="Arial" w:hAnsi="Arial"/>
          <w:sz w:val="17"/>
          <w:szCs w:val="17"/>
          <w:color w:val="auto"/>
        </w:rPr>
        <w:t>by $61 million and $91 million, respectively, as a result of cost control measures, offset in part by the impact of the Cameron acquisition.</w:t>
      </w:r>
    </w:p>
    <w:p>
      <w:pPr>
        <w:spacing w:after="0" w:line="157" w:lineRule="exact"/>
        <w:rPr>
          <w:sz w:val="20"/>
          <w:szCs w:val="20"/>
          <w:color w:val="auto"/>
        </w:rPr>
      </w:pPr>
    </w:p>
    <w:p>
      <w:pPr>
        <w:jc w:val="both"/>
        <w:ind w:right="20"/>
        <w:spacing w:after="0" w:line="348" w:lineRule="auto"/>
        <w:rPr>
          <w:sz w:val="20"/>
          <w:szCs w:val="20"/>
          <w:color w:val="auto"/>
        </w:rPr>
      </w:pPr>
      <w:r>
        <w:rPr>
          <w:rFonts w:ascii="Arial" w:cs="Arial" w:eastAsia="Arial" w:hAnsi="Arial"/>
          <w:sz w:val="14"/>
          <w:szCs w:val="14"/>
          <w:color w:val="auto"/>
        </w:rPr>
        <w:t xml:space="preserve">The effective tax rate for the second quarter of 2017 was 590% as compared to 14.6% for the same period of 2016. The charges described in Note 2 to the </w:t>
      </w:r>
      <w:r>
        <w:rPr>
          <w:rFonts w:ascii="Arial" w:cs="Arial" w:eastAsia="Arial" w:hAnsi="Arial"/>
          <w:sz w:val="14"/>
          <w:szCs w:val="14"/>
          <w:i w:val="1"/>
          <w:iCs w:val="1"/>
          <w:color w:val="auto"/>
        </w:rPr>
        <w:t xml:space="preserve">Consolidated Financial Statements </w:t>
      </w:r>
      <w:r>
        <w:rPr>
          <w:rFonts w:ascii="Arial" w:cs="Arial" w:eastAsia="Arial" w:hAnsi="Arial"/>
          <w:sz w:val="14"/>
          <w:szCs w:val="14"/>
          <w:color w:val="auto"/>
        </w:rPr>
        <w:t>increased the effective tax rate for the second quarter of 2017 by 571 percentage points, as the majority of these charges were</w:t>
      </w:r>
      <w:r>
        <w:rPr>
          <w:rFonts w:ascii="Arial" w:cs="Arial" w:eastAsia="Arial" w:hAnsi="Arial"/>
          <w:sz w:val="14"/>
          <w:szCs w:val="14"/>
          <w:i w:val="1"/>
          <w:iCs w:val="1"/>
          <w:color w:val="auto"/>
        </w:rPr>
        <w:t xml:space="preserve"> </w:t>
      </w:r>
      <w:r>
        <w:rPr>
          <w:rFonts w:ascii="Arial" w:cs="Arial" w:eastAsia="Arial" w:hAnsi="Arial"/>
          <w:sz w:val="14"/>
          <w:szCs w:val="14"/>
          <w:color w:val="auto"/>
        </w:rPr>
        <w:t>not tax-effective. Excluding the impact of these charges, the effective tax rate increased primarily as a result of the change in the geographic mix of earnings as Schlumberger generated a greater portion of its pretax earnings in North America during the second quarter of 2017 as compared to the same period last year.</w:t>
      </w:r>
    </w:p>
    <w:p>
      <w:pPr>
        <w:spacing w:after="0" w:line="12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 xml:space="preserve">The effective tax rate for the six months ended June 30, 2017 was 42.1% as compared to 14.2% for the same period of 2016. The charges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increased the effective tax rate for the six months ended June 30, 2017 by 24.7 percentage points, as the majority of these charges were not tax-effective. Excluding the impact of these charges, the effective tax rate increased primarily as a result of the change in the geographic mix of earnings as Schlumberger generated a greater portion of its pretax earnings in North America during the first six months of 2017 as compared to the same period last year.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21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Schlumberger recorded charges during the first and second quarters of 2017 which are fully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The following is a summary of the charges recorded during the first six months of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4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5"/>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Pretax</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Tax</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8"/>
              </w:rPr>
              <w:t>Interests</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Net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Promissory note fair value adjustment and other</w:t>
            </w:r>
          </w:p>
        </w:tc>
        <w:tc>
          <w:tcPr>
            <w:tcW w:w="220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510</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2"/>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50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Merger &amp; integration</w:t>
            </w:r>
          </w:p>
        </w:tc>
        <w:tc>
          <w:tcPr>
            <w:tcW w:w="13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164</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52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67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674</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2"/>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50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23</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45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5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23" w:name="page24"/>
    <w:bookmarkEnd w:id="23"/>
    <w:p>
      <w:pPr>
        <w:jc w:val="both"/>
        <w:ind w:right="20"/>
        <w:spacing w:after="0" w:line="256" w:lineRule="auto"/>
        <w:rPr>
          <w:sz w:val="20"/>
          <w:szCs w:val="20"/>
          <w:color w:val="auto"/>
        </w:rPr>
      </w:pPr>
      <w:r>
        <w:rPr>
          <w:rFonts w:ascii="Arial" w:cs="Arial" w:eastAsia="Arial" w:hAnsi="Arial"/>
          <w:sz w:val="18"/>
          <w:szCs w:val="18"/>
          <w:color w:val="auto"/>
        </w:rPr>
        <w:t xml:space="preserve">During the second quarter of 2016, Schlumberger recorded $2.573 billion of asset impairment and workforce reduction charges and $335 million of charges associated with the acquisition of Cameron. These charges, which are summarized below, are more fully described in Note 2 to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6"/>
        </w:trPr>
        <w:tc>
          <w:tcPr>
            <w:tcW w:w="2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Pretax</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Tax</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5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i w:val="1"/>
                <w:iCs w:val="1"/>
                <w:color w:val="auto"/>
              </w:rPr>
              <w:t>Impairments &amp; other</w:t>
            </w:r>
          </w:p>
        </w:tc>
        <w:tc>
          <w:tcPr>
            <w:tcW w:w="1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gridSpan w:val="2"/>
          </w:tcPr>
          <w:p>
            <w:pPr>
              <w:ind w:left="240"/>
              <w:spacing w:after="0"/>
              <w:rPr>
                <w:sz w:val="20"/>
                <w:szCs w:val="20"/>
                <w:color w:val="auto"/>
              </w:rPr>
            </w:pPr>
            <w:r>
              <w:rPr>
                <w:rFonts w:ascii="Arial" w:cs="Arial" w:eastAsia="Arial" w:hAnsi="Arial"/>
                <w:sz w:val="18"/>
                <w:szCs w:val="18"/>
                <w:color w:val="auto"/>
              </w:rPr>
              <w:t>Workforce reduction</w:t>
            </w:r>
          </w:p>
        </w:tc>
        <w:tc>
          <w:tcPr>
            <w:tcW w:w="14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North America pressure pumping asset impairments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gridSpan w:val="2"/>
          </w:tcPr>
          <w:p>
            <w:pPr>
              <w:ind w:left="240"/>
              <w:spacing w:after="0"/>
              <w:rPr>
                <w:sz w:val="20"/>
                <w:szCs w:val="20"/>
                <w:color w:val="auto"/>
              </w:rPr>
            </w:pPr>
            <w:r>
              <w:rPr>
                <w:rFonts w:ascii="Arial" w:cs="Arial" w:eastAsia="Arial" w:hAnsi="Arial"/>
                <w:sz w:val="18"/>
                <w:szCs w:val="18"/>
                <w:color w:val="auto"/>
              </w:rPr>
              <w:t>Facilities impairments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fixed asset impairments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gridSpan w:val="2"/>
          </w:tcPr>
          <w:p>
            <w:pPr>
              <w:ind w:left="240"/>
              <w:spacing w:after="0"/>
              <w:rPr>
                <w:sz w:val="20"/>
                <w:szCs w:val="20"/>
                <w:color w:val="auto"/>
              </w:rPr>
            </w:pPr>
            <w:r>
              <w:rPr>
                <w:rFonts w:ascii="Arial" w:cs="Arial" w:eastAsia="Arial" w:hAnsi="Arial"/>
                <w:sz w:val="18"/>
                <w:szCs w:val="18"/>
                <w:color w:val="auto"/>
              </w:rPr>
              <w:t>Inventory write-downs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Multiclient seismic data impairment</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gridSpan w:val="2"/>
          </w:tcPr>
          <w:p>
            <w:pPr>
              <w:ind w:left="240"/>
              <w:spacing w:after="0"/>
              <w:rPr>
                <w:sz w:val="20"/>
                <w:szCs w:val="20"/>
                <w:color w:val="auto"/>
              </w:rPr>
            </w:pPr>
            <w:r>
              <w:rPr>
                <w:rFonts w:ascii="Arial" w:cs="Arial" w:eastAsia="Arial" w:hAnsi="Arial"/>
                <w:sz w:val="18"/>
                <w:szCs w:val="18"/>
                <w:color w:val="auto"/>
              </w:rPr>
              <w:t>Other restructuring charges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Merger &amp; integration</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gridSpan w:val="2"/>
          </w:tcPr>
          <w:p>
            <w:pPr>
              <w:ind w:left="240"/>
              <w:spacing w:after="0"/>
              <w:rPr>
                <w:sz w:val="20"/>
                <w:szCs w:val="20"/>
                <w:color w:val="auto"/>
              </w:rPr>
            </w:pPr>
            <w:r>
              <w:rPr>
                <w:rFonts w:ascii="Arial" w:cs="Arial" w:eastAsia="Arial" w:hAnsi="Arial"/>
                <w:sz w:val="18"/>
                <w:szCs w:val="18"/>
                <w:color w:val="auto"/>
              </w:rPr>
              <w:t>Merger-related employee benefits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Professional fees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gridSpan w:val="2"/>
          </w:tcPr>
          <w:p>
            <w:pPr>
              <w:ind w:left="240"/>
              <w:spacing w:after="0"/>
              <w:rPr>
                <w:sz w:val="20"/>
                <w:szCs w:val="20"/>
                <w:color w:val="auto"/>
              </w:rPr>
            </w:pPr>
            <w:r>
              <w:rPr>
                <w:rFonts w:ascii="Arial" w:cs="Arial" w:eastAsia="Arial" w:hAnsi="Arial"/>
                <w:sz w:val="18"/>
                <w:szCs w:val="18"/>
                <w:color w:val="auto"/>
              </w:rPr>
              <w:t>Facility closure costs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merger and integration-related</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Amortization of inventory fair value adjustment</w:t>
            </w:r>
          </w:p>
        </w:tc>
        <w:tc>
          <w:tcPr>
            <w:tcW w:w="1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6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w w:val="93"/>
              </w:rPr>
              <w:t>There were no charges or credits recorded during the first quarter of 2016.</w:t>
            </w:r>
          </w:p>
        </w:tc>
        <w:tc>
          <w:tcPr>
            <w:tcW w:w="1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5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5"/>
              </w:rPr>
              <w:t>Liquidity and Capital Resources</w:t>
            </w:r>
          </w:p>
        </w:tc>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520" w:type="dxa"/>
            <w:vAlign w:val="bottom"/>
            <w:gridSpan w:val="2"/>
          </w:tcPr>
          <w:p>
            <w:pPr>
              <w:spacing w:after="0"/>
              <w:rPr>
                <w:sz w:val="20"/>
                <w:szCs w:val="20"/>
                <w:color w:val="auto"/>
              </w:rPr>
            </w:pPr>
            <w:r>
              <w:rPr>
                <w:rFonts w:ascii="Arial" w:cs="Arial" w:eastAsia="Arial" w:hAnsi="Arial"/>
                <w:sz w:val="18"/>
                <w:szCs w:val="18"/>
                <w:color w:val="auto"/>
                <w:w w:val="93"/>
              </w:rPr>
              <w:t>Details of the components of liquidity as well as changes in liquidity follow:</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3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w w:val="98"/>
              </w:rPr>
              <w:t>(Stated in millions)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Jun. 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color w:val="auto"/>
                <w:w w:val="84"/>
              </w:rPr>
              <w:t>Jun.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E"/>
            </w:tcBorders>
            <w:gridSpan w:val="2"/>
          </w:tcPr>
          <w:p>
            <w:pPr>
              <w:spacing w:after="0"/>
              <w:rPr>
                <w:sz w:val="20"/>
                <w:szCs w:val="20"/>
                <w:color w:val="auto"/>
              </w:rPr>
            </w:pPr>
            <w:r>
              <w:rPr>
                <w:rFonts w:ascii="Arial" w:cs="Arial" w:eastAsia="Arial" w:hAnsi="Arial"/>
                <w:sz w:val="18"/>
                <w:szCs w:val="18"/>
                <w:b w:val="1"/>
                <w:bCs w:val="1"/>
                <w:color w:val="auto"/>
              </w:rPr>
              <w:t>Components of Liquidity</w:t>
            </w:r>
          </w:p>
        </w:tc>
        <w:tc>
          <w:tcPr>
            <w:tcW w:w="1200" w:type="dxa"/>
            <w:vAlign w:val="bottom"/>
            <w:tcBorders>
              <w:bottom w:val="single" w:sz="8" w:color="CFF0F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4"/>
              </w:rPr>
              <w:t>2017</w:t>
            </w:r>
          </w:p>
        </w:tc>
        <w:tc>
          <w:tcPr>
            <w:tcW w:w="160" w:type="dxa"/>
            <w:vAlign w:val="bottom"/>
            <w:tcBorders>
              <w:bottom w:val="single" w:sz="8" w:color="CFF0FE"/>
            </w:tcBorders>
          </w:tcPr>
          <w:p>
            <w:pPr>
              <w:spacing w:after="0"/>
              <w:rPr>
                <w:sz w:val="20"/>
                <w:szCs w:val="20"/>
                <w:color w:val="auto"/>
              </w:rPr>
            </w:pPr>
          </w:p>
        </w:tc>
        <w:tc>
          <w:tcPr>
            <w:tcW w:w="100" w:type="dxa"/>
            <w:vAlign w:val="bottom"/>
            <w:tcBorders>
              <w:bottom w:val="single" w:sz="8" w:color="CFF0F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color w:val="auto"/>
                <w:w w:val="84"/>
              </w:rPr>
              <w:t>2016</w:t>
            </w:r>
          </w:p>
        </w:tc>
        <w:tc>
          <w:tcPr>
            <w:tcW w:w="160" w:type="dxa"/>
            <w:vAlign w:val="bottom"/>
            <w:tcBorders>
              <w:bottom w:val="single" w:sz="8" w:color="CFF0FE"/>
            </w:tcBorders>
          </w:tcPr>
          <w:p>
            <w:pPr>
              <w:spacing w:after="0"/>
              <w:rPr>
                <w:sz w:val="20"/>
                <w:szCs w:val="20"/>
                <w:color w:val="auto"/>
              </w:rPr>
            </w:pPr>
          </w:p>
        </w:tc>
        <w:tc>
          <w:tcPr>
            <w:tcW w:w="100" w:type="dxa"/>
            <w:vAlign w:val="bottom"/>
            <w:tcBorders>
              <w:bottom w:val="single" w:sz="8" w:color="CFF0F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8"/>
                <w:szCs w:val="18"/>
                <w:color w:val="auto"/>
                <w:w w:val="84"/>
              </w:rPr>
              <w:t>2016</w:t>
            </w:r>
          </w:p>
        </w:tc>
        <w:tc>
          <w:tcPr>
            <w:tcW w:w="100" w:type="dxa"/>
            <w:vAlign w:val="bottom"/>
            <w:tcBorders>
              <w:bottom w:val="single" w:sz="8" w:color="CFF0FE"/>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20" w:type="dxa"/>
            <w:vAlign w:val="bottom"/>
            <w:gridSpan w:val="2"/>
            <w:shd w:val="clear" w:color="auto" w:fill="CFF0FE"/>
          </w:tcPr>
          <w:p>
            <w:pPr>
              <w:spacing w:after="0"/>
              <w:rPr>
                <w:sz w:val="20"/>
                <w:szCs w:val="20"/>
                <w:color w:val="auto"/>
              </w:rPr>
            </w:pPr>
            <w:r>
              <w:rPr>
                <w:rFonts w:ascii="Arial" w:cs="Arial" w:eastAsia="Arial" w:hAnsi="Arial"/>
                <w:sz w:val="18"/>
                <w:szCs w:val="18"/>
                <w:color w:val="auto"/>
              </w:rPr>
              <w:t>Cash</w:t>
            </w:r>
          </w:p>
        </w:tc>
        <w:tc>
          <w:tcPr>
            <w:tcW w:w="1200" w:type="dxa"/>
            <w:vAlign w:val="bottom"/>
            <w:shd w:val="clear" w:color="auto" w:fill="CFF0FE"/>
          </w:tcPr>
          <w:p>
            <w:pPr>
              <w:spacing w:after="0"/>
              <w:rPr>
                <w:sz w:val="19"/>
                <w:szCs w:val="19"/>
                <w:color w:val="auto"/>
              </w:rPr>
            </w:pPr>
          </w:p>
        </w:tc>
        <w:tc>
          <w:tcPr>
            <w:tcW w:w="220" w:type="dxa"/>
            <w:vAlign w:val="bottom"/>
            <w:shd w:val="clear" w:color="auto" w:fill="CFF0FE"/>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40" w:type="dxa"/>
            <w:vAlign w:val="bottom"/>
            <w:shd w:val="clear" w:color="auto" w:fill="CFF0FE"/>
          </w:tcPr>
          <w:p>
            <w:pPr>
              <w:jc w:val="right"/>
              <w:spacing w:after="0"/>
              <w:rPr>
                <w:sz w:val="20"/>
                <w:szCs w:val="20"/>
                <w:color w:val="auto"/>
              </w:rPr>
            </w:pPr>
            <w:r>
              <w:rPr>
                <w:rFonts w:ascii="Arial" w:cs="Arial" w:eastAsia="Arial" w:hAnsi="Arial"/>
                <w:sz w:val="18"/>
                <w:szCs w:val="18"/>
                <w:b w:val="1"/>
                <w:bCs w:val="1"/>
                <w:color w:val="auto"/>
              </w:rPr>
              <w:t>1,903</w:t>
            </w:r>
          </w:p>
        </w:tc>
        <w:tc>
          <w:tcPr>
            <w:tcW w:w="160" w:type="dxa"/>
            <w:vAlign w:val="bottom"/>
            <w:shd w:val="clear" w:color="auto" w:fill="CFF0FE"/>
          </w:tcPr>
          <w:p>
            <w:pPr>
              <w:spacing w:after="0"/>
              <w:rPr>
                <w:sz w:val="19"/>
                <w:szCs w:val="19"/>
                <w:color w:val="auto"/>
              </w:rPr>
            </w:pPr>
          </w:p>
        </w:tc>
        <w:tc>
          <w:tcPr>
            <w:tcW w:w="340" w:type="dxa"/>
            <w:vAlign w:val="bottom"/>
            <w:gridSpan w:val="2"/>
            <w:shd w:val="clear" w:color="auto" w:fill="CFF0FE"/>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E"/>
          </w:tcPr>
          <w:p>
            <w:pPr>
              <w:jc w:val="right"/>
              <w:spacing w:after="0"/>
              <w:rPr>
                <w:sz w:val="20"/>
                <w:szCs w:val="20"/>
                <w:color w:val="auto"/>
              </w:rPr>
            </w:pPr>
            <w:r>
              <w:rPr>
                <w:rFonts w:ascii="Arial" w:cs="Arial" w:eastAsia="Arial" w:hAnsi="Arial"/>
                <w:sz w:val="18"/>
                <w:szCs w:val="18"/>
                <w:color w:val="auto"/>
              </w:rPr>
              <w:t>2,947</w:t>
            </w:r>
          </w:p>
        </w:tc>
        <w:tc>
          <w:tcPr>
            <w:tcW w:w="160" w:type="dxa"/>
            <w:vAlign w:val="bottom"/>
            <w:shd w:val="clear" w:color="auto" w:fill="CFF0FE"/>
          </w:tcPr>
          <w:p>
            <w:pPr>
              <w:spacing w:after="0"/>
              <w:rPr>
                <w:sz w:val="19"/>
                <w:szCs w:val="19"/>
                <w:color w:val="auto"/>
              </w:rPr>
            </w:pPr>
          </w:p>
        </w:tc>
        <w:tc>
          <w:tcPr>
            <w:tcW w:w="280" w:type="dxa"/>
            <w:vAlign w:val="bottom"/>
            <w:gridSpan w:val="2"/>
            <w:shd w:val="clear" w:color="auto" w:fill="CFF0FE"/>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E"/>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FF0F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E"/>
          </w:tcPr>
          <w:p>
            <w:pPr>
              <w:spacing w:after="0"/>
              <w:rPr>
                <w:sz w:val="20"/>
                <w:szCs w:val="20"/>
                <w:color w:val="auto"/>
              </w:rPr>
            </w:pPr>
            <w:r>
              <w:rPr>
                <w:rFonts w:ascii="Arial" w:cs="Arial" w:eastAsia="Arial" w:hAnsi="Arial"/>
                <w:sz w:val="18"/>
                <w:szCs w:val="18"/>
                <w:color w:val="auto"/>
              </w:rPr>
              <w:t>Fixed income investments, held to maturity</w:t>
            </w:r>
          </w:p>
        </w:tc>
        <w:tc>
          <w:tcPr>
            <w:tcW w:w="1200" w:type="dxa"/>
            <w:vAlign w:val="bottom"/>
            <w:shd w:val="clear" w:color="auto" w:fill="CFF0FE"/>
          </w:tcPr>
          <w:p>
            <w:pPr>
              <w:spacing w:after="0"/>
              <w:rPr>
                <w:sz w:val="19"/>
                <w:szCs w:val="19"/>
                <w:color w:val="auto"/>
              </w:rPr>
            </w:pPr>
          </w:p>
        </w:tc>
        <w:tc>
          <w:tcPr>
            <w:tcW w:w="220" w:type="dxa"/>
            <w:vAlign w:val="bottom"/>
            <w:shd w:val="clear" w:color="auto" w:fill="CFF0FE"/>
          </w:tcPr>
          <w:p>
            <w:pPr>
              <w:spacing w:after="0"/>
              <w:rPr>
                <w:sz w:val="19"/>
                <w:szCs w:val="19"/>
                <w:color w:val="auto"/>
              </w:rPr>
            </w:pPr>
          </w:p>
        </w:tc>
        <w:tc>
          <w:tcPr>
            <w:tcW w:w="1140" w:type="dxa"/>
            <w:vAlign w:val="bottom"/>
            <w:shd w:val="clear" w:color="auto" w:fill="CFF0FE"/>
          </w:tcPr>
          <w:p>
            <w:pPr>
              <w:jc w:val="right"/>
              <w:spacing w:after="0"/>
              <w:rPr>
                <w:sz w:val="20"/>
                <w:szCs w:val="20"/>
                <w:color w:val="auto"/>
              </w:rPr>
            </w:pPr>
            <w:r>
              <w:rPr>
                <w:rFonts w:ascii="Arial" w:cs="Arial" w:eastAsia="Arial" w:hAnsi="Arial"/>
                <w:sz w:val="18"/>
                <w:szCs w:val="18"/>
                <w:b w:val="1"/>
                <w:bCs w:val="1"/>
                <w:color w:val="auto"/>
              </w:rPr>
              <w:t>13</w:t>
            </w:r>
          </w:p>
        </w:tc>
        <w:tc>
          <w:tcPr>
            <w:tcW w:w="160" w:type="dxa"/>
            <w:vAlign w:val="bottom"/>
            <w:shd w:val="clear" w:color="auto" w:fill="CFF0FE"/>
          </w:tcPr>
          <w:p>
            <w:pPr>
              <w:spacing w:after="0"/>
              <w:rPr>
                <w:sz w:val="19"/>
                <w:szCs w:val="19"/>
                <w:color w:val="auto"/>
              </w:rPr>
            </w:pPr>
          </w:p>
        </w:tc>
        <w:tc>
          <w:tcPr>
            <w:tcW w:w="100" w:type="dxa"/>
            <w:vAlign w:val="bottom"/>
            <w:shd w:val="clear" w:color="auto" w:fill="CFF0FE"/>
          </w:tcPr>
          <w:p>
            <w:pPr>
              <w:spacing w:after="0"/>
              <w:rPr>
                <w:sz w:val="19"/>
                <w:szCs w:val="19"/>
                <w:color w:val="auto"/>
              </w:rPr>
            </w:pPr>
          </w:p>
        </w:tc>
        <w:tc>
          <w:tcPr>
            <w:tcW w:w="240" w:type="dxa"/>
            <w:vAlign w:val="bottom"/>
            <w:shd w:val="clear" w:color="auto" w:fill="CFF0FE"/>
          </w:tcPr>
          <w:p>
            <w:pPr>
              <w:spacing w:after="0"/>
              <w:rPr>
                <w:sz w:val="19"/>
                <w:szCs w:val="19"/>
                <w:color w:val="auto"/>
              </w:rPr>
            </w:pPr>
          </w:p>
        </w:tc>
        <w:tc>
          <w:tcPr>
            <w:tcW w:w="1120" w:type="dxa"/>
            <w:vAlign w:val="bottom"/>
            <w:shd w:val="clear" w:color="auto" w:fill="CFF0FE"/>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FF0FE"/>
          </w:tcPr>
          <w:p>
            <w:pPr>
              <w:spacing w:after="0"/>
              <w:rPr>
                <w:sz w:val="19"/>
                <w:szCs w:val="19"/>
                <w:color w:val="auto"/>
              </w:rPr>
            </w:pPr>
          </w:p>
        </w:tc>
        <w:tc>
          <w:tcPr>
            <w:tcW w:w="100" w:type="dxa"/>
            <w:vAlign w:val="bottom"/>
            <w:shd w:val="clear" w:color="auto" w:fill="CFF0FE"/>
          </w:tcPr>
          <w:p>
            <w:pPr>
              <w:spacing w:after="0"/>
              <w:rPr>
                <w:sz w:val="19"/>
                <w:szCs w:val="19"/>
                <w:color w:val="auto"/>
              </w:rPr>
            </w:pPr>
          </w:p>
        </w:tc>
        <w:tc>
          <w:tcPr>
            <w:tcW w:w="180" w:type="dxa"/>
            <w:vAlign w:val="bottom"/>
            <w:shd w:val="clear" w:color="auto" w:fill="CFF0FE"/>
          </w:tcPr>
          <w:p>
            <w:pPr>
              <w:spacing w:after="0"/>
              <w:rPr>
                <w:sz w:val="19"/>
                <w:szCs w:val="19"/>
                <w:color w:val="auto"/>
              </w:rPr>
            </w:pPr>
          </w:p>
        </w:tc>
        <w:tc>
          <w:tcPr>
            <w:tcW w:w="1180" w:type="dxa"/>
            <w:vAlign w:val="bottom"/>
            <w:shd w:val="clear" w:color="auto" w:fill="CFF0FE"/>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gridSpan w:val="2"/>
            <w:shd w:val="clear" w:color="auto" w:fill="CFF0FE"/>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FF0FE"/>
          </w:tcPr>
          <w:p>
            <w:pPr>
              <w:spacing w:after="0"/>
              <w:rPr>
                <w:sz w:val="19"/>
                <w:szCs w:val="19"/>
                <w:color w:val="auto"/>
              </w:rPr>
            </w:pPr>
          </w:p>
        </w:tc>
        <w:tc>
          <w:tcPr>
            <w:tcW w:w="220" w:type="dxa"/>
            <w:vAlign w:val="bottom"/>
            <w:shd w:val="clear" w:color="auto" w:fill="CFF0FE"/>
          </w:tcPr>
          <w:p>
            <w:pPr>
              <w:spacing w:after="0"/>
              <w:rPr>
                <w:sz w:val="19"/>
                <w:szCs w:val="19"/>
                <w:color w:val="auto"/>
              </w:rPr>
            </w:pPr>
          </w:p>
        </w:tc>
        <w:tc>
          <w:tcPr>
            <w:tcW w:w="1300" w:type="dxa"/>
            <w:vAlign w:val="bottom"/>
            <w:gridSpan w:val="2"/>
            <w:shd w:val="clear" w:color="auto" w:fill="CFF0FE"/>
          </w:tcPr>
          <w:p>
            <w:pPr>
              <w:jc w:val="right"/>
              <w:ind w:right="100"/>
              <w:spacing w:after="0"/>
              <w:rPr>
                <w:sz w:val="20"/>
                <w:szCs w:val="20"/>
                <w:color w:val="auto"/>
              </w:rPr>
            </w:pPr>
            <w:r>
              <w:rPr>
                <w:rFonts w:ascii="Arial" w:cs="Arial" w:eastAsia="Arial" w:hAnsi="Arial"/>
                <w:sz w:val="18"/>
                <w:szCs w:val="18"/>
                <w:b w:val="1"/>
                <w:bCs w:val="1"/>
                <w:color w:val="auto"/>
              </w:rPr>
              <w:t>(16,600)</w:t>
            </w:r>
          </w:p>
        </w:tc>
        <w:tc>
          <w:tcPr>
            <w:tcW w:w="100" w:type="dxa"/>
            <w:vAlign w:val="bottom"/>
            <w:shd w:val="clear" w:color="auto" w:fill="CFF0FE"/>
          </w:tcPr>
          <w:p>
            <w:pPr>
              <w:spacing w:after="0"/>
              <w:rPr>
                <w:sz w:val="19"/>
                <w:szCs w:val="19"/>
                <w:color w:val="auto"/>
              </w:rPr>
            </w:pPr>
          </w:p>
        </w:tc>
        <w:tc>
          <w:tcPr>
            <w:tcW w:w="240" w:type="dxa"/>
            <w:vAlign w:val="bottom"/>
            <w:shd w:val="clear" w:color="auto" w:fill="CFF0FE"/>
          </w:tcPr>
          <w:p>
            <w:pPr>
              <w:spacing w:after="0"/>
              <w:rPr>
                <w:sz w:val="19"/>
                <w:szCs w:val="19"/>
                <w:color w:val="auto"/>
              </w:rPr>
            </w:pPr>
          </w:p>
        </w:tc>
        <w:tc>
          <w:tcPr>
            <w:tcW w:w="1280" w:type="dxa"/>
            <w:vAlign w:val="bottom"/>
            <w:gridSpan w:val="2"/>
            <w:shd w:val="clear" w:color="auto" w:fill="CFF0FE"/>
          </w:tcPr>
          <w:p>
            <w:pPr>
              <w:jc w:val="right"/>
              <w:ind w:right="100"/>
              <w:spacing w:after="0"/>
              <w:rPr>
                <w:sz w:val="20"/>
                <w:szCs w:val="20"/>
                <w:color w:val="auto"/>
              </w:rPr>
            </w:pPr>
            <w:r>
              <w:rPr>
                <w:rFonts w:ascii="Arial" w:cs="Arial" w:eastAsia="Arial" w:hAnsi="Arial"/>
                <w:sz w:val="18"/>
                <w:szCs w:val="18"/>
                <w:color w:val="auto"/>
              </w:rPr>
              <w:t>(18,252)</w:t>
            </w:r>
          </w:p>
        </w:tc>
        <w:tc>
          <w:tcPr>
            <w:tcW w:w="100" w:type="dxa"/>
            <w:vAlign w:val="bottom"/>
            <w:shd w:val="clear" w:color="auto" w:fill="CFF0FE"/>
          </w:tcPr>
          <w:p>
            <w:pPr>
              <w:spacing w:after="0"/>
              <w:rPr>
                <w:sz w:val="19"/>
                <w:szCs w:val="19"/>
                <w:color w:val="auto"/>
              </w:rPr>
            </w:pPr>
          </w:p>
        </w:tc>
        <w:tc>
          <w:tcPr>
            <w:tcW w:w="180" w:type="dxa"/>
            <w:vAlign w:val="bottom"/>
            <w:shd w:val="clear" w:color="auto" w:fill="CFF0FE"/>
          </w:tcPr>
          <w:p>
            <w:pPr>
              <w:spacing w:after="0"/>
              <w:rPr>
                <w:sz w:val="19"/>
                <w:szCs w:val="19"/>
                <w:color w:val="auto"/>
              </w:rPr>
            </w:pPr>
          </w:p>
        </w:tc>
        <w:tc>
          <w:tcPr>
            <w:tcW w:w="1280" w:type="dxa"/>
            <w:vAlign w:val="bottom"/>
            <w:gridSpan w:val="2"/>
            <w:shd w:val="clear" w:color="auto" w:fill="CFF0FE"/>
          </w:tcPr>
          <w:p>
            <w:pPr>
              <w:jc w:val="right"/>
              <w:ind w:right="40"/>
              <w:spacing w:after="0"/>
              <w:rPr>
                <w:sz w:val="20"/>
                <w:szCs w:val="20"/>
                <w:color w:val="auto"/>
              </w:rPr>
            </w:pPr>
            <w:r>
              <w:rPr>
                <w:rFonts w:ascii="Arial" w:cs="Arial" w:eastAsia="Arial" w:hAnsi="Arial"/>
                <w:sz w:val="18"/>
                <w:szCs w:val="18"/>
                <w:color w:val="auto"/>
              </w:rPr>
              <w:t>(16,463)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12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(12,593)</w:t>
            </w:r>
          </w:p>
        </w:tc>
        <w:tc>
          <w:tcPr>
            <w:tcW w:w="160" w:type="dxa"/>
            <w:vAlign w:val="bottom"/>
            <w:vMerge w:val="continue"/>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(10,045)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0" w:type="dxa"/>
            <w:vAlign w:val="bottom"/>
            <w:vMerge w:val="restart"/>
          </w:tcPr>
          <w:p>
            <w:pPr>
              <w:jc w:val="right"/>
              <w:ind w:right="831"/>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2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36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b w:val="1"/>
                <w:bCs w:val="1"/>
                <w:color w:val="auto"/>
              </w:rPr>
              <w:t>Changes in Liquidity:</w:t>
            </w:r>
          </w:p>
        </w:tc>
        <w:tc>
          <w:tcPr>
            <w:tcW w:w="360" w:type="dxa"/>
            <w:vAlign w:val="bottom"/>
          </w:tcPr>
          <w:p>
            <w:pPr>
              <w:spacing w:after="0"/>
              <w:rPr>
                <w:sz w:val="20"/>
                <w:szCs w:val="20"/>
                <w:color w:val="auto"/>
              </w:rPr>
            </w:pPr>
          </w:p>
        </w:tc>
        <w:tc>
          <w:tcPr>
            <w:tcW w:w="32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 Jun. 30,</w:t>
            </w:r>
          </w:p>
        </w:tc>
        <w:tc>
          <w:tcPr>
            <w:tcW w:w="0" w:type="dxa"/>
            <w:vAlign w:val="bottom"/>
          </w:tcPr>
          <w:p>
            <w:pPr>
              <w:spacing w:after="0"/>
              <w:rPr>
                <w:sz w:val="1"/>
                <w:szCs w:val="1"/>
                <w:color w:val="auto"/>
              </w:rPr>
            </w:pPr>
          </w:p>
        </w:tc>
      </w:tr>
      <w:tr>
        <w:trPr>
          <w:trHeight w:val="220"/>
        </w:trPr>
        <w:tc>
          <w:tcPr>
            <w:tcW w:w="7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Impairments and other charges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674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1,975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expense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funding</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(74)</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(3)</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(1,339)</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(127)</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1,514</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SPM investments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(328)</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costs capitalized</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(190)</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(770)</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(1,908)</w:t>
            </w:r>
          </w:p>
        </w:tc>
        <w:tc>
          <w:tcPr>
            <w:tcW w:w="2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(364)</w:t>
            </w:r>
          </w:p>
        </w:tc>
        <w:tc>
          <w:tcPr>
            <w:tcW w:w="2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Increase in net debt</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(2,472)</w:t>
            </w:r>
          </w:p>
        </w:tc>
        <w:tc>
          <w:tcPr>
            <w:tcW w:w="2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8"/>
                <w:szCs w:val="18"/>
                <w:color w:val="auto"/>
              </w:rPr>
              <w:t>Net debt, beginning of period</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(10,121)</w:t>
            </w:r>
          </w:p>
        </w:tc>
        <w:tc>
          <w:tcPr>
            <w:tcW w:w="36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0"/>
        </w:trPr>
        <w:tc>
          <w:tcPr>
            <w:tcW w:w="78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debt, end of period</w:t>
            </w: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(12,593)</w:t>
            </w:r>
          </w:p>
        </w:tc>
        <w:tc>
          <w:tcPr>
            <w:tcW w:w="2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left="520" w:right="20" w:hanging="514"/>
        <w:spacing w:after="0" w:line="214" w:lineRule="auto"/>
        <w:tabs>
          <w:tab w:leader="none" w:pos="520" w:val="left"/>
        </w:tabs>
        <w:numPr>
          <w:ilvl w:val="0"/>
          <w:numId w:val="24"/>
        </w:numPr>
        <w:rPr>
          <w:rFonts w:ascii="Arial" w:cs="Arial" w:eastAsia="Arial" w:hAnsi="Arial"/>
          <w:sz w:val="27"/>
          <w:szCs w:val="27"/>
          <w:color w:val="auto"/>
          <w:vertAlign w:val="superscript"/>
        </w:rPr>
      </w:pPr>
      <w:r>
        <w:rPr>
          <w:rFonts w:ascii="Arial" w:cs="Arial" w:eastAsia="Arial" w:hAnsi="Arial"/>
          <w:sz w:val="27"/>
          <w:szCs w:val="27"/>
          <w:color w:val="auto"/>
          <w:vertAlign w:val="superscript"/>
        </w:rPr>
        <w:t>“</w:t>
      </w: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520" w:hanging="514"/>
        <w:spacing w:after="0" w:line="192" w:lineRule="auto"/>
        <w:tabs>
          <w:tab w:leader="none" w:pos="52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62" w:lineRule="exact"/>
        <w:rPr>
          <w:rFonts w:ascii="Arial" w:cs="Arial" w:eastAsia="Arial" w:hAnsi="Arial"/>
          <w:sz w:val="26"/>
          <w:szCs w:val="26"/>
          <w:color w:val="auto"/>
          <w:vertAlign w:val="superscript"/>
        </w:rPr>
      </w:pPr>
    </w:p>
    <w:p>
      <w:pPr>
        <w:ind w:left="520" w:hanging="514"/>
        <w:spacing w:after="0" w:line="180" w:lineRule="auto"/>
        <w:tabs>
          <w:tab w:leader="none" w:pos="520" w:val="left"/>
        </w:tabs>
        <w:numPr>
          <w:ilvl w:val="0"/>
          <w:numId w:val="24"/>
        </w:numPr>
        <w:rPr>
          <w:rFonts w:ascii="Arial" w:cs="Arial" w:eastAsia="Arial" w:hAnsi="Arial"/>
          <w:sz w:val="22"/>
          <w:szCs w:val="22"/>
          <w:color w:val="auto"/>
          <w:vertAlign w:val="superscript"/>
        </w:rPr>
      </w:pPr>
      <w:r>
        <w:rPr>
          <w:rFonts w:ascii="Arial" w:cs="Arial" w:eastAsia="Arial" w:hAnsi="Arial"/>
          <w:sz w:val="13"/>
          <w:szCs w:val="13"/>
          <w:color w:val="auto"/>
        </w:rPr>
        <w:t>Includes severance payments of approximately $230 million and $545 million during the six months ended June 30, 2017 and 2016, respectively.</w:t>
      </w:r>
    </w:p>
    <w:p>
      <w:pPr>
        <w:spacing w:after="0" w:line="49" w:lineRule="exact"/>
        <w:rPr>
          <w:rFonts w:ascii="Arial" w:cs="Arial" w:eastAsia="Arial" w:hAnsi="Arial"/>
          <w:sz w:val="22"/>
          <w:szCs w:val="22"/>
          <w:color w:val="auto"/>
          <w:vertAlign w:val="superscript"/>
        </w:rPr>
      </w:pPr>
    </w:p>
    <w:p>
      <w:pPr>
        <w:jc w:val="both"/>
        <w:ind w:left="520" w:right="20" w:hanging="514"/>
        <w:spacing w:after="0" w:line="239" w:lineRule="auto"/>
        <w:tabs>
          <w:tab w:leader="none" w:pos="520" w:val="left"/>
        </w:tabs>
        <w:numPr>
          <w:ilvl w:val="0"/>
          <w:numId w:val="24"/>
        </w:numPr>
        <w:rPr>
          <w:rFonts w:ascii="Arial" w:cs="Arial" w:eastAsia="Arial" w:hAnsi="Arial"/>
          <w:sz w:val="26"/>
          <w:szCs w:val="26"/>
          <w:color w:val="auto"/>
          <w:vertAlign w:val="superscript"/>
        </w:rPr>
      </w:pPr>
      <w:r>
        <w:rPr>
          <w:rFonts w:ascii="Arial" w:cs="Arial" w:eastAsia="Arial" w:hAnsi="Arial"/>
          <w:sz w:val="15"/>
          <w:szCs w:val="15"/>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Key liquidity events during the first six months of 2017 and 2016 included:</w:t>
      </w:r>
    </w:p>
    <w:p>
      <w:pPr>
        <w:spacing w:after="0" w:line="112" w:lineRule="exact"/>
        <w:rPr>
          <w:sz w:val="20"/>
          <w:szCs w:val="20"/>
          <w:color w:val="auto"/>
        </w:rPr>
      </w:pPr>
    </w:p>
    <w:p>
      <w:pPr>
        <w:jc w:val="both"/>
        <w:ind w:left="1020" w:right="20" w:hanging="376"/>
        <w:spacing w:after="0" w:line="25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July 18, 2013, the Schlumberger Board of Directors (the “Board”) approved a $10 billion share repurchase program to be completed at the latest by June 30, 2018. This program was completed during May 2017. On January 21, 2016, the Board approved a new $10 billion share repurchase program for Schlumberger common stock. Schlumberger had repurchased $1.8 million of shares under the new program as of June 30, 2017.</w:t>
      </w:r>
    </w:p>
    <w:p>
      <w:pPr>
        <w:spacing w:after="0" w:line="84"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following table summarizes the activity under these share repurchase programs: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0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w w:val="90"/>
              </w:rPr>
              <w:t>(Stated in millions, except per share amounts)</w:t>
            </w:r>
          </w:p>
        </w:tc>
        <w:tc>
          <w:tcPr>
            <w:tcW w:w="1160" w:type="dxa"/>
            <w:vAlign w:val="bottom"/>
          </w:tcPr>
          <w:p>
            <w:pPr>
              <w:spacing w:after="0"/>
              <w:rPr>
                <w:sz w:val="15"/>
                <w:szCs w:val="15"/>
                <w:color w:val="auto"/>
              </w:rPr>
            </w:pPr>
          </w:p>
        </w:tc>
      </w:tr>
      <w:tr>
        <w:trPr>
          <w:trHeight w:val="418"/>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57"/>
              <w:spacing w:after="0"/>
              <w:rPr>
                <w:sz w:val="20"/>
                <w:szCs w:val="20"/>
                <w:color w:val="auto"/>
              </w:rPr>
            </w:pPr>
            <w:r>
              <w:rPr>
                <w:rFonts w:ascii="Arial" w:cs="Arial" w:eastAsia="Arial" w:hAnsi="Arial"/>
                <w:sz w:val="16"/>
                <w:szCs w:val="16"/>
                <w:color w:val="auto"/>
                <w:w w:val="89"/>
              </w:rPr>
              <w:t>Total cost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Total number</w:t>
            </w:r>
          </w:p>
        </w:tc>
        <w:tc>
          <w:tcPr>
            <w:tcW w:w="10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Average price</w:t>
            </w:r>
          </w:p>
        </w:tc>
        <w:tc>
          <w:tcPr>
            <w:tcW w:w="1160" w:type="dxa"/>
            <w:vAlign w:val="bottom"/>
          </w:tcPr>
          <w:p>
            <w:pPr>
              <w:spacing w:after="0"/>
              <w:rPr>
                <w:sz w:val="24"/>
                <w:szCs w:val="24"/>
                <w:color w:val="auto"/>
              </w:rPr>
            </w:pPr>
          </w:p>
        </w:tc>
      </w:tr>
      <w:tr>
        <w:trPr>
          <w:trHeight w:val="213"/>
        </w:trPr>
        <w:tc>
          <w:tcPr>
            <w:tcW w:w="1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7"/>
              <w:spacing w:after="0"/>
              <w:rPr>
                <w:sz w:val="20"/>
                <w:szCs w:val="20"/>
                <w:color w:val="auto"/>
              </w:rPr>
            </w:pPr>
            <w:r>
              <w:rPr>
                <w:rFonts w:ascii="Arial" w:cs="Arial" w:eastAsia="Arial" w:hAnsi="Arial"/>
                <w:sz w:val="16"/>
                <w:szCs w:val="16"/>
                <w:color w:val="auto"/>
                <w:w w:val="85"/>
              </w:rPr>
              <w:t>of shares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of shares</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color w:val="auto"/>
                <w:w w:val="89"/>
              </w:rPr>
              <w:t>paid per</w:t>
            </w:r>
          </w:p>
        </w:tc>
        <w:tc>
          <w:tcPr>
            <w:tcW w:w="116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7"/>
              <w:spacing w:after="0"/>
              <w:rPr>
                <w:sz w:val="20"/>
                <w:szCs w:val="20"/>
                <w:color w:val="auto"/>
              </w:rPr>
            </w:pPr>
            <w:r>
              <w:rPr>
                <w:rFonts w:ascii="Arial" w:cs="Arial" w:eastAsia="Arial" w:hAnsi="Arial"/>
                <w:sz w:val="16"/>
                <w:szCs w:val="16"/>
                <w:color w:val="auto"/>
                <w:w w:val="85"/>
              </w:rPr>
              <w:t>purchased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purchased</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color w:val="auto"/>
                <w:w w:val="84"/>
              </w:rPr>
              <w:t>share</w:t>
            </w:r>
          </w:p>
        </w:tc>
        <w:tc>
          <w:tcPr>
            <w:tcW w:w="116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3460" w:type="dxa"/>
            <w:vAlign w:val="bottom"/>
            <w:tcBorders>
              <w:top w:val="single" w:sz="8" w:color="CFF0FE"/>
            </w:tcBorders>
            <w:shd w:val="clear" w:color="auto" w:fill="CFF0FE"/>
          </w:tcPr>
          <w:p>
            <w:pPr>
              <w:spacing w:after="0"/>
              <w:rPr>
                <w:sz w:val="20"/>
                <w:szCs w:val="20"/>
                <w:color w:val="auto"/>
              </w:rPr>
            </w:pPr>
            <w:r>
              <w:rPr>
                <w:rFonts w:ascii="Arial" w:cs="Arial" w:eastAsia="Arial" w:hAnsi="Arial"/>
                <w:sz w:val="18"/>
                <w:szCs w:val="18"/>
                <w:b w:val="1"/>
                <w:bCs w:val="1"/>
                <w:color w:val="auto"/>
              </w:rPr>
              <w:t>Six months ended June 30, 2017</w:t>
            </w:r>
          </w:p>
        </w:tc>
        <w:tc>
          <w:tcPr>
            <w:tcW w:w="1860" w:type="dxa"/>
            <w:vAlign w:val="bottom"/>
            <w:tcBorders>
              <w:top w:val="single" w:sz="8" w:color="CFF0FE"/>
            </w:tcBorders>
            <w:shd w:val="clear" w:color="auto" w:fill="CFF0FE"/>
          </w:tcPr>
          <w:p>
            <w:pPr>
              <w:spacing w:after="0"/>
              <w:rPr>
                <w:sz w:val="19"/>
                <w:szCs w:val="19"/>
                <w:color w:val="auto"/>
              </w:rPr>
            </w:pPr>
          </w:p>
        </w:tc>
        <w:tc>
          <w:tcPr>
            <w:tcW w:w="160" w:type="dxa"/>
            <w:vAlign w:val="bottom"/>
            <w:tcBorders>
              <w:top w:val="single" w:sz="8" w:color="auto"/>
            </w:tcBorders>
            <w:shd w:val="clear" w:color="auto" w:fill="CFF0FE"/>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E"/>
          </w:tcPr>
          <w:p>
            <w:pPr>
              <w:jc w:val="right"/>
              <w:spacing w:after="0"/>
              <w:rPr>
                <w:sz w:val="20"/>
                <w:szCs w:val="20"/>
                <w:color w:val="auto"/>
              </w:rPr>
            </w:pPr>
            <w:r>
              <w:rPr>
                <w:rFonts w:ascii="Arial" w:cs="Arial" w:eastAsia="Arial" w:hAnsi="Arial"/>
                <w:sz w:val="18"/>
                <w:szCs w:val="18"/>
                <w:b w:val="1"/>
                <w:bCs w:val="1"/>
                <w:color w:val="auto"/>
              </w:rPr>
              <w:t>770</w:t>
            </w:r>
          </w:p>
        </w:tc>
        <w:tc>
          <w:tcPr>
            <w:tcW w:w="20" w:type="dxa"/>
            <w:vAlign w:val="bottom"/>
            <w:tcBorders>
              <w:top w:val="single" w:sz="8" w:color="auto"/>
            </w:tcBorders>
            <w:shd w:val="clear" w:color="auto" w:fill="CFF0FE"/>
          </w:tcPr>
          <w:p>
            <w:pPr>
              <w:spacing w:after="0"/>
              <w:rPr>
                <w:sz w:val="19"/>
                <w:szCs w:val="19"/>
                <w:color w:val="auto"/>
              </w:rPr>
            </w:pPr>
          </w:p>
        </w:tc>
        <w:tc>
          <w:tcPr>
            <w:tcW w:w="220" w:type="dxa"/>
            <w:vAlign w:val="bottom"/>
            <w:tcBorders>
              <w:top w:val="single" w:sz="8" w:color="CFF0FE"/>
            </w:tcBorders>
            <w:shd w:val="clear" w:color="auto" w:fill="CFF0FE"/>
          </w:tcPr>
          <w:p>
            <w:pPr>
              <w:spacing w:after="0"/>
              <w:rPr>
                <w:sz w:val="19"/>
                <w:szCs w:val="19"/>
                <w:color w:val="auto"/>
              </w:rPr>
            </w:pPr>
          </w:p>
        </w:tc>
        <w:tc>
          <w:tcPr>
            <w:tcW w:w="1060" w:type="dxa"/>
            <w:vAlign w:val="bottom"/>
            <w:tcBorders>
              <w:top w:val="single" w:sz="8" w:color="auto"/>
            </w:tcBorders>
            <w:shd w:val="clear" w:color="auto" w:fill="CFF0FE"/>
          </w:tcPr>
          <w:p>
            <w:pPr>
              <w:jc w:val="right"/>
              <w:spacing w:after="0"/>
              <w:rPr>
                <w:sz w:val="20"/>
                <w:szCs w:val="20"/>
                <w:color w:val="auto"/>
              </w:rPr>
            </w:pPr>
            <w:r>
              <w:rPr>
                <w:rFonts w:ascii="Arial" w:cs="Arial" w:eastAsia="Arial" w:hAnsi="Arial"/>
                <w:sz w:val="18"/>
                <w:szCs w:val="18"/>
                <w:b w:val="1"/>
                <w:bCs w:val="1"/>
                <w:color w:val="auto"/>
              </w:rPr>
              <w:t>10.2</w:t>
            </w:r>
          </w:p>
        </w:tc>
        <w:tc>
          <w:tcPr>
            <w:tcW w:w="200" w:type="dxa"/>
            <w:vAlign w:val="bottom"/>
            <w:tcBorders>
              <w:top w:val="single" w:sz="8" w:color="CFF0FE"/>
            </w:tcBorders>
            <w:shd w:val="clear" w:color="auto" w:fill="CFF0FE"/>
          </w:tcPr>
          <w:p>
            <w:pPr>
              <w:spacing w:after="0"/>
              <w:rPr>
                <w:sz w:val="19"/>
                <w:szCs w:val="19"/>
                <w:color w:val="auto"/>
              </w:rPr>
            </w:pPr>
          </w:p>
        </w:tc>
        <w:tc>
          <w:tcPr>
            <w:tcW w:w="100" w:type="dxa"/>
            <w:vAlign w:val="bottom"/>
            <w:tcBorders>
              <w:top w:val="single" w:sz="8" w:color="auto"/>
            </w:tcBorders>
            <w:shd w:val="clear" w:color="auto" w:fill="CFF0FE"/>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FF0FE"/>
          </w:tcPr>
          <w:p>
            <w:pPr>
              <w:jc w:val="right"/>
              <w:spacing w:after="0"/>
              <w:rPr>
                <w:sz w:val="20"/>
                <w:szCs w:val="20"/>
                <w:color w:val="auto"/>
              </w:rPr>
            </w:pPr>
            <w:r>
              <w:rPr>
                <w:rFonts w:ascii="Arial" w:cs="Arial" w:eastAsia="Arial" w:hAnsi="Arial"/>
                <w:sz w:val="18"/>
                <w:szCs w:val="18"/>
                <w:b w:val="1"/>
                <w:bCs w:val="1"/>
                <w:color w:val="auto"/>
              </w:rPr>
              <w:t>75.40</w:t>
            </w:r>
          </w:p>
        </w:tc>
        <w:tc>
          <w:tcPr>
            <w:tcW w:w="80" w:type="dxa"/>
            <w:vAlign w:val="bottom"/>
            <w:tcBorders>
              <w:top w:val="single" w:sz="8" w:color="CFF0FE"/>
            </w:tcBorders>
            <w:shd w:val="clear" w:color="auto" w:fill="CFF0FE"/>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114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Six months ended June 30, 2016</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506</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67.65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851"/>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60" w:type="dxa"/>
            <w:vAlign w:val="bottom"/>
          </w:tcPr>
          <w:p>
            <w:pPr>
              <w:jc w:val="right"/>
              <w:ind w:right="571"/>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4"/>
        </w:trPr>
        <w:tc>
          <w:tcPr>
            <w:tcW w:w="114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sectPr>
      </w:pPr>
    </w:p>
    <w:bookmarkStart w:id="25" w:name="page26"/>
    <w:bookmarkEnd w:id="25"/>
    <w:p>
      <w:pPr>
        <w:ind w:left="1020" w:hanging="363"/>
        <w:spacing w:after="0" w:line="295"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Capital expenditures were $0.9 billion during the first six months of 2017 compared to $1.0 billion during the first six months of 2016. Capital expenditures for full-year 2017 are expected to be approximately $2.2 billion as compared to expenditures of $2.1 billion in 2016.</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Schlumberger does not believe that these estimates are reasonably likely to materially change in the foreseeable future, however, adjustments to the allowance may be required in future periods depending on how such potential issues are resolved, or if the financial condition of Schlumberger’s customers were to deteriorate resulting in an impairment of their ability to make payments.</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In April 2016, Schlumberger announced that it would reduce its activity in Venezuela to align operations with cash collections as a result of insufficient payments received in recent quarters. As of June 30, 2017 Schlumberger’s net accounts receivable balance in Venezuela was approximately $0.5 billion, which excludes the $0.2 billion carrying value of the promissory notes described in Note 2 to the </w:t>
      </w:r>
      <w:r>
        <w:rPr>
          <w:rFonts w:ascii="Arial" w:cs="Arial" w:eastAsia="Arial" w:hAnsi="Arial"/>
          <w:sz w:val="17"/>
          <w:szCs w:val="17"/>
          <w:i w:val="1"/>
          <w:iCs w:val="1"/>
          <w:color w:val="auto"/>
        </w:rPr>
        <w:t>Consolidated Financial Statements.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Schlumberger continues to experience payment delays from certain other customers as well, primarily a result of the impact of lower oil prices in the oil and gas industry. In this regard, included in </w:t>
      </w:r>
      <w:r>
        <w:rPr>
          <w:rFonts w:ascii="Arial" w:cs="Arial" w:eastAsia="Arial" w:hAnsi="Arial"/>
          <w:sz w:val="18"/>
          <w:szCs w:val="18"/>
          <w:i w:val="1"/>
          <w:iCs w:val="1"/>
          <w:color w:val="auto"/>
        </w:rPr>
        <w:t>Receivables less allowance for doubtful accounts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as of June 30, 2017 is approximately $1.1 billion of receivables relating to Ecuador.</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Schlumberger’s receivables from its primary customers in Venezuela and Ecuador are not in dispute and Schlumberger has not historically had any material write-offs due to uncollectible accounts receivable relating to these customers.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weak economic environments or when there is an extended period of weakness in oil and gas prices, Schlumberger typically experiences delays in the payment of its receivables. However, Schlumberger has not had material write-offs due to uncollectible accounts receivable over the recent industry downturn. Schlumberger operates in more than 85 countries. As a large multinational company with a long history of operating in a cyclical industry, Schlumberger has extensive experience in working with its customers during difficult times to manage its accounts receivable. At June 30, 2017, only five of those countries individually accounted for greater than 5% of Schlumberger’s net receivable balance, of which only two (the United States and Ecuador) accounted for greater than 10% of such receivables.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24, 2017, Schlumberger and Weatherford announced an agreement to create OneStim</w:t>
      </w:r>
      <w:r>
        <w:rPr>
          <w:rFonts w:ascii="Arial" w:cs="Arial" w:eastAsia="Arial" w:hAnsi="Arial"/>
          <w:sz w:val="13"/>
          <w:szCs w:val="13"/>
          <w:color w:val="auto"/>
        </w:rPr>
        <w:t>SM</w:t>
      </w:r>
      <w:r>
        <w:rPr>
          <w:rFonts w:ascii="Arial" w:cs="Arial" w:eastAsia="Arial" w:hAnsi="Arial"/>
          <w:sz w:val="16"/>
          <w:szCs w:val="16"/>
          <w:color w:val="auto"/>
        </w:rPr>
        <w:t>, a joint venture to deliver completions products and services for the development of unconventional resource plays in the United States and Canada land markets. The joint venture will offer one of the broadest multistage completions portfolios in the market combined with one of the largest hydraulic fracturing fleets in the industry. Schlumberger and Weatherford will have a 70%/30% ownership of the joint venture, respectively. The transaction is expected to close in the second half of 2017 and is subject to regulatory approvals and other customary closing conditions. Under the terms of the formation agreement, Schlumberger and Weatherford will contribute all their respective North America land hydraulic fracturing pressure pumping assets, multistage completions, and pump-down perforating businesses. Schlumberger will also make a $535 million cash payment to Weatherford. Schlumberger will manage the joint venture and consolidate it for financial reporting purposes.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 from operations for the six months ended June 30, 2017 decreased by approximately $1.3 billion. This decrease was primarily driven by the delays in collecting certain receivables combined with the effects of the impact of the activity growth experienced during the second quarter of 2017, as well as expected future growth.</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June 30, 2017, Schlumberger had $6.2 billion of cash and short-term investments on hand. Schlumberger had separate committed debt facility agreements aggregating $6.6 billion with commercial banks, of which $3.5 billion was available and unused as of June 30, 2017. The $6.6 billion of committed debt facility agreements included $6.3 billion of committed facilities that support commercial paper programs. Schlumberger believes these amounts are sufficient to meet future business requirements for at least the next 12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June 30, 2017 were $3.0 billion.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Form 10-Q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anticipated benefits of the Cameron transaction; the success of Schlumberger’s joint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7"/>
          <w:szCs w:val="17"/>
          <w:color w:val="auto"/>
        </w:rPr>
        <w:t>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integrate the Cameron business and to realize expected synergies; the inability to retain key employees; and other risks and uncertainties detailed in this second-quarter 2017 Form 10-Q and our most recent Form 10-K, and Forms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2016. Schlumberger’s exposure to market risk has not changed materially since December 31, 2016.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11—</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18, 2013, the Board approved a $10 billion share repurchase program for shares of Schlumberger common stock, to be completed at the latest by June 30, 2018. This program was completed during May 2017. On January 21, 2016, the Board approved a new $10 billion share repurchase program for Schlumberger common stock. This new program took effect once the July 18, 2013 program was exhausted.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activity for the three months ended June 30, 2017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40" w:type="dxa"/>
            <w:vAlign w:val="bottom"/>
            <w:gridSpan w:val="6"/>
          </w:tcPr>
          <w:p>
            <w:pPr>
              <w:ind w:left="100"/>
              <w:spacing w:after="0"/>
              <w:rPr>
                <w:sz w:val="20"/>
                <w:szCs w:val="20"/>
                <w:color w:val="auto"/>
              </w:rPr>
            </w:pPr>
            <w:r>
              <w:rPr>
                <w:rFonts w:ascii="Arial" w:cs="Arial" w:eastAsia="Arial" w:hAnsi="Arial"/>
                <w:sz w:val="14"/>
                <w:szCs w:val="14"/>
                <w:i w:val="1"/>
                <w:iCs w:val="1"/>
                <w:color w:val="auto"/>
                <w:w w:val="93"/>
              </w:rPr>
              <w:t>(Stated in thousands, except per share amounts)</w:t>
            </w:r>
          </w:p>
        </w:tc>
      </w:tr>
      <w:tr>
        <w:trPr>
          <w:trHeight w:val="413"/>
        </w:trPr>
        <w:tc>
          <w:tcPr>
            <w:tcW w:w="5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0"/>
              </w:rPr>
              <w:t>Total number of</w:t>
            </w:r>
          </w:p>
        </w:tc>
        <w:tc>
          <w:tcPr>
            <w:tcW w:w="2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Maximum value</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4"/>
              </w:rPr>
              <w:t>shares purchased</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88"/>
              </w:rPr>
              <w:t>of shares that may</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w w:val="91"/>
              </w:rPr>
              <w:t>as part of publicly</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87"/>
              </w:rPr>
              <w:t>yet be purchased</w:t>
            </w:r>
          </w:p>
        </w:tc>
      </w:tr>
      <w:tr>
        <w:trPr>
          <w:trHeight w:val="199"/>
        </w:trPr>
        <w:tc>
          <w:tcPr>
            <w:tcW w:w="58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color w:val="auto"/>
              </w:rPr>
              <w:t>Total number of</w:t>
            </w:r>
          </w:p>
        </w:tc>
        <w:tc>
          <w:tcPr>
            <w:tcW w:w="12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Arial" w:cs="Arial" w:eastAsia="Arial" w:hAnsi="Arial"/>
                <w:sz w:val="16"/>
                <w:szCs w:val="16"/>
                <w:color w:val="auto"/>
                <w:w w:val="91"/>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5"/>
              </w:rPr>
              <w:t>announced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under the</w:t>
            </w:r>
          </w:p>
        </w:tc>
      </w:tr>
      <w:tr>
        <w:trPr>
          <w:trHeight w:val="207"/>
        </w:trPr>
        <w:tc>
          <w:tcPr>
            <w:tcW w:w="588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shares purchased</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6"/>
                <w:szCs w:val="16"/>
                <w:color w:val="auto"/>
                <w:w w:val="87"/>
              </w:rPr>
              <w:t>paid per share</w:t>
            </w:r>
          </w:p>
        </w:tc>
        <w:tc>
          <w:tcPr>
            <w:tcW w:w="24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programs</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color w:val="auto"/>
                <w:w w:val="88"/>
              </w:rPr>
              <w:t>programs</w:t>
            </w:r>
          </w:p>
        </w:tc>
        <w:tc>
          <w:tcPr>
            <w:tcW w:w="100" w:type="dxa"/>
            <w:vAlign w:val="bottom"/>
            <w:tcBorders>
              <w:bottom w:val="single" w:sz="8" w:color="CFF0FC"/>
            </w:tcBorders>
          </w:tcPr>
          <w:p>
            <w:pPr>
              <w:spacing w:after="0"/>
              <w:rPr>
                <w:sz w:val="17"/>
                <w:szCs w:val="17"/>
                <w:color w:val="auto"/>
              </w:rPr>
            </w:pPr>
          </w:p>
        </w:tc>
      </w:tr>
      <w:tr>
        <w:trPr>
          <w:trHeight w:val="222"/>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April 2017</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1,542.0</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10,154,265</w:t>
            </w:r>
          </w:p>
        </w:tc>
        <w:tc>
          <w:tcPr>
            <w:tcW w:w="100" w:type="dxa"/>
            <w:vAlign w:val="bottom"/>
            <w:shd w:val="clear" w:color="auto" w:fill="CFF0FC"/>
          </w:tcPr>
          <w:p>
            <w:pPr>
              <w:spacing w:after="0"/>
              <w:rPr>
                <w:sz w:val="19"/>
                <w:szCs w:val="19"/>
                <w:color w:val="auto"/>
              </w:rPr>
            </w:pPr>
          </w:p>
        </w:tc>
      </w:tr>
      <w:tr>
        <w:trPr>
          <w:trHeight w:val="225"/>
        </w:trPr>
        <w:tc>
          <w:tcPr>
            <w:tcW w:w="5880" w:type="dxa"/>
            <w:vAlign w:val="bottom"/>
          </w:tcPr>
          <w:p>
            <w:pPr>
              <w:spacing w:after="0"/>
              <w:rPr>
                <w:sz w:val="20"/>
                <w:szCs w:val="20"/>
                <w:color w:val="auto"/>
              </w:rPr>
            </w:pPr>
            <w:r>
              <w:rPr>
                <w:rFonts w:ascii="Arial" w:cs="Arial" w:eastAsia="Arial" w:hAnsi="Arial"/>
                <w:sz w:val="18"/>
                <w:szCs w:val="18"/>
                <w:color w:val="auto"/>
              </w:rPr>
              <w:t>May 2017</w:t>
            </w:r>
          </w:p>
        </w:tc>
        <w:tc>
          <w:tcPr>
            <w:tcW w:w="1160" w:type="dxa"/>
            <w:vAlign w:val="bottom"/>
          </w:tcPr>
          <w:p>
            <w:pPr>
              <w:jc w:val="right"/>
              <w:spacing w:after="0"/>
              <w:rPr>
                <w:sz w:val="20"/>
                <w:szCs w:val="20"/>
                <w:color w:val="auto"/>
              </w:rPr>
            </w:pPr>
            <w:r>
              <w:rPr>
                <w:rFonts w:ascii="Arial" w:cs="Arial" w:eastAsia="Arial" w:hAnsi="Arial"/>
                <w:sz w:val="18"/>
                <w:szCs w:val="18"/>
                <w:color w:val="auto"/>
              </w:rPr>
              <w:t>2,519.2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71.85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2,519.2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9,973,264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June 2017</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68.36</w:t>
            </w:r>
          </w:p>
        </w:tc>
        <w:tc>
          <w:tcPr>
            <w:tcW w:w="24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1,435.5</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9,875,124</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5,496.7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72.34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5,496.7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Schlumberger completed the wind down of its service operations in Iran during 2013. Prior to this, certain non-US subsidiaries of Schlumberger provided oilfield services to the National Iranian Oil Company and certain of its affiliates (“NIOC”).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both"/>
        <w:spacing w:after="0" w:line="250" w:lineRule="auto"/>
        <w:rPr>
          <w:sz w:val="20"/>
          <w:szCs w:val="20"/>
          <w:color w:val="auto"/>
        </w:rPr>
      </w:pPr>
      <w:r>
        <w:rPr>
          <w:rFonts w:ascii="Arial" w:cs="Arial" w:eastAsia="Arial" w:hAnsi="Arial"/>
          <w:sz w:val="18"/>
          <w:szCs w:val="18"/>
          <w:color w:val="auto"/>
        </w:rPr>
        <w:t>Schlumberger’s residual transactions or dealings with the government of Iran in the second quarter of 2017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maintains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9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fourth quarter of 2016, a non-US subsidiary entered into a memorandum of understanding (“MOU”) with NIOC relating to the non-disclosure of data required for the technical evaluation of an oilfield project. In the first quarter of 2017, the Schlumberger subsidiary provided NIOC with written notice that it was terminating the MOU, effective March 11, 2017. The MOU did not involve the provision of services. During the second quarter of 2017, and in furtherance of the termination of the MOU, the Schlumberger subsidiary had residual dealings with the NIOC consisting solely of the return of client data.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 w:right="20"/>
        <w:spacing w:after="0" w:line="266"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3.1 to Schlumberger’s Current Report on Form 8-K filed on April 6, 2016)</w:t>
      </w:r>
    </w:p>
    <w:p>
      <w:pPr>
        <w:spacing w:after="0" w:line="86" w:lineRule="exact"/>
        <w:rPr>
          <w:sz w:val="20"/>
          <w:szCs w:val="20"/>
          <w:color w:val="auto"/>
        </w:rPr>
      </w:pPr>
    </w:p>
    <w:p>
      <w:pPr>
        <w:ind w:left="440" w:right="100"/>
        <w:spacing w:after="0" w:line="266"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January 19, 2017)</w:t>
      </w:r>
    </w:p>
    <w:p>
      <w:pPr>
        <w:spacing w:after="0" w:line="86" w:lineRule="exact"/>
        <w:rPr>
          <w:sz w:val="20"/>
          <w:szCs w:val="20"/>
          <w:color w:val="auto"/>
        </w:rPr>
      </w:pPr>
    </w:p>
    <w:p>
      <w:pPr>
        <w:ind w:left="440" w:right="580"/>
        <w:spacing w:after="0" w:line="266" w:lineRule="auto"/>
        <w:tabs>
          <w:tab w:leader="none" w:pos="5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 10.1—Schlumberger 2017 Omnibus Stock Incentive Plan (incorporated by reference to Appendix B of Schlumberger’s Definitive Proxy Statement filed on February 21, 2017)</w:t>
      </w:r>
    </w:p>
    <w:p>
      <w:pPr>
        <w:spacing w:after="0" w:line="86" w:lineRule="exact"/>
        <w:rPr>
          <w:sz w:val="20"/>
          <w:szCs w:val="20"/>
          <w:color w:val="auto"/>
        </w:rPr>
      </w:pPr>
    </w:p>
    <w:p>
      <w:pPr>
        <w:ind w:left="440" w:right="400"/>
        <w:spacing w:after="0" w:line="266" w:lineRule="auto"/>
        <w:tabs>
          <w:tab w:leader="none" w:pos="5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86" w:lineRule="exact"/>
        <w:rPr>
          <w:rFonts w:ascii="Arial" w:cs="Arial" w:eastAsia="Arial" w:hAnsi="Arial"/>
          <w:sz w:val="18"/>
          <w:szCs w:val="18"/>
          <w:color w:val="auto"/>
        </w:rPr>
      </w:pPr>
    </w:p>
    <w:p>
      <w:pPr>
        <w:ind w:left="440" w:right="460"/>
        <w:spacing w:after="0" w:line="266" w:lineRule="auto"/>
        <w:tabs>
          <w:tab w:leader="none" w:pos="5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86" w:lineRule="exact"/>
        <w:rPr>
          <w:sz w:val="20"/>
          <w:szCs w:val="20"/>
          <w:color w:val="auto"/>
        </w:rPr>
      </w:pPr>
    </w:p>
    <w:p>
      <w:pPr>
        <w:ind w:left="440" w:right="120"/>
        <w:spacing w:after="0" w:line="266" w:lineRule="auto"/>
        <w:tabs>
          <w:tab w:leader="none" w:pos="661"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86" w:lineRule="exact"/>
        <w:rPr>
          <w:rFonts w:ascii="Arial" w:cs="Arial" w:eastAsia="Arial" w:hAnsi="Arial"/>
          <w:sz w:val="18"/>
          <w:szCs w:val="18"/>
          <w:color w:val="auto"/>
        </w:rPr>
      </w:pPr>
    </w:p>
    <w:p>
      <w:pPr>
        <w:ind w:left="440" w:right="160"/>
        <w:spacing w:after="0" w:line="266" w:lineRule="auto"/>
        <w:tabs>
          <w:tab w:leader="none" w:pos="661"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32.2—Certification of Chief Financial Officer pursuant to 18 U.S.C. Section 1350, as adopted pursuant to Section 906 of the Sarbanes-Oxley Act of 2002</w:t>
      </w:r>
    </w:p>
    <w:p>
      <w:pPr>
        <w:spacing w:after="0" w:line="86" w:lineRule="exact"/>
        <w:rPr>
          <w:sz w:val="20"/>
          <w:szCs w:val="20"/>
          <w:color w:val="auto"/>
        </w:rPr>
      </w:pPr>
    </w:p>
    <w:p>
      <w:pPr>
        <w:ind w:left="580" w:hanging="140"/>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 95—Mine Safety Disclosures</w:t>
      </w:r>
    </w:p>
    <w:p>
      <w:pPr>
        <w:spacing w:after="0" w:line="125" w:lineRule="exact"/>
        <w:rPr>
          <w:rFonts w:ascii="Arial" w:cs="Arial" w:eastAsia="Arial" w:hAnsi="Arial"/>
          <w:sz w:val="18"/>
          <w:szCs w:val="18"/>
          <w:color w:val="auto"/>
        </w:rPr>
      </w:pPr>
    </w:p>
    <w:p>
      <w:pPr>
        <w:jc w:val="both"/>
        <w:ind w:left="440"/>
        <w:spacing w:after="0" w:line="253" w:lineRule="auto"/>
        <w:tabs>
          <w:tab w:leader="none" w:pos="5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June 30, 2017, formatted in XBRL (Extensible Business Reporting Language): (i) Consolidated Statement of Income (Loss); (ii) Consolidated Statement of Comprehensive Income (Loss); (iii) Consolidated Balance Sheet; (iv) Consolidated Statement of Cash Flows; (v) Consolidated Statement of Equity and (vi) Notes to Consolidated Financial Statements.</w:t>
      </w:r>
    </w:p>
    <w:p>
      <w:pPr>
        <w:spacing w:after="0" w:line="97" w:lineRule="exact"/>
        <w:rPr>
          <w:rFonts w:ascii="Arial" w:cs="Arial" w:eastAsia="Arial" w:hAnsi="Arial"/>
          <w:sz w:val="18"/>
          <w:szCs w:val="18"/>
          <w:color w:val="auto"/>
        </w:rPr>
      </w:pPr>
    </w:p>
    <w:p>
      <w:pPr>
        <w:ind w:left="580" w:hanging="140"/>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Furnished with this Form 10-Q.</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2910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jc w:val="center"/>
        <w:ind w:right="-399"/>
        <w:spacing w:after="0"/>
        <w:rPr>
          <w:sz w:val="20"/>
          <w:szCs w:val="20"/>
          <w:color w:val="auto"/>
        </w:rPr>
      </w:pPr>
      <w:r>
        <w:rPr>
          <w:rFonts w:ascii="Arial" w:cs="Arial" w:eastAsia="Arial" w:hAnsi="Arial"/>
          <w:sz w:val="18"/>
          <w:szCs w:val="18"/>
          <w:color w:val="auto"/>
        </w:rPr>
        <w:t>SIGNATURE</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Schlumberger Limited</w:t>
      </w:r>
    </w:p>
    <w:p>
      <w:pPr>
        <w:spacing w:after="0" w:line="1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07" w:lineRule="exact"/>
        <w:rPr>
          <w:sz w:val="20"/>
          <w:szCs w:val="20"/>
          <w:color w:val="auto"/>
        </w:rPr>
      </w:pPr>
    </w:p>
    <w:p>
      <w:pPr>
        <w:spacing w:after="0"/>
        <w:tabs>
          <w:tab w:leader="none" w:pos="78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26, 2017</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11430</wp:posOffset>
            </wp:positionV>
            <wp:extent cx="29114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11475" cy="8255"/>
                    </a:xfrm>
                    <a:prstGeom prst="rect">
                      <a:avLst/>
                    </a:prstGeom>
                    <a:noFill/>
                  </pic:spPr>
                </pic:pic>
              </a:graphicData>
            </a:graphic>
          </wp:anchor>
        </w:drawing>
      </w:r>
    </w:p>
    <w:p>
      <w:pPr>
        <w:spacing w:after="0" w:line="29"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Howard Guild</w:t>
      </w:r>
    </w:p>
    <w:p>
      <w:pPr>
        <w:spacing w:after="0" w:line="38"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240" w:top="127" w:right="6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2" w:lineRule="exact"/>
        <w:rPr>
          <w:sz w:val="20"/>
          <w:szCs w:val="20"/>
          <w:color w:val="auto"/>
        </w:rPr>
      </w:pPr>
    </w:p>
    <w:p>
      <w:pPr>
        <w:ind w:left="560" w:hanging="174"/>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1" w:lineRule="exact"/>
        <w:rPr>
          <w:rFonts w:ascii="Arial" w:cs="Arial" w:eastAsia="Arial" w:hAnsi="Arial"/>
          <w:sz w:val="18"/>
          <w:szCs w:val="18"/>
          <w:color w:val="auto"/>
        </w:rPr>
      </w:pPr>
    </w:p>
    <w:p>
      <w:pPr>
        <w:ind w:firstLine="386"/>
        <w:spacing w:after="0" w:line="329" w:lineRule="auto"/>
        <w:tabs>
          <w:tab w:leader="none" w:pos="577"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6"/>
          <w:szCs w:val="16"/>
          <w:color w:val="auto"/>
        </w:rPr>
      </w:pPr>
    </w:p>
    <w:p>
      <w:pPr>
        <w:ind w:firstLine="386"/>
        <w:spacing w:after="0" w:line="266" w:lineRule="auto"/>
        <w:tabs>
          <w:tab w:leader="none" w:pos="5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jc w:val="both"/>
        <w:ind w:firstLine="386"/>
        <w:spacing w:after="0" w:line="256" w:lineRule="auto"/>
        <w:tabs>
          <w:tab w:leader="none" w:pos="5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00" w:hanging="496"/>
        <w:spacing w:after="0" w:line="295" w:lineRule="auto"/>
        <w:tabs>
          <w:tab w:leader="none" w:pos="11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00" w:hanging="496"/>
        <w:spacing w:after="0" w:line="256"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firstLine="386"/>
        <w:spacing w:after="0" w:line="295" w:lineRule="auto"/>
        <w:tabs>
          <w:tab w:leader="none" w:pos="57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00" w:hanging="496"/>
        <w:spacing w:after="0" w:line="266"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8"/>
          <w:szCs w:val="18"/>
          <w:color w:val="auto"/>
        </w:rPr>
      </w:pPr>
    </w:p>
    <w:p>
      <w:pPr>
        <w:ind w:left="1100" w:hanging="496"/>
        <w:spacing w:after="0" w:line="266"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Date: July 26, 2017</w:t>
            </w:r>
          </w:p>
        </w:tc>
        <w:tc>
          <w:tcPr>
            <w:tcW w:w="7300" w:type="dxa"/>
            <w:vAlign w:val="bottom"/>
            <w:gridSpan w:val="2"/>
          </w:tcPr>
          <w:p>
            <w:pPr>
              <w:ind w:left="2740"/>
              <w:spacing w:after="0"/>
              <w:rPr>
                <w:sz w:val="20"/>
                <w:szCs w:val="20"/>
                <w:color w:val="auto"/>
              </w:rPr>
            </w:pPr>
            <w:r>
              <w:rPr>
                <w:rFonts w:ascii="Arial" w:cs="Arial" w:eastAsia="Arial" w:hAnsi="Arial"/>
                <w:sz w:val="18"/>
                <w:szCs w:val="18"/>
                <w:color w:val="auto"/>
              </w:rPr>
              <w:t>/s/ Paal Kibsgaard</w:t>
            </w:r>
          </w:p>
        </w:tc>
      </w:tr>
      <w:tr>
        <w:trPr>
          <w:trHeight w:val="194"/>
        </w:trPr>
        <w:tc>
          <w:tcPr>
            <w:tcW w:w="4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5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24"/>
        </w:trPr>
        <w:tc>
          <w:tcPr>
            <w:tcW w:w="4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1" w:lineRule="exact"/>
        <w:rPr>
          <w:rFonts w:ascii="Arial" w:cs="Arial" w:eastAsia="Arial" w:hAnsi="Arial"/>
          <w:sz w:val="18"/>
          <w:szCs w:val="18"/>
          <w:color w:val="auto"/>
        </w:rPr>
      </w:pPr>
    </w:p>
    <w:p>
      <w:pPr>
        <w:ind w:firstLine="386"/>
        <w:spacing w:after="0" w:line="329" w:lineRule="auto"/>
        <w:tabs>
          <w:tab w:leader="none" w:pos="577"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Arial" w:cs="Arial" w:eastAsia="Arial" w:hAnsi="Arial"/>
          <w:sz w:val="16"/>
          <w:szCs w:val="16"/>
          <w:color w:val="auto"/>
        </w:rPr>
      </w:pPr>
    </w:p>
    <w:p>
      <w:pPr>
        <w:ind w:firstLine="386"/>
        <w:spacing w:after="0" w:line="266" w:lineRule="auto"/>
        <w:tabs>
          <w:tab w:leader="none" w:pos="5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8"/>
          <w:szCs w:val="18"/>
          <w:color w:val="auto"/>
        </w:rPr>
      </w:pPr>
    </w:p>
    <w:p>
      <w:pPr>
        <w:jc w:val="both"/>
        <w:ind w:firstLine="386"/>
        <w:spacing w:after="0" w:line="256" w:lineRule="auto"/>
        <w:tabs>
          <w:tab w:leader="none" w:pos="5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00" w:hanging="496"/>
        <w:spacing w:after="0" w:line="256" w:lineRule="auto"/>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00" w:hanging="496"/>
        <w:spacing w:after="0" w:line="295" w:lineRule="auto"/>
        <w:tabs>
          <w:tab w:leader="none" w:pos="11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00" w:hanging="496"/>
        <w:spacing w:after="0" w:line="256" w:lineRule="auto"/>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firstLine="386"/>
        <w:spacing w:after="0" w:line="295" w:lineRule="auto"/>
        <w:tabs>
          <w:tab w:leader="none" w:pos="57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100" w:hanging="496"/>
        <w:spacing w:after="0" w:line="266" w:lineRule="auto"/>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8"/>
          <w:szCs w:val="18"/>
          <w:color w:val="auto"/>
        </w:rPr>
      </w:pPr>
    </w:p>
    <w:p>
      <w:pPr>
        <w:ind w:left="1100" w:hanging="496"/>
        <w:spacing w:after="0" w:line="266" w:lineRule="auto"/>
        <w:tabs>
          <w:tab w:leader="none" w:pos="11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 July 26, 2017</w:t>
      </w:r>
      <w:r>
        <w:rPr>
          <w:sz w:val="20"/>
          <w:szCs w:val="20"/>
          <w:color w:val="auto"/>
        </w:rPr>
        <w:tab/>
      </w:r>
      <w:r>
        <w:rPr>
          <w:rFonts w:ascii="Arial" w:cs="Arial" w:eastAsia="Arial" w:hAnsi="Arial"/>
          <w:sz w:val="16"/>
          <w:szCs w:val="16"/>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19685</wp:posOffset>
            </wp:positionV>
            <wp:extent cx="29025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Simon Ayat</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June 30, 2017 as filed with the Securities and Exchange Commission on the date hereof (the “Report”), I, Paal Kibsgaard, Chief Executive Officer of the Company, certify, pursuant to 18 U.S.C. § 1350, as adopted pursuant to § 906 of the Sarbanes-Oxley Act of 2002, that:</w:t>
      </w:r>
    </w:p>
    <w:p>
      <w:pPr>
        <w:spacing w:after="0" w:line="82" w:lineRule="exact"/>
        <w:rPr>
          <w:sz w:val="20"/>
          <w:szCs w:val="20"/>
          <w:color w:val="auto"/>
        </w:rPr>
      </w:pPr>
    </w:p>
    <w:p>
      <w:pPr>
        <w:ind w:left="1020" w:hanging="509"/>
        <w:spacing w:after="0" w:line="26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9"/>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60" w:type="dxa"/>
            <w:vAlign w:val="bottom"/>
          </w:tcPr>
          <w:p>
            <w:pPr>
              <w:spacing w:after="0"/>
              <w:rPr>
                <w:sz w:val="20"/>
                <w:szCs w:val="20"/>
                <w:color w:val="auto"/>
              </w:rPr>
            </w:pPr>
            <w:r>
              <w:rPr>
                <w:rFonts w:ascii="Arial" w:cs="Arial" w:eastAsia="Arial" w:hAnsi="Arial"/>
                <w:sz w:val="18"/>
                <w:szCs w:val="18"/>
                <w:color w:val="auto"/>
              </w:rPr>
              <w:t>Date: July 26, 2017</w:t>
            </w:r>
          </w:p>
        </w:tc>
        <w:tc>
          <w:tcPr>
            <w:tcW w:w="5000" w:type="dxa"/>
            <w:vAlign w:val="bottom"/>
            <w:gridSpan w:val="2"/>
          </w:tcPr>
          <w:p>
            <w:pPr>
              <w:ind w:left="1980"/>
              <w:spacing w:after="0"/>
              <w:rPr>
                <w:sz w:val="20"/>
                <w:szCs w:val="20"/>
                <w:color w:val="auto"/>
              </w:rPr>
            </w:pPr>
            <w:r>
              <w:rPr>
                <w:rFonts w:ascii="Arial" w:cs="Arial" w:eastAsia="Arial" w:hAnsi="Arial"/>
                <w:sz w:val="18"/>
                <w:szCs w:val="18"/>
                <w:color w:val="auto"/>
              </w:rPr>
              <w:t>/s/ Paal Kibsgaard</w:t>
            </w:r>
          </w:p>
        </w:tc>
      </w:tr>
      <w:tr>
        <w:trPr>
          <w:trHeight w:val="194"/>
        </w:trPr>
        <w:tc>
          <w:tcPr>
            <w:tcW w:w="33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0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24"/>
        </w:trPr>
        <w:tc>
          <w:tcPr>
            <w:tcW w:w="3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June 30, 2017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65" w:lineRule="exact"/>
        <w:rPr>
          <w:sz w:val="20"/>
          <w:szCs w:val="20"/>
          <w:color w:val="auto"/>
        </w:rPr>
      </w:pPr>
    </w:p>
    <w:p>
      <w:pPr>
        <w:ind w:left="1020" w:hanging="509"/>
        <w:spacing w:after="0" w:line="266"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72" w:lineRule="exact"/>
        <w:rPr>
          <w:rFonts w:ascii="Arial" w:cs="Arial" w:eastAsia="Arial" w:hAnsi="Arial"/>
          <w:sz w:val="18"/>
          <w:szCs w:val="18"/>
          <w:color w:val="auto"/>
        </w:rPr>
      </w:pPr>
    </w:p>
    <w:p>
      <w:pPr>
        <w:ind w:left="1020" w:hanging="509"/>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Date: July 26, 2017</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4"/>
        </w:trPr>
        <w:tc>
          <w:tcPr>
            <w:tcW w:w="54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24"/>
        </w:trPr>
        <w:tc>
          <w:tcPr>
            <w:tcW w:w="54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00" w:lineRule="exact"/>
        <w:rPr>
          <w:sz w:val="20"/>
          <w:szCs w:val="20"/>
          <w:color w:val="auto"/>
        </w:rPr>
      </w:pPr>
    </w:p>
    <w:p>
      <w:pPr>
        <w:spacing w:after="0" w:line="370"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8" w:lineRule="exact"/>
        <w:rPr>
          <w:sz w:val="20"/>
          <w:szCs w:val="20"/>
          <w:color w:val="auto"/>
        </w:rPr>
      </w:pPr>
    </w:p>
    <w:p>
      <w:pPr>
        <w:ind w:right="20" w:firstLine="518"/>
        <w:spacing w:after="0" w:line="256" w:lineRule="auto"/>
        <w:rPr>
          <w:sz w:val="20"/>
          <w:szCs w:val="20"/>
          <w:color w:val="auto"/>
        </w:rPr>
      </w:pPr>
      <w:r>
        <w:rPr>
          <w:rFonts w:ascii="Arial" w:cs="Arial" w:eastAsia="Arial" w:hAnsi="Arial"/>
          <w:sz w:val="18"/>
          <w:szCs w:val="18"/>
          <w:color w:val="auto"/>
        </w:rPr>
        <w:t>The table that follows reflects citations, orders, violations and proposed assessments issued by the Mine Safety and Health Administration (the “MSHA”) to indirect subsidiaries of Schlumberger. The disclosure is with respect to the three months ended June 30, 2017. Due to timing and other factors, the data may not agree with the mine data retrieval system maintained by the MSHA at www.MSHA.gov.</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June 30, 2017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p>
      <w:pPr>
        <w:spacing w:after="0" w:line="27"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95"/>
              </w:rPr>
              <w:t>Received</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Received</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rPr>
              <w:t>Notice of</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7"/>
              </w:rPr>
              <w:t>Notice 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w w:val="92"/>
              </w:rPr>
              <w:t>Pattern of</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3"/>
              </w:rPr>
              <w:t>Potential to</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w w:val="99"/>
              </w:rPr>
              <w:t>Violations</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1"/>
              </w:rPr>
              <w:t>Have Pattern</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w w:val="97"/>
              </w:rPr>
              <w:t>Under</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7"/>
              </w:rPr>
              <w:t>Under</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7"/>
              </w:rPr>
              <w:t>Legal Actions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center"/>
              <w:ind w:left="18"/>
              <w:spacing w:after="0" w:line="133" w:lineRule="exact"/>
              <w:rPr>
                <w:sz w:val="20"/>
                <w:szCs w:val="20"/>
                <w:color w:val="auto"/>
              </w:rPr>
            </w:pPr>
            <w:r>
              <w:rPr>
                <w:rFonts w:ascii="Arial" w:cs="Arial" w:eastAsia="Arial" w:hAnsi="Arial"/>
                <w:sz w:val="12"/>
                <w:szCs w:val="12"/>
                <w:color w:val="auto"/>
                <w:w w:val="94"/>
              </w:rPr>
              <w:t>Section 104(d)</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color w:val="auto"/>
              </w:rPr>
              <w:t>Mining</w:t>
            </w: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w w:val="89"/>
              </w:rPr>
              <w:t>Section</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4"/>
              </w:rPr>
              <w:t>Section</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89"/>
              </w:rPr>
              <w:t>Pending as of</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7"/>
              </w:rPr>
              <w:t>Legal Actions</w:t>
            </w:r>
          </w:p>
        </w:tc>
        <w:tc>
          <w:tcPr>
            <w:tcW w:w="780" w:type="dxa"/>
            <w:vAlign w:val="bottom"/>
          </w:tcPr>
          <w:p>
            <w:pPr>
              <w:jc w:val="center"/>
              <w:spacing w:after="0" w:line="133" w:lineRule="exact"/>
              <w:rPr>
                <w:sz w:val="20"/>
                <w:szCs w:val="20"/>
                <w:color w:val="auto"/>
              </w:rPr>
            </w:pPr>
            <w:r>
              <w:rPr>
                <w:rFonts w:ascii="Arial" w:cs="Arial" w:eastAsia="Arial" w:hAnsi="Arial"/>
                <w:sz w:val="12"/>
                <w:szCs w:val="12"/>
                <w:color w:val="auto"/>
                <w:w w:val="97"/>
              </w:rPr>
              <w:t>Legal Actions</w:t>
            </w:r>
          </w:p>
        </w:tc>
        <w:tc>
          <w:tcPr>
            <w:tcW w:w="0" w:type="dxa"/>
            <w:vAlign w:val="bottom"/>
          </w:tcPr>
          <w:p>
            <w:pPr>
              <w:spacing w:after="0"/>
              <w:rPr>
                <w:sz w:val="1"/>
                <w:szCs w:val="1"/>
                <w:color w:val="auto"/>
              </w:rPr>
            </w:pPr>
          </w:p>
        </w:tc>
      </w:tr>
      <w:tr>
        <w:trPr>
          <w:trHeight w:val="133"/>
        </w:trPr>
        <w:tc>
          <w:tcPr>
            <w:tcW w:w="1900" w:type="dxa"/>
            <w:vAlign w:val="bottom"/>
          </w:tcPr>
          <w:p>
            <w:pPr>
              <w:spacing w:after="0" w:line="133" w:lineRule="exact"/>
              <w:rPr>
                <w:sz w:val="20"/>
                <w:szCs w:val="20"/>
                <w:color w:val="auto"/>
              </w:rPr>
            </w:pPr>
            <w:r>
              <w:rPr>
                <w:rFonts w:ascii="Arial" w:cs="Arial" w:eastAsia="Arial" w:hAnsi="Arial"/>
                <w:sz w:val="12"/>
                <w:szCs w:val="12"/>
                <w:color w:val="auto"/>
              </w:rPr>
              <w:t>Mine or Operating Name/MSHA</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4"/>
              </w:rPr>
              <w:t>Section 104</w:t>
            </w:r>
          </w:p>
        </w:tc>
        <w:tc>
          <w:tcPr>
            <w:tcW w:w="3020" w:type="dxa"/>
            <w:vAlign w:val="bottom"/>
            <w:gridSpan w:val="4"/>
          </w:tcPr>
          <w:p>
            <w:pPr>
              <w:ind w:left="20"/>
              <w:spacing w:after="0" w:line="133" w:lineRule="exact"/>
              <w:rPr>
                <w:sz w:val="20"/>
                <w:szCs w:val="20"/>
                <w:color w:val="auto"/>
              </w:rPr>
            </w:pPr>
            <w:r>
              <w:rPr>
                <w:rFonts w:ascii="Arial" w:cs="Arial" w:eastAsia="Arial" w:hAnsi="Arial"/>
                <w:sz w:val="12"/>
                <w:szCs w:val="12"/>
                <w:color w:val="auto"/>
                <w:w w:val="94"/>
              </w:rPr>
              <w:t>Section 104(b) Citations and Section 110(b) Section 107(a)</w:t>
            </w:r>
          </w:p>
        </w:tc>
        <w:tc>
          <w:tcPr>
            <w:tcW w:w="980" w:type="dxa"/>
            <w:vAlign w:val="bottom"/>
          </w:tcPr>
          <w:p>
            <w:pPr>
              <w:jc w:val="center"/>
              <w:spacing w:after="0" w:line="133" w:lineRule="exact"/>
              <w:rPr>
                <w:sz w:val="20"/>
                <w:szCs w:val="20"/>
                <w:color w:val="auto"/>
              </w:rPr>
            </w:pPr>
            <w:r>
              <w:rPr>
                <w:rFonts w:ascii="Arial" w:cs="Arial" w:eastAsia="Arial" w:hAnsi="Arial"/>
                <w:sz w:val="12"/>
                <w:szCs w:val="12"/>
                <w:color w:val="auto"/>
                <w:w w:val="93"/>
              </w:rPr>
              <w:t>Proposed MSHA</w:t>
            </w:r>
          </w:p>
        </w:tc>
        <w:tc>
          <w:tcPr>
            <w:tcW w:w="640" w:type="dxa"/>
            <w:vAlign w:val="bottom"/>
          </w:tcPr>
          <w:p>
            <w:pPr>
              <w:jc w:val="center"/>
              <w:spacing w:after="0" w:line="133" w:lineRule="exact"/>
              <w:rPr>
                <w:sz w:val="20"/>
                <w:szCs w:val="20"/>
                <w:color w:val="auto"/>
              </w:rPr>
            </w:pPr>
            <w:r>
              <w:rPr>
                <w:rFonts w:ascii="Arial" w:cs="Arial" w:eastAsia="Arial" w:hAnsi="Arial"/>
                <w:sz w:val="12"/>
                <w:szCs w:val="12"/>
                <w:color w:val="auto"/>
                <w:w w:val="91"/>
              </w:rPr>
              <w:t>Related</w:t>
            </w:r>
          </w:p>
        </w:tc>
        <w:tc>
          <w:tcPr>
            <w:tcW w:w="660" w:type="dxa"/>
            <w:vAlign w:val="bottom"/>
          </w:tcPr>
          <w:p>
            <w:pPr>
              <w:jc w:val="center"/>
              <w:spacing w:after="0" w:line="133" w:lineRule="exact"/>
              <w:rPr>
                <w:sz w:val="20"/>
                <w:szCs w:val="20"/>
                <w:color w:val="auto"/>
              </w:rPr>
            </w:pPr>
            <w:r>
              <w:rPr>
                <w:rFonts w:ascii="Arial" w:cs="Arial" w:eastAsia="Arial" w:hAnsi="Arial"/>
                <w:sz w:val="12"/>
                <w:szCs w:val="12"/>
                <w:color w:val="auto"/>
                <w:w w:val="92"/>
              </w:rPr>
              <w:t>104(e)</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2"/>
              </w:rPr>
              <w:t>104(e)</w:t>
            </w:r>
          </w:p>
        </w:tc>
        <w:tc>
          <w:tcPr>
            <w:tcW w:w="720" w:type="dxa"/>
            <w:vAlign w:val="bottom"/>
          </w:tcPr>
          <w:p>
            <w:pPr>
              <w:jc w:val="center"/>
              <w:spacing w:after="0" w:line="133" w:lineRule="exact"/>
              <w:rPr>
                <w:sz w:val="20"/>
                <w:szCs w:val="20"/>
                <w:color w:val="auto"/>
              </w:rPr>
            </w:pPr>
            <w:r>
              <w:rPr>
                <w:rFonts w:ascii="Arial" w:cs="Arial" w:eastAsia="Arial" w:hAnsi="Arial"/>
                <w:sz w:val="12"/>
                <w:szCs w:val="12"/>
                <w:color w:val="auto"/>
                <w:w w:val="95"/>
              </w:rPr>
              <w:t>Last Day of</w:t>
            </w:r>
          </w:p>
        </w:tc>
        <w:tc>
          <w:tcPr>
            <w:tcW w:w="840" w:type="dxa"/>
            <w:vAlign w:val="bottom"/>
          </w:tcPr>
          <w:p>
            <w:pPr>
              <w:jc w:val="center"/>
              <w:spacing w:after="0" w:line="133" w:lineRule="exact"/>
              <w:rPr>
                <w:sz w:val="20"/>
                <w:szCs w:val="20"/>
                <w:color w:val="auto"/>
              </w:rPr>
            </w:pPr>
            <w:r>
              <w:rPr>
                <w:rFonts w:ascii="Arial" w:cs="Arial" w:eastAsia="Arial" w:hAnsi="Arial"/>
                <w:sz w:val="12"/>
                <w:szCs w:val="12"/>
                <w:color w:val="auto"/>
                <w:w w:val="99"/>
              </w:rPr>
              <w:t>Initiated During</w:t>
            </w:r>
          </w:p>
        </w:tc>
        <w:tc>
          <w:tcPr>
            <w:tcW w:w="780" w:type="dxa"/>
            <w:vAlign w:val="bottom"/>
          </w:tcPr>
          <w:p>
            <w:pPr>
              <w:jc w:val="center"/>
              <w:spacing w:after="0" w:line="133" w:lineRule="exact"/>
              <w:rPr>
                <w:sz w:val="20"/>
                <w:szCs w:val="20"/>
                <w:color w:val="auto"/>
              </w:rPr>
            </w:pPr>
            <w:r>
              <w:rPr>
                <w:rFonts w:ascii="Arial" w:cs="Arial" w:eastAsia="Arial" w:hAnsi="Arial"/>
                <w:sz w:val="12"/>
                <w:szCs w:val="12"/>
                <w:color w:val="auto"/>
                <w:w w:val="91"/>
              </w:rPr>
              <w:t>Resolved</w:t>
            </w:r>
          </w:p>
        </w:tc>
        <w:tc>
          <w:tcPr>
            <w:tcW w:w="0" w:type="dxa"/>
            <w:vAlign w:val="bottom"/>
          </w:tcPr>
          <w:p>
            <w:pPr>
              <w:spacing w:after="0"/>
              <w:rPr>
                <w:sz w:val="1"/>
                <w:szCs w:val="1"/>
                <w:color w:val="auto"/>
              </w:rPr>
            </w:pPr>
          </w:p>
        </w:tc>
      </w:tr>
      <w:tr>
        <w:trPr>
          <w:trHeight w:val="147"/>
        </w:trPr>
        <w:tc>
          <w:tcPr>
            <w:tcW w:w="1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Identification Number</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S&amp;S Citations</w:t>
            </w:r>
          </w:p>
        </w:tc>
        <w:tc>
          <w:tcPr>
            <w:tcW w:w="660" w:type="dxa"/>
            <w:vAlign w:val="bottom"/>
            <w:tcBorders>
              <w:bottom w:val="single" w:sz="8" w:color="auto"/>
            </w:tcBorders>
          </w:tcPr>
          <w:p>
            <w:pPr>
              <w:jc w:val="center"/>
              <w:ind w:left="58"/>
              <w:spacing w:after="0"/>
              <w:rPr>
                <w:sz w:val="20"/>
                <w:szCs w:val="20"/>
                <w:color w:val="auto"/>
              </w:rPr>
            </w:pPr>
            <w:r>
              <w:rPr>
                <w:rFonts w:ascii="Arial" w:cs="Arial" w:eastAsia="Arial" w:hAnsi="Arial"/>
                <w:sz w:val="12"/>
                <w:szCs w:val="12"/>
                <w:color w:val="auto"/>
                <w:w w:val="92"/>
              </w:rPr>
              <w:t>Orders</w:t>
            </w:r>
          </w:p>
        </w:tc>
        <w:tc>
          <w:tcPr>
            <w:tcW w:w="86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color w:val="auto"/>
                <w:w w:val="92"/>
              </w:rPr>
              <w:t>Orders</w:t>
            </w: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2"/>
                <w:szCs w:val="12"/>
                <w:color w:val="auto"/>
                <w:w w:val="97"/>
              </w:rPr>
              <w:t>(2) Violations</w:t>
            </w:r>
          </w:p>
        </w:tc>
        <w:tc>
          <w:tcPr>
            <w:tcW w:w="680" w:type="dxa"/>
            <w:vAlign w:val="bottom"/>
            <w:tcBorders>
              <w:bottom w:val="single" w:sz="8" w:color="auto"/>
            </w:tcBorders>
          </w:tcPr>
          <w:p>
            <w:pPr>
              <w:jc w:val="center"/>
              <w:ind w:right="38"/>
              <w:spacing w:after="0"/>
              <w:rPr>
                <w:sz w:val="20"/>
                <w:szCs w:val="20"/>
                <w:color w:val="auto"/>
              </w:rPr>
            </w:pPr>
            <w:r>
              <w:rPr>
                <w:rFonts w:ascii="Arial" w:cs="Arial" w:eastAsia="Arial" w:hAnsi="Arial"/>
                <w:sz w:val="12"/>
                <w:szCs w:val="12"/>
                <w:color w:val="auto"/>
                <w:w w:val="92"/>
              </w:rPr>
              <w:t>Orders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Assessments</w:t>
            </w:r>
            <w:r>
              <w:rPr>
                <w:rFonts w:ascii="Arial" w:cs="Arial" w:eastAsia="Arial" w:hAnsi="Arial"/>
                <w:sz w:val="10"/>
                <w:szCs w:val="10"/>
                <w:color w:val="auto"/>
                <w:w w:val="90"/>
              </w:rPr>
              <w:t>(1)</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Fatalities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Period</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During Period</w:t>
            </w:r>
          </w:p>
        </w:tc>
        <w:tc>
          <w:tcPr>
            <w:tcW w:w="0" w:type="dxa"/>
            <w:vAlign w:val="bottom"/>
          </w:tcPr>
          <w:p>
            <w:pPr>
              <w:spacing w:after="0"/>
              <w:rPr>
                <w:sz w:val="1"/>
                <w:szCs w:val="1"/>
                <w:color w:val="auto"/>
              </w:rPr>
            </w:pPr>
          </w:p>
        </w:tc>
      </w:tr>
      <w:tr>
        <w:trPr>
          <w:trHeight w:val="268"/>
        </w:trPr>
        <w:tc>
          <w:tcPr>
            <w:tcW w:w="1900" w:type="dxa"/>
            <w:vAlign w:val="bottom"/>
          </w:tcPr>
          <w:p>
            <w:pPr>
              <w:spacing w:after="0"/>
              <w:rPr>
                <w:sz w:val="20"/>
                <w:szCs w:val="20"/>
                <w:color w:val="auto"/>
              </w:rPr>
            </w:pPr>
            <w:r>
              <w:rPr>
                <w:rFonts w:ascii="Arial" w:cs="Arial" w:eastAsia="Arial" w:hAnsi="Arial"/>
                <w:sz w:val="12"/>
                <w:szCs w:val="12"/>
                <w:color w:val="auto"/>
              </w:rPr>
              <w:t>Amelia Barite Plant/1600825</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0"/>
                <w:szCs w:val="20"/>
                <w:color w:val="auto"/>
              </w:rPr>
            </w:pPr>
            <w:r>
              <w:rPr>
                <w:rFonts w:ascii="Arial" w:cs="Arial" w:eastAsia="Arial" w:hAnsi="Arial"/>
                <w:sz w:val="12"/>
                <w:szCs w:val="12"/>
                <w:color w:val="auto"/>
              </w:rPr>
              <w:t>Battle Mountain Grinding</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auto"/>
                <w:w w:val="89"/>
              </w:rPr>
              <w:t>$348</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Plant/2600828</w:t>
            </w: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0"/>
                <w:szCs w:val="20"/>
                <w:color w:val="auto"/>
              </w:rPr>
            </w:pPr>
            <w:r>
              <w:rPr>
                <w:rFonts w:ascii="Arial" w:cs="Arial" w:eastAsia="Arial" w:hAnsi="Arial"/>
                <w:sz w:val="12"/>
                <w:szCs w:val="12"/>
                <w:color w:val="auto"/>
              </w:rPr>
              <w:t>Galveston GBT Barite Grinding</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Plant/4104675</w:t>
            </w: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1900" w:type="dxa"/>
            <w:vAlign w:val="bottom"/>
          </w:tcPr>
          <w:p>
            <w:pPr>
              <w:spacing w:after="0"/>
              <w:rPr>
                <w:sz w:val="20"/>
                <w:szCs w:val="20"/>
                <w:color w:val="auto"/>
              </w:rPr>
            </w:pPr>
            <w:r>
              <w:rPr>
                <w:rFonts w:ascii="Arial" w:cs="Arial" w:eastAsia="Arial" w:hAnsi="Arial"/>
                <w:sz w:val="12"/>
                <w:szCs w:val="12"/>
                <w:color w:val="auto"/>
                <w:w w:val="99"/>
              </w:rPr>
              <w:t>Greybull Milling Operation/4800602</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spacing w:after="0"/>
              <w:rPr>
                <w:sz w:val="20"/>
                <w:szCs w:val="20"/>
                <w:color w:val="auto"/>
              </w:rPr>
            </w:pPr>
            <w:r>
              <w:rPr>
                <w:rFonts w:ascii="Arial" w:cs="Arial" w:eastAsia="Arial" w:hAnsi="Arial"/>
                <w:sz w:val="12"/>
                <w:szCs w:val="12"/>
                <w:color w:val="auto"/>
              </w:rPr>
              <w:t>$0*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399"/>
        </w:trPr>
        <w:tc>
          <w:tcPr>
            <w:tcW w:w="1900" w:type="dxa"/>
            <w:vAlign w:val="bottom"/>
          </w:tcPr>
          <w:p>
            <w:pPr>
              <w:spacing w:after="0"/>
              <w:rPr>
                <w:sz w:val="20"/>
                <w:szCs w:val="20"/>
                <w:color w:val="auto"/>
              </w:rPr>
            </w:pPr>
            <w:r>
              <w:rPr>
                <w:rFonts w:ascii="Arial" w:cs="Arial" w:eastAsia="Arial" w:hAnsi="Arial"/>
                <w:sz w:val="12"/>
                <w:szCs w:val="12"/>
                <w:color w:val="auto"/>
                <w:w w:val="99"/>
              </w:rPr>
              <w:t>Greybull Mining Operation/4800603</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346"/>
        </w:trPr>
        <w:tc>
          <w:tcPr>
            <w:tcW w:w="1900" w:type="dxa"/>
            <w:vAlign w:val="bottom"/>
          </w:tcPr>
          <w:p>
            <w:pPr>
              <w:spacing w:after="0"/>
              <w:rPr>
                <w:sz w:val="20"/>
                <w:szCs w:val="20"/>
                <w:color w:val="auto"/>
              </w:rPr>
            </w:pPr>
            <w:r>
              <w:rPr>
                <w:rFonts w:ascii="Arial" w:cs="Arial" w:eastAsia="Arial" w:hAnsi="Arial"/>
                <w:sz w:val="12"/>
                <w:szCs w:val="12"/>
                <w:color w:val="auto"/>
              </w:rPr>
              <w:t>Greystone Mine/2600411</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242"/>
        </w:trPr>
        <w:tc>
          <w:tcPr>
            <w:tcW w:w="1900" w:type="dxa"/>
            <w:vAlign w:val="bottom"/>
          </w:tcPr>
          <w:p>
            <w:pPr>
              <w:spacing w:after="0"/>
              <w:rPr>
                <w:sz w:val="20"/>
                <w:szCs w:val="20"/>
                <w:color w:val="auto"/>
              </w:rPr>
            </w:pPr>
            <w:r>
              <w:rPr>
                <w:rFonts w:ascii="Arial" w:cs="Arial" w:eastAsia="Arial" w:hAnsi="Arial"/>
                <w:sz w:val="12"/>
                <w:szCs w:val="12"/>
                <w:color w:val="auto"/>
              </w:rPr>
              <w:t>Mountain Springs Beneficiation</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vMerge w:val="restart"/>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vMerge w:val="restart"/>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vMerge w:val="restart"/>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12"/>
                <w:szCs w:val="12"/>
                <w:color w:val="auto"/>
              </w:rPr>
              <w:t>Plant/2601390</w:t>
            </w: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2"/>
        </w:trPr>
        <w:tc>
          <w:tcPr>
            <w:tcW w:w="1900" w:type="dxa"/>
            <w:vAlign w:val="bottom"/>
          </w:tcPr>
          <w:p>
            <w:pPr>
              <w:spacing w:after="0"/>
              <w:rPr>
                <w:sz w:val="20"/>
                <w:szCs w:val="20"/>
                <w:color w:val="auto"/>
              </w:rPr>
            </w:pPr>
            <w:r>
              <w:rPr>
                <w:rFonts w:ascii="Arial" w:cs="Arial" w:eastAsia="Arial" w:hAnsi="Arial"/>
                <w:sz w:val="12"/>
                <w:szCs w:val="12"/>
                <w:color w:val="auto"/>
              </w:rPr>
              <w:t>Wisconsin Proppants/4703742</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660" w:type="dxa"/>
            <w:vAlign w:val="bottom"/>
          </w:tcPr>
          <w:p>
            <w:pPr>
              <w:jc w:val="center"/>
              <w:ind w:left="58"/>
              <w:spacing w:after="0"/>
              <w:rPr>
                <w:sz w:val="20"/>
                <w:szCs w:val="20"/>
                <w:color w:val="auto"/>
              </w:rPr>
            </w:pPr>
            <w:r>
              <w:rPr>
                <w:rFonts w:ascii="Arial" w:cs="Arial" w:eastAsia="Arial" w:hAnsi="Arial"/>
                <w:sz w:val="12"/>
                <w:szCs w:val="12"/>
                <w:color w:val="auto"/>
                <w:w w:val="89"/>
              </w:rPr>
              <w:t>0</w:t>
            </w:r>
          </w:p>
        </w:tc>
        <w:tc>
          <w:tcPr>
            <w:tcW w:w="860" w:type="dxa"/>
            <w:vAlign w:val="bottom"/>
          </w:tcPr>
          <w:p>
            <w:pPr>
              <w:jc w:val="center"/>
              <w:ind w:left="18"/>
              <w:spacing w:after="0"/>
              <w:rPr>
                <w:sz w:val="20"/>
                <w:szCs w:val="20"/>
                <w:color w:val="auto"/>
              </w:rPr>
            </w:pPr>
            <w:r>
              <w:rPr>
                <w:rFonts w:ascii="Arial" w:cs="Arial" w:eastAsia="Arial" w:hAnsi="Arial"/>
                <w:sz w:val="12"/>
                <w:szCs w:val="12"/>
                <w:color w:val="auto"/>
                <w:w w:val="89"/>
              </w:rPr>
              <w:t>0</w:t>
            </w:r>
          </w:p>
        </w:tc>
        <w:tc>
          <w:tcPr>
            <w:tcW w:w="820" w:type="dxa"/>
            <w:vAlign w:val="bottom"/>
          </w:tcPr>
          <w:p>
            <w:pPr>
              <w:jc w:val="center"/>
              <w:ind w:right="58"/>
              <w:spacing w:after="0"/>
              <w:rPr>
                <w:sz w:val="20"/>
                <w:szCs w:val="20"/>
                <w:color w:val="auto"/>
              </w:rPr>
            </w:pPr>
            <w:r>
              <w:rPr>
                <w:rFonts w:ascii="Arial" w:cs="Arial" w:eastAsia="Arial" w:hAnsi="Arial"/>
                <w:sz w:val="12"/>
                <w:szCs w:val="12"/>
                <w:color w:val="auto"/>
                <w:w w:val="89"/>
              </w:rPr>
              <w:t>0</w:t>
            </w:r>
          </w:p>
        </w:tc>
        <w:tc>
          <w:tcPr>
            <w:tcW w:w="680" w:type="dxa"/>
            <w:vAlign w:val="bottom"/>
          </w:tcPr>
          <w:p>
            <w:pPr>
              <w:jc w:val="center"/>
              <w:ind w:right="38"/>
              <w:spacing w:after="0"/>
              <w:rPr>
                <w:sz w:val="20"/>
                <w:szCs w:val="20"/>
                <w:color w:val="auto"/>
              </w:rPr>
            </w:pPr>
            <w:r>
              <w:rPr>
                <w:rFonts w:ascii="Arial" w:cs="Arial" w:eastAsia="Arial" w:hAnsi="Arial"/>
                <w:sz w:val="12"/>
                <w:szCs w:val="12"/>
                <w:color w:val="auto"/>
                <w:w w:val="89"/>
              </w:rPr>
              <w:t>0</w:t>
            </w:r>
          </w:p>
        </w:tc>
        <w:tc>
          <w:tcPr>
            <w:tcW w:w="980" w:type="dxa"/>
            <w:vAlign w:val="bottom"/>
          </w:tcPr>
          <w:p>
            <w:pPr>
              <w:jc w:val="center"/>
              <w:spacing w:after="0"/>
              <w:rPr>
                <w:sz w:val="20"/>
                <w:szCs w:val="20"/>
                <w:color w:val="auto"/>
              </w:rPr>
            </w:pPr>
            <w:r>
              <w:rPr>
                <w:rFonts w:ascii="Arial" w:cs="Arial" w:eastAsia="Arial" w:hAnsi="Arial"/>
                <w:sz w:val="12"/>
                <w:szCs w:val="12"/>
                <w:color w:val="auto"/>
              </w:rPr>
              <w:t>$508*</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66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91"/>
              </w:rPr>
              <w:t>N</w:t>
            </w: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4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78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940" w:right="120" w:hanging="376"/>
        <w:spacing w:after="0" w:line="329" w:lineRule="auto"/>
        <w:tabs>
          <w:tab w:leader="none" w:pos="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June 30, 2017,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June 30, 2017 MSHA had not yet proposed an assessment for two citations, one of which is an S&amp;S citation, at Greybull Milling Operation/4800602.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lvl w:ilvl="1">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3"/>
    </w:lvl>
  </w:abstractNum>
  <w:abstractNum w:abstractNumId="8">
    <w:nsid w:val="721DA317"/>
    <w:multiLevelType w:val="hybridMultilevel"/>
    <w:lvl w:ilvl="0">
      <w:lvlJc w:val="left"/>
      <w:lvlText w:val="%1."/>
      <w:numFmt w:val="decimal"/>
      <w:start w:val="4"/>
    </w:lvl>
  </w:abstractNum>
  <w:abstractNum w:abstractNumId="9">
    <w:nsid w:val="2443A858"/>
    <w:multiLevelType w:val="hybridMultilevel"/>
    <w:lvl w:ilvl="0">
      <w:lvlJc w:val="left"/>
      <w:lvlText w:val="%1."/>
      <w:numFmt w:val="decimal"/>
      <w:start w:val="6"/>
    </w:lvl>
  </w:abstractNum>
  <w:abstractNum w:abstractNumId="10">
    <w:nsid w:val="2D1D5AE9"/>
    <w:multiLevelType w:val="hybridMultilevel"/>
    <w:lvl w:ilvl="0">
      <w:lvlJc w:val="left"/>
      <w:lvlText w:val="%1."/>
      <w:numFmt w:val="decimal"/>
      <w:start w:val="7"/>
    </w:lvl>
  </w:abstractNum>
  <w:abstractNum w:abstractNumId="11">
    <w:nsid w:val="6763845E"/>
    <w:multiLevelType w:val="hybridMultilevel"/>
    <w:lvl w:ilvl="0">
      <w:lvlJc w:val="left"/>
      <w:lvlText w:val="%1."/>
      <w:numFmt w:val="decimal"/>
      <w:start w:val="8"/>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9"/>
    </w:lvl>
  </w:abstractNum>
  <w:abstractNum w:abstractNumId="15">
    <w:nsid w:val="4353D0CD"/>
    <w:multiLevelType w:val="hybridMultilevel"/>
    <w:lvl w:ilvl="0">
      <w:lvlJc w:val="left"/>
      <w:lvlText w:val="%1."/>
      <w:numFmt w:val="decimal"/>
      <w:start w:val="10"/>
    </w:lvl>
  </w:abstractNum>
  <w:abstractNum w:abstractNumId="16">
    <w:nsid w:val="B03E0C6"/>
    <w:multiLevelType w:val="hybridMultilevel"/>
    <w:lvl w:ilvl="0">
      <w:lvlJc w:val="left"/>
      <w:lvlText w:val="%1."/>
      <w:numFmt w:val="decimal"/>
      <w:start w:val="11"/>
    </w:lvl>
  </w:abstractNum>
  <w:abstractNum w:abstractNumId="17">
    <w:nsid w:val="189A769B"/>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8">
    <w:nsid w:val="54E49EB4"/>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9">
    <w:nsid w:val="71F32454"/>
    <w:multiLevelType w:val="hybridMultilevel"/>
    <w:lvl w:ilvl="0">
      <w:lvlJc w:val="left"/>
      <w:lvlText w:val="%1."/>
      <w:numFmt w:val="decimal"/>
      <w:start w:val="13"/>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22">
    <w:nsid w:val="2901D82"/>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lvl w:ilvl="1">
      <w:lvlJc w:val="left"/>
      <w:lvlText w:val="%2)"/>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2019-12-29T05:34:33Z</dcterms:created>
  <dcterms:modified xsi:type="dcterms:W3CDTF">2019-12-29T05:34:33Z</dcterms:modified>
</cp:coreProperties>
</file>