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(Amendment No. 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LIBERTY ENERGY INC.</w:t>
      </w:r>
    </w:p>
    <w:p>
      <w:pPr>
        <w:spacing w:after="0" w:line="4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Class A Common Stock, $0.01 par value per share</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53115L 104</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Dianne Ralston</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Chief Legal Officer and Secretary</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5599 San Felipe, 17th Floor</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Houston, Texas 77056</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(713) 513-2000</w:t>
      </w:r>
    </w:p>
    <w:p>
      <w:pPr>
        <w:spacing w:after="0" w:line="20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June 8, 2022</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304800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right="10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checking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174625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20"/>
          </w:cols>
          <w:pgMar w:left="440" w:top="376" w:right="539" w:bottom="1440" w:gutter="0" w:footer="0" w:header="0"/>
        </w:sectPr>
      </w:pPr>
    </w:p>
    <w:bookmarkStart w:id="1" w:name="page2"/>
    <w:bookmarkEnd w:id="1"/>
    <w:p>
      <w:pPr>
        <w:ind w:left="244"/>
        <w:spacing w:after="0"/>
        <w:tabs>
          <w:tab w:leader="none" w:pos="5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w:t>
      </w:r>
      <w:r>
        <w:rPr>
          <w:sz w:val="20"/>
          <w:szCs w:val="20"/>
          <w:color w:val="auto"/>
        </w:rPr>
        <w:tab/>
      </w:r>
      <w:r>
        <w:rPr>
          <w:rFonts w:ascii="Times New Roman" w:cs="Times New Roman" w:eastAsia="Times New Roman" w:hAnsi="Times New Roman"/>
          <w:sz w:val="17"/>
          <w:szCs w:val="17"/>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3347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6334760"/>
                    </a:xfrm>
                    <a:prstGeom prst="rect">
                      <a:avLst/>
                    </a:prstGeom>
                    <a:noFill/>
                  </pic:spPr>
                </pic:pic>
              </a:graphicData>
            </a:graphic>
          </wp:anchor>
        </w:drawing>
      </w:r>
    </w:p>
    <w:p>
      <w:pPr>
        <w:spacing w:after="0" w:line="223" w:lineRule="exact"/>
        <w:rPr>
          <w:sz w:val="20"/>
          <w:szCs w:val="20"/>
          <w:color w:val="auto"/>
        </w:rPr>
      </w:pPr>
    </w:p>
    <w:tbl>
      <w:tblPr>
        <w:tblLayout w:type="fixed"/>
        <w:tblInd w:w="4" w:type="dxa"/>
        <w:tblCellMar>
          <w:top w:w="0" w:type="dxa"/>
          <w:left w:w="0" w:type="dxa"/>
          <w:bottom w:w="0" w:type="dxa"/>
          <w:right w:w="0" w:type="dxa"/>
        </w:tblCellMar>
      </w:tblPr>
      <w:tr>
        <w:trPr>
          <w:trHeight w:val="283"/>
        </w:trPr>
        <w:tc>
          <w:tcPr>
            <w:tcW w:w="400" w:type="dxa"/>
            <w:vAlign w:val="bottom"/>
            <w:tcBorders>
              <w:bottom w:val="single" w:sz="8" w:color="auto"/>
            </w:tcBorders>
          </w:tcPr>
          <w:p>
            <w:pPr>
              <w:spacing w:after="0"/>
              <w:rPr>
                <w:sz w:val="24"/>
                <w:szCs w:val="24"/>
                <w:color w:val="auto"/>
              </w:rPr>
            </w:pPr>
          </w:p>
        </w:tc>
        <w:tc>
          <w:tcPr>
            <w:tcW w:w="1050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22"/>
                <w:szCs w:val="22"/>
                <w:color w:val="auto"/>
              </w:rPr>
              <w:t>Schlumberger N.V. (Schlumberger Limited)</w:t>
            </w:r>
          </w:p>
        </w:tc>
        <w:tc>
          <w:tcPr>
            <w:tcW w:w="0" w:type="dxa"/>
            <w:vAlign w:val="bottom"/>
          </w:tcPr>
          <w:p>
            <w:pPr>
              <w:spacing w:after="0"/>
              <w:rPr>
                <w:sz w:val="1"/>
                <w:szCs w:val="1"/>
                <w:color w:val="auto"/>
              </w:rPr>
            </w:pPr>
          </w:p>
        </w:tc>
      </w:tr>
      <w:tr>
        <w:trPr>
          <w:trHeight w:val="229"/>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5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454"/>
        </w:trPr>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2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color w:val="auto"/>
                <w:w w:val="95"/>
              </w:rPr>
              <w:t>(b)</w:t>
            </w:r>
          </w:p>
        </w:tc>
        <w:tc>
          <w:tcPr>
            <w:tcW w:w="934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5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4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20" w:type="dxa"/>
            <w:vAlign w:val="bottom"/>
            <w:tcBorders>
              <w:bottom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5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Source of Funds</w:t>
            </w: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AF</w:t>
            </w: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5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95"/>
        </w:trPr>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5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tcBorders>
          </w:tcPr>
          <w:p>
            <w:pPr>
              <w:spacing w:after="0"/>
              <w:rPr>
                <w:sz w:val="24"/>
                <w:szCs w:val="24"/>
                <w:color w:val="auto"/>
              </w:rPr>
            </w:pPr>
          </w:p>
        </w:tc>
        <w:tc>
          <w:tcPr>
            <w:tcW w:w="1050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22"/>
                <w:szCs w:val="22"/>
                <w:color w:val="auto"/>
              </w:rPr>
              <w:t>CURAÇAO</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6"/>
        </w:trPr>
        <w:tc>
          <w:tcPr>
            <w:tcW w:w="1040" w:type="dxa"/>
            <w:vAlign w:val="bottom"/>
            <w:tcBorders>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4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45"/>
        </w:trPr>
        <w:tc>
          <w:tcPr>
            <w:tcW w:w="1040" w:type="dxa"/>
            <w:vAlign w:val="bottom"/>
            <w:tcBorders>
              <w:right w:val="single" w:sz="8" w:color="auto"/>
            </w:tcBorders>
            <w:gridSpan w:val="2"/>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Shares</w:t>
            </w:r>
          </w:p>
        </w:tc>
        <w:tc>
          <w:tcPr>
            <w:tcW w:w="4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040" w:type="dxa"/>
            <w:vAlign w:val="bottom"/>
            <w:tcBorders>
              <w:right w:val="single" w:sz="8" w:color="auto"/>
            </w:tcBorders>
            <w:gridSpan w:val="2"/>
            <w:vMerge w:val="continue"/>
          </w:tcPr>
          <w:p>
            <w:pPr>
              <w:spacing w:after="0"/>
              <w:rPr>
                <w:sz w:val="13"/>
                <w:szCs w:val="13"/>
                <w:color w:val="auto"/>
              </w:rPr>
            </w:pPr>
          </w:p>
        </w:tc>
        <w:tc>
          <w:tcPr>
            <w:tcW w:w="440" w:type="dxa"/>
            <w:vAlign w:val="bottom"/>
            <w:tcBorders>
              <w:right w:val="single" w:sz="8" w:color="auto"/>
            </w:tcBorders>
          </w:tcPr>
          <w:p>
            <w:pPr>
              <w:jc w:val="right"/>
              <w:ind w:right="30"/>
              <w:spacing w:after="0" w:line="156" w:lineRule="exact"/>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3"/>
                <w:szCs w:val="13"/>
                <w:color w:val="auto"/>
              </w:rPr>
            </w:pPr>
          </w:p>
        </w:tc>
        <w:tc>
          <w:tcPr>
            <w:tcW w:w="93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1"/>
        </w:trPr>
        <w:tc>
          <w:tcPr>
            <w:tcW w:w="1040" w:type="dxa"/>
            <w:vAlign w:val="bottom"/>
            <w:tcBorders>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4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1040" w:type="dxa"/>
            <w:vAlign w:val="bottom"/>
            <w:tcBorders>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4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9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23,069,461</w:t>
            </w:r>
          </w:p>
        </w:tc>
        <w:tc>
          <w:tcPr>
            <w:tcW w:w="0" w:type="dxa"/>
            <w:vAlign w:val="bottom"/>
          </w:tcPr>
          <w:p>
            <w:pPr>
              <w:spacing w:after="0"/>
              <w:rPr>
                <w:sz w:val="1"/>
                <w:szCs w:val="1"/>
                <w:color w:val="auto"/>
              </w:rPr>
            </w:pPr>
          </w:p>
        </w:tc>
      </w:tr>
      <w:tr>
        <w:trPr>
          <w:trHeight w:val="68"/>
        </w:trPr>
        <w:tc>
          <w:tcPr>
            <w:tcW w:w="400" w:type="dxa"/>
            <w:vAlign w:val="bottom"/>
          </w:tcPr>
          <w:p>
            <w:pPr>
              <w:spacing w:after="0"/>
              <w:rPr>
                <w:sz w:val="5"/>
                <w:szCs w:val="5"/>
                <w:color w:val="auto"/>
              </w:rPr>
            </w:pPr>
          </w:p>
        </w:tc>
        <w:tc>
          <w:tcPr>
            <w:tcW w:w="640" w:type="dxa"/>
            <w:vAlign w:val="bottom"/>
            <w:tcBorders>
              <w:right w:val="single" w:sz="8" w:color="auto"/>
            </w:tcBorders>
            <w:vMerge w:val="restart"/>
          </w:tcPr>
          <w:p>
            <w:pPr>
              <w:jc w:val="center"/>
              <w:ind w:right="183"/>
              <w:spacing w:after="0" w:line="157" w:lineRule="exact"/>
              <w:rPr>
                <w:sz w:val="20"/>
                <w:szCs w:val="20"/>
                <w:color w:val="auto"/>
              </w:rPr>
            </w:pPr>
            <w:r>
              <w:rPr>
                <w:rFonts w:ascii="Times New Roman" w:cs="Times New Roman" w:eastAsia="Times New Roman" w:hAnsi="Times New Roman"/>
                <w:sz w:val="18"/>
                <w:szCs w:val="18"/>
                <w:color w:val="auto"/>
                <w:w w:val="99"/>
              </w:rPr>
              <w:t>Each</w:t>
            </w:r>
          </w:p>
        </w:tc>
        <w:tc>
          <w:tcPr>
            <w:tcW w:w="44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400" w:type="dxa"/>
            <w:vAlign w:val="bottom"/>
          </w:tcPr>
          <w:p>
            <w:pPr>
              <w:spacing w:after="0"/>
              <w:rPr>
                <w:sz w:val="6"/>
                <w:szCs w:val="6"/>
                <w:color w:val="auto"/>
              </w:rPr>
            </w:pPr>
          </w:p>
        </w:tc>
        <w:tc>
          <w:tcPr>
            <w:tcW w:w="640" w:type="dxa"/>
            <w:vAlign w:val="bottom"/>
            <w:tcBorders>
              <w:right w:val="single" w:sz="8" w:color="auto"/>
            </w:tcBorders>
            <w:vMerge w:val="continue"/>
          </w:tcPr>
          <w:p>
            <w:pPr>
              <w:spacing w:after="0"/>
              <w:rPr>
                <w:sz w:val="6"/>
                <w:szCs w:val="6"/>
                <w:color w:val="auto"/>
              </w:rPr>
            </w:pPr>
          </w:p>
        </w:tc>
        <w:tc>
          <w:tcPr>
            <w:tcW w:w="44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6"/>
                <w:szCs w:val="6"/>
                <w:color w:val="auto"/>
              </w:rPr>
            </w:pPr>
          </w:p>
        </w:tc>
        <w:tc>
          <w:tcPr>
            <w:tcW w:w="9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040" w:type="dxa"/>
            <w:vAlign w:val="bottom"/>
            <w:tcBorders>
              <w:right w:val="single" w:sz="8" w:color="auto"/>
            </w:tcBorders>
            <w:gridSpan w:val="2"/>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Reporting</w:t>
            </w:r>
          </w:p>
        </w:tc>
        <w:tc>
          <w:tcPr>
            <w:tcW w:w="44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9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040" w:type="dxa"/>
            <w:vAlign w:val="bottom"/>
            <w:tcBorders>
              <w:right w:val="single" w:sz="8" w:color="auto"/>
            </w:tcBorders>
            <w:gridSpan w:val="2"/>
            <w:vMerge w:val="continue"/>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40" w:type="dxa"/>
            <w:vAlign w:val="bottom"/>
            <w:tcBorders>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Person</w:t>
            </w:r>
          </w:p>
        </w:tc>
        <w:tc>
          <w:tcPr>
            <w:tcW w:w="4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3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07"/>
        </w:trPr>
        <w:tc>
          <w:tcPr>
            <w:tcW w:w="400" w:type="dxa"/>
            <w:vAlign w:val="bottom"/>
          </w:tcPr>
          <w:p>
            <w:pPr>
              <w:spacing w:after="0"/>
              <w:rPr>
                <w:sz w:val="18"/>
                <w:szCs w:val="18"/>
                <w:color w:val="auto"/>
              </w:rPr>
            </w:pPr>
          </w:p>
        </w:tc>
        <w:tc>
          <w:tcPr>
            <w:tcW w:w="640" w:type="dxa"/>
            <w:vAlign w:val="bottom"/>
            <w:tcBorders>
              <w:right w:val="single" w:sz="8" w:color="auto"/>
            </w:tcBorders>
          </w:tcPr>
          <w:p>
            <w:pPr>
              <w:jc w:val="center"/>
              <w:ind w:right="183"/>
              <w:spacing w:after="0"/>
              <w:rPr>
                <w:sz w:val="20"/>
                <w:szCs w:val="20"/>
                <w:color w:val="auto"/>
              </w:rPr>
            </w:pPr>
            <w:r>
              <w:rPr>
                <w:rFonts w:ascii="Times New Roman" w:cs="Times New Roman" w:eastAsia="Times New Roman" w:hAnsi="Times New Roman"/>
                <w:sz w:val="18"/>
                <w:szCs w:val="18"/>
                <w:color w:val="auto"/>
                <w:w w:val="99"/>
              </w:rPr>
              <w:t>with</w:t>
            </w:r>
          </w:p>
        </w:tc>
        <w:tc>
          <w:tcPr>
            <w:tcW w:w="4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23,069,461</w:t>
            </w:r>
          </w:p>
        </w:tc>
        <w:tc>
          <w:tcPr>
            <w:tcW w:w="0" w:type="dxa"/>
            <w:vAlign w:val="bottom"/>
          </w:tcPr>
          <w:p>
            <w:pPr>
              <w:spacing w:after="0"/>
              <w:rPr>
                <w:sz w:val="1"/>
                <w:szCs w:val="1"/>
                <w:color w:val="auto"/>
              </w:rPr>
            </w:pPr>
          </w:p>
        </w:tc>
      </w:tr>
      <w:tr>
        <w:trPr>
          <w:trHeight w:val="229"/>
        </w:trPr>
        <w:tc>
          <w:tcPr>
            <w:tcW w:w="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5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w w:val="96"/>
              </w:rPr>
              <w:t>23,069,461</w:t>
            </w:r>
          </w:p>
        </w:tc>
        <w:tc>
          <w:tcPr>
            <w:tcW w:w="8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5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95"/>
        </w:trPr>
        <w:tc>
          <w:tcPr>
            <w:tcW w:w="40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5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12.3%*</w:t>
            </w:r>
          </w:p>
        </w:tc>
        <w:tc>
          <w:tcPr>
            <w:tcW w:w="8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5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HC</w:t>
            </w: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24" w:hanging="224"/>
        <w:spacing w:after="0" w:line="282" w:lineRule="auto"/>
        <w:tabs>
          <w:tab w:leader="none" w:pos="2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186,847,433 shares of Class A Common Stock outstanding as of April 20, 2022, as reported in the Issuer’s Quarterly Report on Form 10-Q (“</w:t>
      </w:r>
      <w:r>
        <w:rPr>
          <w:rFonts w:ascii="Times New Roman" w:cs="Times New Roman" w:eastAsia="Times New Roman" w:hAnsi="Times New Roman"/>
          <w:sz w:val="18"/>
          <w:szCs w:val="18"/>
          <w:b w:val="1"/>
          <w:bCs w:val="1"/>
          <w:color w:val="auto"/>
        </w:rPr>
        <w:t>Form 10-Q</w:t>
      </w:r>
      <w:r>
        <w:rPr>
          <w:rFonts w:ascii="Times New Roman" w:cs="Times New Roman" w:eastAsia="Times New Roman" w:hAnsi="Times New Roman"/>
          <w:sz w:val="18"/>
          <w:szCs w:val="18"/>
          <w:color w:val="auto"/>
        </w:rPr>
        <w:t>”) filed with the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April 25, 2022.</w:t>
      </w:r>
    </w:p>
    <w:p>
      <w:pPr>
        <w:sectPr>
          <w:pgSz w:w="11900" w:h="16838" w:orient="portrait"/>
          <w:cols w:equalWidth="0" w:num="1">
            <w:col w:w="10944"/>
          </w:cols>
          <w:pgMar w:left="436" w:top="283" w:right="519" w:bottom="1440" w:gutter="0" w:footer="0" w:header="0"/>
        </w:sectPr>
      </w:pPr>
    </w:p>
    <w:bookmarkStart w:id="2" w:name="page3"/>
    <w:bookmarkEnd w:id="2"/>
    <w:p>
      <w:pPr>
        <w:ind w:left="244"/>
        <w:spacing w:after="0"/>
        <w:tabs>
          <w:tab w:leader="none" w:pos="5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w:t>
      </w:r>
      <w:r>
        <w:rPr>
          <w:sz w:val="20"/>
          <w:szCs w:val="20"/>
          <w:color w:val="auto"/>
        </w:rPr>
        <w:tab/>
      </w:r>
      <w:r>
        <w:rPr>
          <w:rFonts w:ascii="Times New Roman" w:cs="Times New Roman" w:eastAsia="Times New Roman" w:hAnsi="Times New Roman"/>
          <w:sz w:val="17"/>
          <w:szCs w:val="17"/>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3347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334760"/>
                    </a:xfrm>
                    <a:prstGeom prst="rect">
                      <a:avLst/>
                    </a:prstGeom>
                    <a:noFill/>
                  </pic:spPr>
                </pic:pic>
              </a:graphicData>
            </a:graphic>
          </wp:anchor>
        </w:drawing>
      </w:r>
    </w:p>
    <w:p>
      <w:pPr>
        <w:spacing w:after="0" w:line="223" w:lineRule="exact"/>
        <w:rPr>
          <w:sz w:val="20"/>
          <w:szCs w:val="20"/>
          <w:color w:val="auto"/>
        </w:rPr>
      </w:pPr>
    </w:p>
    <w:tbl>
      <w:tblPr>
        <w:tblLayout w:type="fixed"/>
        <w:tblInd w:w="4" w:type="dxa"/>
        <w:tblCellMar>
          <w:top w:w="0" w:type="dxa"/>
          <w:left w:w="0" w:type="dxa"/>
          <w:bottom w:w="0" w:type="dxa"/>
          <w:right w:w="0" w:type="dxa"/>
        </w:tblCellMar>
      </w:tblPr>
      <w:tr>
        <w:trPr>
          <w:trHeight w:val="283"/>
        </w:trPr>
        <w:tc>
          <w:tcPr>
            <w:tcW w:w="400" w:type="dxa"/>
            <w:vAlign w:val="bottom"/>
            <w:tcBorders>
              <w:bottom w:val="single" w:sz="8" w:color="auto"/>
            </w:tcBorders>
          </w:tcPr>
          <w:p>
            <w:pPr>
              <w:spacing w:after="0"/>
              <w:rPr>
                <w:sz w:val="24"/>
                <w:szCs w:val="24"/>
                <w:color w:val="auto"/>
              </w:rPr>
            </w:pPr>
          </w:p>
        </w:tc>
        <w:tc>
          <w:tcPr>
            <w:tcW w:w="1050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22"/>
                <w:szCs w:val="22"/>
                <w:color w:val="auto"/>
              </w:rPr>
              <w:t>Schlumberger B.V.</w:t>
            </w:r>
          </w:p>
        </w:tc>
        <w:tc>
          <w:tcPr>
            <w:tcW w:w="0" w:type="dxa"/>
            <w:vAlign w:val="bottom"/>
          </w:tcPr>
          <w:p>
            <w:pPr>
              <w:spacing w:after="0"/>
              <w:rPr>
                <w:sz w:val="1"/>
                <w:szCs w:val="1"/>
                <w:color w:val="auto"/>
              </w:rPr>
            </w:pPr>
          </w:p>
        </w:tc>
      </w:tr>
      <w:tr>
        <w:trPr>
          <w:trHeight w:val="229"/>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5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454"/>
        </w:trPr>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4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color w:val="auto"/>
              </w:rPr>
              <w:t>(b)</w:t>
            </w:r>
          </w:p>
        </w:tc>
        <w:tc>
          <w:tcPr>
            <w:tcW w:w="9320" w:type="dxa"/>
            <w:vAlign w:val="bottom"/>
            <w:tcBorders>
              <w:bottom w:val="single" w:sz="8" w:color="auto"/>
            </w:tcBorders>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5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4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20" w:type="dxa"/>
            <w:vAlign w:val="bottom"/>
            <w:tcBorders>
              <w:bottom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5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Source of Funds</w:t>
            </w: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AF</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5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95"/>
        </w:trPr>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5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22"/>
                <w:szCs w:val="22"/>
                <w:color w:val="auto"/>
                <w:w w:val="97"/>
              </w:rPr>
              <w:t>Netherlands</w:t>
            </w:r>
          </w:p>
        </w:tc>
        <w:tc>
          <w:tcPr>
            <w:tcW w:w="9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6"/>
        </w:trPr>
        <w:tc>
          <w:tcPr>
            <w:tcW w:w="1040" w:type="dxa"/>
            <w:vAlign w:val="bottom"/>
            <w:tcBorders>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4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45"/>
        </w:trPr>
        <w:tc>
          <w:tcPr>
            <w:tcW w:w="1040" w:type="dxa"/>
            <w:vAlign w:val="bottom"/>
            <w:tcBorders>
              <w:right w:val="single" w:sz="8" w:color="auto"/>
            </w:tcBorders>
            <w:gridSpan w:val="2"/>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Shares</w:t>
            </w:r>
          </w:p>
        </w:tc>
        <w:tc>
          <w:tcPr>
            <w:tcW w:w="44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040" w:type="dxa"/>
            <w:vAlign w:val="bottom"/>
            <w:tcBorders>
              <w:right w:val="single" w:sz="8" w:color="auto"/>
            </w:tcBorders>
            <w:gridSpan w:val="2"/>
            <w:vMerge w:val="continue"/>
          </w:tcPr>
          <w:p>
            <w:pPr>
              <w:spacing w:after="0"/>
              <w:rPr>
                <w:sz w:val="13"/>
                <w:szCs w:val="13"/>
                <w:color w:val="auto"/>
              </w:rPr>
            </w:pPr>
          </w:p>
        </w:tc>
        <w:tc>
          <w:tcPr>
            <w:tcW w:w="440" w:type="dxa"/>
            <w:vAlign w:val="bottom"/>
            <w:tcBorders>
              <w:right w:val="single" w:sz="8" w:color="auto"/>
            </w:tcBorders>
          </w:tcPr>
          <w:p>
            <w:pPr>
              <w:jc w:val="right"/>
              <w:ind w:right="30"/>
              <w:spacing w:after="0" w:line="156" w:lineRule="exact"/>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3"/>
                <w:szCs w:val="13"/>
                <w:color w:val="auto"/>
              </w:rPr>
            </w:pPr>
          </w:p>
        </w:tc>
        <w:tc>
          <w:tcPr>
            <w:tcW w:w="932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1"/>
        </w:trPr>
        <w:tc>
          <w:tcPr>
            <w:tcW w:w="1040" w:type="dxa"/>
            <w:vAlign w:val="bottom"/>
            <w:tcBorders>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4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1040" w:type="dxa"/>
            <w:vAlign w:val="bottom"/>
            <w:tcBorders>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4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22"/>
                <w:szCs w:val="22"/>
                <w:color w:val="auto"/>
              </w:rPr>
              <w:t>23,069,461</w:t>
            </w:r>
          </w:p>
        </w:tc>
        <w:tc>
          <w:tcPr>
            <w:tcW w:w="0" w:type="dxa"/>
            <w:vAlign w:val="bottom"/>
          </w:tcPr>
          <w:p>
            <w:pPr>
              <w:spacing w:after="0"/>
              <w:rPr>
                <w:sz w:val="1"/>
                <w:szCs w:val="1"/>
                <w:color w:val="auto"/>
              </w:rPr>
            </w:pPr>
          </w:p>
        </w:tc>
      </w:tr>
      <w:tr>
        <w:trPr>
          <w:trHeight w:val="68"/>
        </w:trPr>
        <w:tc>
          <w:tcPr>
            <w:tcW w:w="400" w:type="dxa"/>
            <w:vAlign w:val="bottom"/>
          </w:tcPr>
          <w:p>
            <w:pPr>
              <w:spacing w:after="0"/>
              <w:rPr>
                <w:sz w:val="5"/>
                <w:szCs w:val="5"/>
                <w:color w:val="auto"/>
              </w:rPr>
            </w:pPr>
          </w:p>
        </w:tc>
        <w:tc>
          <w:tcPr>
            <w:tcW w:w="640" w:type="dxa"/>
            <w:vAlign w:val="bottom"/>
            <w:tcBorders>
              <w:right w:val="single" w:sz="8" w:color="auto"/>
            </w:tcBorders>
            <w:vMerge w:val="restart"/>
          </w:tcPr>
          <w:p>
            <w:pPr>
              <w:jc w:val="center"/>
              <w:ind w:right="183"/>
              <w:spacing w:after="0" w:line="157" w:lineRule="exact"/>
              <w:rPr>
                <w:sz w:val="20"/>
                <w:szCs w:val="20"/>
                <w:color w:val="auto"/>
              </w:rPr>
            </w:pPr>
            <w:r>
              <w:rPr>
                <w:rFonts w:ascii="Times New Roman" w:cs="Times New Roman" w:eastAsia="Times New Roman" w:hAnsi="Times New Roman"/>
                <w:sz w:val="18"/>
                <w:szCs w:val="18"/>
                <w:color w:val="auto"/>
                <w:w w:val="99"/>
              </w:rPr>
              <w:t>Each</w:t>
            </w:r>
          </w:p>
        </w:tc>
        <w:tc>
          <w:tcPr>
            <w:tcW w:w="44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400" w:type="dxa"/>
            <w:vAlign w:val="bottom"/>
          </w:tcPr>
          <w:p>
            <w:pPr>
              <w:spacing w:after="0"/>
              <w:rPr>
                <w:sz w:val="6"/>
                <w:szCs w:val="6"/>
                <w:color w:val="auto"/>
              </w:rPr>
            </w:pPr>
          </w:p>
        </w:tc>
        <w:tc>
          <w:tcPr>
            <w:tcW w:w="640" w:type="dxa"/>
            <w:vAlign w:val="bottom"/>
            <w:tcBorders>
              <w:right w:val="single" w:sz="8" w:color="auto"/>
            </w:tcBorders>
            <w:vMerge w:val="continue"/>
          </w:tcPr>
          <w:p>
            <w:pPr>
              <w:spacing w:after="0"/>
              <w:rPr>
                <w:sz w:val="6"/>
                <w:szCs w:val="6"/>
                <w:color w:val="auto"/>
              </w:rPr>
            </w:pPr>
          </w:p>
        </w:tc>
        <w:tc>
          <w:tcPr>
            <w:tcW w:w="44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6"/>
                <w:szCs w:val="6"/>
                <w:color w:val="auto"/>
              </w:rPr>
            </w:pPr>
          </w:p>
        </w:tc>
        <w:tc>
          <w:tcPr>
            <w:tcW w:w="9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040" w:type="dxa"/>
            <w:vAlign w:val="bottom"/>
            <w:tcBorders>
              <w:right w:val="single" w:sz="8" w:color="auto"/>
            </w:tcBorders>
            <w:gridSpan w:val="2"/>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Reporting</w:t>
            </w:r>
          </w:p>
        </w:tc>
        <w:tc>
          <w:tcPr>
            <w:tcW w:w="44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9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040" w:type="dxa"/>
            <w:vAlign w:val="bottom"/>
            <w:tcBorders>
              <w:right w:val="single" w:sz="8" w:color="auto"/>
            </w:tcBorders>
            <w:gridSpan w:val="2"/>
            <w:vMerge w:val="continue"/>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40" w:type="dxa"/>
            <w:vAlign w:val="bottom"/>
            <w:tcBorders>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Person</w:t>
            </w:r>
          </w:p>
        </w:tc>
        <w:tc>
          <w:tcPr>
            <w:tcW w:w="4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07"/>
        </w:trPr>
        <w:tc>
          <w:tcPr>
            <w:tcW w:w="400" w:type="dxa"/>
            <w:vAlign w:val="bottom"/>
          </w:tcPr>
          <w:p>
            <w:pPr>
              <w:spacing w:after="0"/>
              <w:rPr>
                <w:sz w:val="18"/>
                <w:szCs w:val="18"/>
                <w:color w:val="auto"/>
              </w:rPr>
            </w:pPr>
          </w:p>
        </w:tc>
        <w:tc>
          <w:tcPr>
            <w:tcW w:w="640" w:type="dxa"/>
            <w:vAlign w:val="bottom"/>
            <w:tcBorders>
              <w:right w:val="single" w:sz="8" w:color="auto"/>
            </w:tcBorders>
          </w:tcPr>
          <w:p>
            <w:pPr>
              <w:jc w:val="center"/>
              <w:ind w:right="183"/>
              <w:spacing w:after="0"/>
              <w:rPr>
                <w:sz w:val="20"/>
                <w:szCs w:val="20"/>
                <w:color w:val="auto"/>
              </w:rPr>
            </w:pPr>
            <w:r>
              <w:rPr>
                <w:rFonts w:ascii="Times New Roman" w:cs="Times New Roman" w:eastAsia="Times New Roman" w:hAnsi="Times New Roman"/>
                <w:sz w:val="18"/>
                <w:szCs w:val="18"/>
                <w:color w:val="auto"/>
                <w:w w:val="99"/>
              </w:rPr>
              <w:t>with</w:t>
            </w:r>
          </w:p>
        </w:tc>
        <w:tc>
          <w:tcPr>
            <w:tcW w:w="4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23,069,461</w:t>
            </w:r>
          </w:p>
        </w:tc>
        <w:tc>
          <w:tcPr>
            <w:tcW w:w="0" w:type="dxa"/>
            <w:vAlign w:val="bottom"/>
          </w:tcPr>
          <w:p>
            <w:pPr>
              <w:spacing w:after="0"/>
              <w:rPr>
                <w:sz w:val="1"/>
                <w:szCs w:val="1"/>
                <w:color w:val="auto"/>
              </w:rPr>
            </w:pPr>
          </w:p>
        </w:tc>
      </w:tr>
      <w:tr>
        <w:trPr>
          <w:trHeight w:val="229"/>
        </w:trPr>
        <w:tc>
          <w:tcPr>
            <w:tcW w:w="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5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w w:val="96"/>
              </w:rPr>
              <w:t>23,069,461</w:t>
            </w:r>
          </w:p>
        </w:tc>
        <w:tc>
          <w:tcPr>
            <w:tcW w:w="10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5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95"/>
        </w:trPr>
        <w:tc>
          <w:tcPr>
            <w:tcW w:w="40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5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12.3%*</w:t>
            </w:r>
          </w:p>
        </w:tc>
        <w:tc>
          <w:tcPr>
            <w:tcW w:w="10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5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HC</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24" w:right="80" w:hanging="224"/>
        <w:spacing w:after="0" w:line="282" w:lineRule="auto"/>
        <w:tabs>
          <w:tab w:leader="none" w:pos="2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186,847,433 shares of Class A Common Stock outstanding as of April 20, 2022, as reported in the Issuer’s Form 10-Q filed with the SEC on April 25, 2022.</w:t>
      </w:r>
    </w:p>
    <w:p>
      <w:pPr>
        <w:sectPr>
          <w:pgSz w:w="11900" w:h="16838" w:orient="portrait"/>
          <w:cols w:equalWidth="0" w:num="1">
            <w:col w:w="10904"/>
          </w:cols>
          <w:pgMar w:left="436" w:top="283" w:right="559" w:bottom="1440" w:gutter="0" w:footer="0" w:header="0"/>
        </w:sectPr>
      </w:pPr>
    </w:p>
    <w:bookmarkStart w:id="3" w:name="page4"/>
    <w:bookmarkEnd w:id="3"/>
    <w:p>
      <w:pPr>
        <w:ind w:left="244"/>
        <w:spacing w:after="0"/>
        <w:tabs>
          <w:tab w:leader="none" w:pos="5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w:t>
      </w:r>
      <w:r>
        <w:rPr>
          <w:sz w:val="20"/>
          <w:szCs w:val="20"/>
          <w:color w:val="auto"/>
        </w:rPr>
        <w:tab/>
      </w:r>
      <w:r>
        <w:rPr>
          <w:rFonts w:ascii="Times New Roman" w:cs="Times New Roman" w:eastAsia="Times New Roman" w:hAnsi="Times New Roman"/>
          <w:sz w:val="17"/>
          <w:szCs w:val="17"/>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3347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6334760"/>
                    </a:xfrm>
                    <a:prstGeom prst="rect">
                      <a:avLst/>
                    </a:prstGeom>
                    <a:noFill/>
                  </pic:spPr>
                </pic:pic>
              </a:graphicData>
            </a:graphic>
          </wp:anchor>
        </w:drawing>
      </w:r>
    </w:p>
    <w:p>
      <w:pPr>
        <w:spacing w:after="0" w:line="223" w:lineRule="exact"/>
        <w:rPr>
          <w:sz w:val="20"/>
          <w:szCs w:val="20"/>
          <w:color w:val="auto"/>
        </w:rPr>
      </w:pPr>
    </w:p>
    <w:tbl>
      <w:tblPr>
        <w:tblLayout w:type="fixed"/>
        <w:tblInd w:w="4" w:type="dxa"/>
        <w:tblCellMar>
          <w:top w:w="0" w:type="dxa"/>
          <w:left w:w="0" w:type="dxa"/>
          <w:bottom w:w="0" w:type="dxa"/>
          <w:right w:w="0" w:type="dxa"/>
        </w:tblCellMar>
      </w:tblPr>
      <w:tr>
        <w:trPr>
          <w:trHeight w:val="283"/>
        </w:trPr>
        <w:tc>
          <w:tcPr>
            <w:tcW w:w="400" w:type="dxa"/>
            <w:vAlign w:val="bottom"/>
            <w:tcBorders>
              <w:bottom w:val="single" w:sz="8" w:color="auto"/>
            </w:tcBorders>
          </w:tcPr>
          <w:p>
            <w:pPr>
              <w:spacing w:after="0"/>
              <w:rPr>
                <w:sz w:val="24"/>
                <w:szCs w:val="24"/>
                <w:color w:val="auto"/>
              </w:rPr>
            </w:pPr>
          </w:p>
        </w:tc>
        <w:tc>
          <w:tcPr>
            <w:tcW w:w="1050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22"/>
                <w:szCs w:val="22"/>
                <w:color w:val="auto"/>
              </w:rPr>
              <w:t>Schlumberger Holdings Corporation</w:t>
            </w:r>
          </w:p>
        </w:tc>
        <w:tc>
          <w:tcPr>
            <w:tcW w:w="0" w:type="dxa"/>
            <w:vAlign w:val="bottom"/>
          </w:tcPr>
          <w:p>
            <w:pPr>
              <w:spacing w:after="0"/>
              <w:rPr>
                <w:sz w:val="1"/>
                <w:szCs w:val="1"/>
                <w:color w:val="auto"/>
              </w:rPr>
            </w:pPr>
          </w:p>
        </w:tc>
      </w:tr>
      <w:tr>
        <w:trPr>
          <w:trHeight w:val="229"/>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5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454"/>
        </w:trPr>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2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color w:val="auto"/>
                <w:w w:val="95"/>
              </w:rPr>
              <w:t>(b)</w:t>
            </w:r>
          </w:p>
        </w:tc>
        <w:tc>
          <w:tcPr>
            <w:tcW w:w="934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5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4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20" w:type="dxa"/>
            <w:vAlign w:val="bottom"/>
            <w:tcBorders>
              <w:bottom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5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Source of Funds</w:t>
            </w: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AF</w:t>
            </w: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5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95"/>
        </w:trPr>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5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tcBorders>
          </w:tcPr>
          <w:p>
            <w:pPr>
              <w:spacing w:after="0"/>
              <w:rPr>
                <w:sz w:val="24"/>
                <w:szCs w:val="24"/>
                <w:color w:val="auto"/>
              </w:rPr>
            </w:pPr>
          </w:p>
        </w:tc>
        <w:tc>
          <w:tcPr>
            <w:tcW w:w="1050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22"/>
                <w:szCs w:val="22"/>
                <w:color w:val="auto"/>
              </w:rPr>
              <w:t>Delaware, United States</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6"/>
        </w:trPr>
        <w:tc>
          <w:tcPr>
            <w:tcW w:w="1040" w:type="dxa"/>
            <w:vAlign w:val="bottom"/>
            <w:tcBorders>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4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45"/>
        </w:trPr>
        <w:tc>
          <w:tcPr>
            <w:tcW w:w="1040" w:type="dxa"/>
            <w:vAlign w:val="bottom"/>
            <w:tcBorders>
              <w:right w:val="single" w:sz="8" w:color="auto"/>
            </w:tcBorders>
            <w:gridSpan w:val="2"/>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Shares</w:t>
            </w:r>
          </w:p>
        </w:tc>
        <w:tc>
          <w:tcPr>
            <w:tcW w:w="4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040" w:type="dxa"/>
            <w:vAlign w:val="bottom"/>
            <w:tcBorders>
              <w:right w:val="single" w:sz="8" w:color="auto"/>
            </w:tcBorders>
            <w:gridSpan w:val="2"/>
            <w:vMerge w:val="continue"/>
          </w:tcPr>
          <w:p>
            <w:pPr>
              <w:spacing w:after="0"/>
              <w:rPr>
                <w:sz w:val="13"/>
                <w:szCs w:val="13"/>
                <w:color w:val="auto"/>
              </w:rPr>
            </w:pPr>
          </w:p>
        </w:tc>
        <w:tc>
          <w:tcPr>
            <w:tcW w:w="440" w:type="dxa"/>
            <w:vAlign w:val="bottom"/>
            <w:tcBorders>
              <w:right w:val="single" w:sz="8" w:color="auto"/>
            </w:tcBorders>
          </w:tcPr>
          <w:p>
            <w:pPr>
              <w:jc w:val="right"/>
              <w:ind w:right="30"/>
              <w:spacing w:after="0" w:line="156" w:lineRule="exact"/>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3"/>
                <w:szCs w:val="13"/>
                <w:color w:val="auto"/>
              </w:rPr>
            </w:pPr>
          </w:p>
        </w:tc>
        <w:tc>
          <w:tcPr>
            <w:tcW w:w="93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1"/>
        </w:trPr>
        <w:tc>
          <w:tcPr>
            <w:tcW w:w="1040" w:type="dxa"/>
            <w:vAlign w:val="bottom"/>
            <w:tcBorders>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4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1040" w:type="dxa"/>
            <w:vAlign w:val="bottom"/>
            <w:tcBorders>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4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9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23,069,461</w:t>
            </w:r>
          </w:p>
        </w:tc>
        <w:tc>
          <w:tcPr>
            <w:tcW w:w="0" w:type="dxa"/>
            <w:vAlign w:val="bottom"/>
          </w:tcPr>
          <w:p>
            <w:pPr>
              <w:spacing w:after="0"/>
              <w:rPr>
                <w:sz w:val="1"/>
                <w:szCs w:val="1"/>
                <w:color w:val="auto"/>
              </w:rPr>
            </w:pPr>
          </w:p>
        </w:tc>
      </w:tr>
      <w:tr>
        <w:trPr>
          <w:trHeight w:val="68"/>
        </w:trPr>
        <w:tc>
          <w:tcPr>
            <w:tcW w:w="400" w:type="dxa"/>
            <w:vAlign w:val="bottom"/>
          </w:tcPr>
          <w:p>
            <w:pPr>
              <w:spacing w:after="0"/>
              <w:rPr>
                <w:sz w:val="5"/>
                <w:szCs w:val="5"/>
                <w:color w:val="auto"/>
              </w:rPr>
            </w:pPr>
          </w:p>
        </w:tc>
        <w:tc>
          <w:tcPr>
            <w:tcW w:w="640" w:type="dxa"/>
            <w:vAlign w:val="bottom"/>
            <w:tcBorders>
              <w:right w:val="single" w:sz="8" w:color="auto"/>
            </w:tcBorders>
            <w:vMerge w:val="restart"/>
          </w:tcPr>
          <w:p>
            <w:pPr>
              <w:jc w:val="center"/>
              <w:ind w:right="183"/>
              <w:spacing w:after="0" w:line="157" w:lineRule="exact"/>
              <w:rPr>
                <w:sz w:val="20"/>
                <w:szCs w:val="20"/>
                <w:color w:val="auto"/>
              </w:rPr>
            </w:pPr>
            <w:r>
              <w:rPr>
                <w:rFonts w:ascii="Times New Roman" w:cs="Times New Roman" w:eastAsia="Times New Roman" w:hAnsi="Times New Roman"/>
                <w:sz w:val="18"/>
                <w:szCs w:val="18"/>
                <w:color w:val="auto"/>
                <w:w w:val="99"/>
              </w:rPr>
              <w:t>Each</w:t>
            </w:r>
          </w:p>
        </w:tc>
        <w:tc>
          <w:tcPr>
            <w:tcW w:w="44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400" w:type="dxa"/>
            <w:vAlign w:val="bottom"/>
          </w:tcPr>
          <w:p>
            <w:pPr>
              <w:spacing w:after="0"/>
              <w:rPr>
                <w:sz w:val="6"/>
                <w:szCs w:val="6"/>
                <w:color w:val="auto"/>
              </w:rPr>
            </w:pPr>
          </w:p>
        </w:tc>
        <w:tc>
          <w:tcPr>
            <w:tcW w:w="640" w:type="dxa"/>
            <w:vAlign w:val="bottom"/>
            <w:tcBorders>
              <w:right w:val="single" w:sz="8" w:color="auto"/>
            </w:tcBorders>
            <w:vMerge w:val="continue"/>
          </w:tcPr>
          <w:p>
            <w:pPr>
              <w:spacing w:after="0"/>
              <w:rPr>
                <w:sz w:val="6"/>
                <w:szCs w:val="6"/>
                <w:color w:val="auto"/>
              </w:rPr>
            </w:pPr>
          </w:p>
        </w:tc>
        <w:tc>
          <w:tcPr>
            <w:tcW w:w="44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6"/>
                <w:szCs w:val="6"/>
                <w:color w:val="auto"/>
              </w:rPr>
            </w:pPr>
          </w:p>
        </w:tc>
        <w:tc>
          <w:tcPr>
            <w:tcW w:w="9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040" w:type="dxa"/>
            <w:vAlign w:val="bottom"/>
            <w:tcBorders>
              <w:right w:val="single" w:sz="8" w:color="auto"/>
            </w:tcBorders>
            <w:gridSpan w:val="2"/>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Reporting</w:t>
            </w:r>
          </w:p>
        </w:tc>
        <w:tc>
          <w:tcPr>
            <w:tcW w:w="44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9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040" w:type="dxa"/>
            <w:vAlign w:val="bottom"/>
            <w:tcBorders>
              <w:right w:val="single" w:sz="8" w:color="auto"/>
            </w:tcBorders>
            <w:gridSpan w:val="2"/>
            <w:vMerge w:val="continue"/>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40" w:type="dxa"/>
            <w:vAlign w:val="bottom"/>
            <w:tcBorders>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Person</w:t>
            </w:r>
          </w:p>
        </w:tc>
        <w:tc>
          <w:tcPr>
            <w:tcW w:w="4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3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07"/>
        </w:trPr>
        <w:tc>
          <w:tcPr>
            <w:tcW w:w="400" w:type="dxa"/>
            <w:vAlign w:val="bottom"/>
          </w:tcPr>
          <w:p>
            <w:pPr>
              <w:spacing w:after="0"/>
              <w:rPr>
                <w:sz w:val="18"/>
                <w:szCs w:val="18"/>
                <w:color w:val="auto"/>
              </w:rPr>
            </w:pPr>
          </w:p>
        </w:tc>
        <w:tc>
          <w:tcPr>
            <w:tcW w:w="640" w:type="dxa"/>
            <w:vAlign w:val="bottom"/>
            <w:tcBorders>
              <w:right w:val="single" w:sz="8" w:color="auto"/>
            </w:tcBorders>
          </w:tcPr>
          <w:p>
            <w:pPr>
              <w:jc w:val="center"/>
              <w:ind w:right="183"/>
              <w:spacing w:after="0"/>
              <w:rPr>
                <w:sz w:val="20"/>
                <w:szCs w:val="20"/>
                <w:color w:val="auto"/>
              </w:rPr>
            </w:pPr>
            <w:r>
              <w:rPr>
                <w:rFonts w:ascii="Times New Roman" w:cs="Times New Roman" w:eastAsia="Times New Roman" w:hAnsi="Times New Roman"/>
                <w:sz w:val="18"/>
                <w:szCs w:val="18"/>
                <w:color w:val="auto"/>
                <w:w w:val="99"/>
              </w:rPr>
              <w:t>with</w:t>
            </w:r>
          </w:p>
        </w:tc>
        <w:tc>
          <w:tcPr>
            <w:tcW w:w="4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23,069,461</w:t>
            </w:r>
          </w:p>
        </w:tc>
        <w:tc>
          <w:tcPr>
            <w:tcW w:w="0" w:type="dxa"/>
            <w:vAlign w:val="bottom"/>
          </w:tcPr>
          <w:p>
            <w:pPr>
              <w:spacing w:after="0"/>
              <w:rPr>
                <w:sz w:val="1"/>
                <w:szCs w:val="1"/>
                <w:color w:val="auto"/>
              </w:rPr>
            </w:pPr>
          </w:p>
        </w:tc>
      </w:tr>
      <w:tr>
        <w:trPr>
          <w:trHeight w:val="229"/>
        </w:trPr>
        <w:tc>
          <w:tcPr>
            <w:tcW w:w="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5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w w:val="96"/>
              </w:rPr>
              <w:t>23,069,461</w:t>
            </w:r>
          </w:p>
        </w:tc>
        <w:tc>
          <w:tcPr>
            <w:tcW w:w="8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5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95"/>
        </w:trPr>
        <w:tc>
          <w:tcPr>
            <w:tcW w:w="40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5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12.3%*</w:t>
            </w:r>
          </w:p>
        </w:tc>
        <w:tc>
          <w:tcPr>
            <w:tcW w:w="8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5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HC</w:t>
            </w: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24" w:right="80" w:hanging="224"/>
        <w:spacing w:after="0" w:line="282" w:lineRule="auto"/>
        <w:tabs>
          <w:tab w:leader="none" w:pos="2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186,847,433 shares of Class A Common Stock outstanding as of April 20, 2022, as reported in the Issuer’s Form 10-Q filed with the SEC on April 25, 2022.</w:t>
      </w:r>
    </w:p>
    <w:p>
      <w:pPr>
        <w:sectPr>
          <w:pgSz w:w="11900" w:h="16838" w:orient="portrait"/>
          <w:cols w:equalWidth="0" w:num="1">
            <w:col w:w="10904"/>
          </w:cols>
          <w:pgMar w:left="436" w:top="283" w:right="559" w:bottom="1440" w:gutter="0" w:footer="0" w:header="0"/>
        </w:sectPr>
      </w:pPr>
    </w:p>
    <w:bookmarkStart w:id="4" w:name="page5"/>
    <w:bookmarkEnd w:id="4"/>
    <w:p>
      <w:pPr>
        <w:ind w:left="244"/>
        <w:spacing w:after="0"/>
        <w:tabs>
          <w:tab w:leader="none" w:pos="5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w:t>
      </w:r>
      <w:r>
        <w:rPr>
          <w:sz w:val="20"/>
          <w:szCs w:val="20"/>
          <w:color w:val="auto"/>
        </w:rPr>
        <w:tab/>
      </w:r>
      <w:r>
        <w:rPr>
          <w:rFonts w:ascii="Times New Roman" w:cs="Times New Roman" w:eastAsia="Times New Roman" w:hAnsi="Times New Roman"/>
          <w:sz w:val="17"/>
          <w:szCs w:val="17"/>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3347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6334760"/>
                    </a:xfrm>
                    <a:prstGeom prst="rect">
                      <a:avLst/>
                    </a:prstGeom>
                    <a:noFill/>
                  </pic:spPr>
                </pic:pic>
              </a:graphicData>
            </a:graphic>
          </wp:anchor>
        </w:drawing>
      </w:r>
    </w:p>
    <w:p>
      <w:pPr>
        <w:spacing w:after="0" w:line="223" w:lineRule="exact"/>
        <w:rPr>
          <w:sz w:val="20"/>
          <w:szCs w:val="20"/>
          <w:color w:val="auto"/>
        </w:rPr>
      </w:pPr>
    </w:p>
    <w:tbl>
      <w:tblPr>
        <w:tblLayout w:type="fixed"/>
        <w:tblInd w:w="4" w:type="dxa"/>
        <w:tblCellMar>
          <w:top w:w="0" w:type="dxa"/>
          <w:left w:w="0" w:type="dxa"/>
          <w:bottom w:w="0" w:type="dxa"/>
          <w:right w:w="0" w:type="dxa"/>
        </w:tblCellMar>
      </w:tblPr>
      <w:tr>
        <w:trPr>
          <w:trHeight w:val="283"/>
        </w:trPr>
        <w:tc>
          <w:tcPr>
            <w:tcW w:w="400" w:type="dxa"/>
            <w:vAlign w:val="bottom"/>
            <w:tcBorders>
              <w:bottom w:val="single" w:sz="8" w:color="auto"/>
            </w:tcBorders>
          </w:tcPr>
          <w:p>
            <w:pPr>
              <w:spacing w:after="0"/>
              <w:rPr>
                <w:sz w:val="24"/>
                <w:szCs w:val="24"/>
                <w:color w:val="auto"/>
              </w:rPr>
            </w:pPr>
          </w:p>
        </w:tc>
        <w:tc>
          <w:tcPr>
            <w:tcW w:w="1050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22"/>
                <w:szCs w:val="22"/>
                <w:color w:val="auto"/>
              </w:rPr>
              <w:t>Schlumberger Technology Corporation</w:t>
            </w:r>
          </w:p>
        </w:tc>
        <w:tc>
          <w:tcPr>
            <w:tcW w:w="0" w:type="dxa"/>
            <w:vAlign w:val="bottom"/>
          </w:tcPr>
          <w:p>
            <w:pPr>
              <w:spacing w:after="0"/>
              <w:rPr>
                <w:sz w:val="1"/>
                <w:szCs w:val="1"/>
                <w:color w:val="auto"/>
              </w:rPr>
            </w:pPr>
          </w:p>
        </w:tc>
      </w:tr>
      <w:tr>
        <w:trPr>
          <w:trHeight w:val="229"/>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5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454"/>
        </w:trPr>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2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color w:val="auto"/>
                <w:w w:val="95"/>
              </w:rPr>
              <w:t>(b)</w:t>
            </w:r>
          </w:p>
        </w:tc>
        <w:tc>
          <w:tcPr>
            <w:tcW w:w="934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5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4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20" w:type="dxa"/>
            <w:vAlign w:val="bottom"/>
            <w:tcBorders>
              <w:bottom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5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Source of Funds</w:t>
            </w: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AF</w:t>
            </w: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5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95"/>
        </w:trPr>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5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tcBorders>
          </w:tcPr>
          <w:p>
            <w:pPr>
              <w:spacing w:after="0"/>
              <w:rPr>
                <w:sz w:val="24"/>
                <w:szCs w:val="24"/>
                <w:color w:val="auto"/>
              </w:rPr>
            </w:pPr>
          </w:p>
        </w:tc>
        <w:tc>
          <w:tcPr>
            <w:tcW w:w="1050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22"/>
                <w:szCs w:val="22"/>
                <w:color w:val="auto"/>
              </w:rPr>
              <w:t>Texas, United States</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6"/>
        </w:trPr>
        <w:tc>
          <w:tcPr>
            <w:tcW w:w="1040" w:type="dxa"/>
            <w:vAlign w:val="bottom"/>
            <w:tcBorders>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4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45"/>
        </w:trPr>
        <w:tc>
          <w:tcPr>
            <w:tcW w:w="1040" w:type="dxa"/>
            <w:vAlign w:val="bottom"/>
            <w:tcBorders>
              <w:right w:val="single" w:sz="8" w:color="auto"/>
            </w:tcBorders>
            <w:gridSpan w:val="2"/>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Shares</w:t>
            </w:r>
          </w:p>
        </w:tc>
        <w:tc>
          <w:tcPr>
            <w:tcW w:w="4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040" w:type="dxa"/>
            <w:vAlign w:val="bottom"/>
            <w:tcBorders>
              <w:right w:val="single" w:sz="8" w:color="auto"/>
            </w:tcBorders>
            <w:gridSpan w:val="2"/>
            <w:vMerge w:val="continue"/>
          </w:tcPr>
          <w:p>
            <w:pPr>
              <w:spacing w:after="0"/>
              <w:rPr>
                <w:sz w:val="13"/>
                <w:szCs w:val="13"/>
                <w:color w:val="auto"/>
              </w:rPr>
            </w:pPr>
          </w:p>
        </w:tc>
        <w:tc>
          <w:tcPr>
            <w:tcW w:w="440" w:type="dxa"/>
            <w:vAlign w:val="bottom"/>
            <w:tcBorders>
              <w:right w:val="single" w:sz="8" w:color="auto"/>
            </w:tcBorders>
          </w:tcPr>
          <w:p>
            <w:pPr>
              <w:jc w:val="right"/>
              <w:ind w:right="30"/>
              <w:spacing w:after="0" w:line="156" w:lineRule="exact"/>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3"/>
                <w:szCs w:val="13"/>
                <w:color w:val="auto"/>
              </w:rPr>
            </w:pPr>
          </w:p>
        </w:tc>
        <w:tc>
          <w:tcPr>
            <w:tcW w:w="93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1"/>
        </w:trPr>
        <w:tc>
          <w:tcPr>
            <w:tcW w:w="1040" w:type="dxa"/>
            <w:vAlign w:val="bottom"/>
            <w:tcBorders>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4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1040" w:type="dxa"/>
            <w:vAlign w:val="bottom"/>
            <w:tcBorders>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4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9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23,069,461</w:t>
            </w:r>
          </w:p>
        </w:tc>
        <w:tc>
          <w:tcPr>
            <w:tcW w:w="0" w:type="dxa"/>
            <w:vAlign w:val="bottom"/>
          </w:tcPr>
          <w:p>
            <w:pPr>
              <w:spacing w:after="0"/>
              <w:rPr>
                <w:sz w:val="1"/>
                <w:szCs w:val="1"/>
                <w:color w:val="auto"/>
              </w:rPr>
            </w:pPr>
          </w:p>
        </w:tc>
      </w:tr>
      <w:tr>
        <w:trPr>
          <w:trHeight w:val="68"/>
        </w:trPr>
        <w:tc>
          <w:tcPr>
            <w:tcW w:w="400" w:type="dxa"/>
            <w:vAlign w:val="bottom"/>
          </w:tcPr>
          <w:p>
            <w:pPr>
              <w:spacing w:after="0"/>
              <w:rPr>
                <w:sz w:val="5"/>
                <w:szCs w:val="5"/>
                <w:color w:val="auto"/>
              </w:rPr>
            </w:pPr>
          </w:p>
        </w:tc>
        <w:tc>
          <w:tcPr>
            <w:tcW w:w="640" w:type="dxa"/>
            <w:vAlign w:val="bottom"/>
            <w:tcBorders>
              <w:right w:val="single" w:sz="8" w:color="auto"/>
            </w:tcBorders>
            <w:vMerge w:val="restart"/>
          </w:tcPr>
          <w:p>
            <w:pPr>
              <w:jc w:val="center"/>
              <w:ind w:right="183"/>
              <w:spacing w:after="0" w:line="157" w:lineRule="exact"/>
              <w:rPr>
                <w:sz w:val="20"/>
                <w:szCs w:val="20"/>
                <w:color w:val="auto"/>
              </w:rPr>
            </w:pPr>
            <w:r>
              <w:rPr>
                <w:rFonts w:ascii="Times New Roman" w:cs="Times New Roman" w:eastAsia="Times New Roman" w:hAnsi="Times New Roman"/>
                <w:sz w:val="18"/>
                <w:szCs w:val="18"/>
                <w:color w:val="auto"/>
                <w:w w:val="99"/>
              </w:rPr>
              <w:t>Each</w:t>
            </w:r>
          </w:p>
        </w:tc>
        <w:tc>
          <w:tcPr>
            <w:tcW w:w="44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400" w:type="dxa"/>
            <w:vAlign w:val="bottom"/>
          </w:tcPr>
          <w:p>
            <w:pPr>
              <w:spacing w:after="0"/>
              <w:rPr>
                <w:sz w:val="6"/>
                <w:szCs w:val="6"/>
                <w:color w:val="auto"/>
              </w:rPr>
            </w:pPr>
          </w:p>
        </w:tc>
        <w:tc>
          <w:tcPr>
            <w:tcW w:w="640" w:type="dxa"/>
            <w:vAlign w:val="bottom"/>
            <w:tcBorders>
              <w:right w:val="single" w:sz="8" w:color="auto"/>
            </w:tcBorders>
            <w:vMerge w:val="continue"/>
          </w:tcPr>
          <w:p>
            <w:pPr>
              <w:spacing w:after="0"/>
              <w:rPr>
                <w:sz w:val="6"/>
                <w:szCs w:val="6"/>
                <w:color w:val="auto"/>
              </w:rPr>
            </w:pPr>
          </w:p>
        </w:tc>
        <w:tc>
          <w:tcPr>
            <w:tcW w:w="44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6"/>
                <w:szCs w:val="6"/>
                <w:color w:val="auto"/>
              </w:rPr>
            </w:pPr>
          </w:p>
        </w:tc>
        <w:tc>
          <w:tcPr>
            <w:tcW w:w="9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040" w:type="dxa"/>
            <w:vAlign w:val="bottom"/>
            <w:tcBorders>
              <w:right w:val="single" w:sz="8" w:color="auto"/>
            </w:tcBorders>
            <w:gridSpan w:val="2"/>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Reporting</w:t>
            </w:r>
          </w:p>
        </w:tc>
        <w:tc>
          <w:tcPr>
            <w:tcW w:w="44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9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040" w:type="dxa"/>
            <w:vAlign w:val="bottom"/>
            <w:tcBorders>
              <w:right w:val="single" w:sz="8" w:color="auto"/>
            </w:tcBorders>
            <w:gridSpan w:val="2"/>
            <w:vMerge w:val="continue"/>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40" w:type="dxa"/>
            <w:vAlign w:val="bottom"/>
            <w:tcBorders>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Person</w:t>
            </w:r>
          </w:p>
        </w:tc>
        <w:tc>
          <w:tcPr>
            <w:tcW w:w="4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3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07"/>
        </w:trPr>
        <w:tc>
          <w:tcPr>
            <w:tcW w:w="400" w:type="dxa"/>
            <w:vAlign w:val="bottom"/>
          </w:tcPr>
          <w:p>
            <w:pPr>
              <w:spacing w:after="0"/>
              <w:rPr>
                <w:sz w:val="18"/>
                <w:szCs w:val="18"/>
                <w:color w:val="auto"/>
              </w:rPr>
            </w:pPr>
          </w:p>
        </w:tc>
        <w:tc>
          <w:tcPr>
            <w:tcW w:w="640" w:type="dxa"/>
            <w:vAlign w:val="bottom"/>
            <w:tcBorders>
              <w:right w:val="single" w:sz="8" w:color="auto"/>
            </w:tcBorders>
          </w:tcPr>
          <w:p>
            <w:pPr>
              <w:jc w:val="center"/>
              <w:ind w:right="183"/>
              <w:spacing w:after="0"/>
              <w:rPr>
                <w:sz w:val="20"/>
                <w:szCs w:val="20"/>
                <w:color w:val="auto"/>
              </w:rPr>
            </w:pPr>
            <w:r>
              <w:rPr>
                <w:rFonts w:ascii="Times New Roman" w:cs="Times New Roman" w:eastAsia="Times New Roman" w:hAnsi="Times New Roman"/>
                <w:sz w:val="18"/>
                <w:szCs w:val="18"/>
                <w:color w:val="auto"/>
                <w:w w:val="99"/>
              </w:rPr>
              <w:t>with</w:t>
            </w:r>
          </w:p>
        </w:tc>
        <w:tc>
          <w:tcPr>
            <w:tcW w:w="4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23,069,461</w:t>
            </w:r>
          </w:p>
        </w:tc>
        <w:tc>
          <w:tcPr>
            <w:tcW w:w="0" w:type="dxa"/>
            <w:vAlign w:val="bottom"/>
          </w:tcPr>
          <w:p>
            <w:pPr>
              <w:spacing w:after="0"/>
              <w:rPr>
                <w:sz w:val="1"/>
                <w:szCs w:val="1"/>
                <w:color w:val="auto"/>
              </w:rPr>
            </w:pPr>
          </w:p>
        </w:tc>
      </w:tr>
      <w:tr>
        <w:trPr>
          <w:trHeight w:val="229"/>
        </w:trPr>
        <w:tc>
          <w:tcPr>
            <w:tcW w:w="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5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w w:val="96"/>
              </w:rPr>
              <w:t>23,069,461</w:t>
            </w:r>
          </w:p>
        </w:tc>
        <w:tc>
          <w:tcPr>
            <w:tcW w:w="8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5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95"/>
        </w:trPr>
        <w:tc>
          <w:tcPr>
            <w:tcW w:w="40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5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12.3%*</w:t>
            </w:r>
          </w:p>
        </w:tc>
        <w:tc>
          <w:tcPr>
            <w:tcW w:w="8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5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w:t>
            </w: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24" w:right="80" w:hanging="224"/>
        <w:spacing w:after="0" w:line="282" w:lineRule="auto"/>
        <w:tabs>
          <w:tab w:leader="none" w:pos="2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186,847,433 shares of Class A Common Stock outstanding as of April 20, 2022, as reported in the Issuer’s Form 10-Q filed with the SEC on April 25, 2022.</w:t>
      </w:r>
    </w:p>
    <w:p>
      <w:pPr>
        <w:sectPr>
          <w:pgSz w:w="11900" w:h="16838" w:orient="portrait"/>
          <w:cols w:equalWidth="0" w:num="1">
            <w:col w:w="10904"/>
          </w:cols>
          <w:pgMar w:left="436" w:top="283" w:right="559" w:bottom="1440" w:gutter="0" w:footer="0" w:header="0"/>
        </w:sectPr>
      </w:pPr>
    </w:p>
    <w:bookmarkStart w:id="5" w:name="page6"/>
    <w:bookmarkEnd w:id="5"/>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5" w:lineRule="exact"/>
        <w:rPr>
          <w:sz w:val="20"/>
          <w:szCs w:val="20"/>
          <w:color w:val="auto"/>
        </w:rPr>
      </w:pPr>
    </w:p>
    <w:p>
      <w:pPr>
        <w:ind w:right="180" w:firstLine="440"/>
        <w:spacing w:after="0" w:line="257" w:lineRule="auto"/>
        <w:rPr>
          <w:sz w:val="20"/>
          <w:szCs w:val="20"/>
          <w:color w:val="auto"/>
        </w:rPr>
      </w:pPr>
      <w:r>
        <w:rPr>
          <w:rFonts w:ascii="Times New Roman" w:cs="Times New Roman" w:eastAsia="Times New Roman" w:hAnsi="Times New Roman"/>
          <w:sz w:val="18"/>
          <w:szCs w:val="18"/>
          <w:color w:val="auto"/>
        </w:rPr>
        <w:t>This Amendment No. 5 to Schedule 13D (this “</w:t>
      </w:r>
      <w:r>
        <w:rPr>
          <w:rFonts w:ascii="Times New Roman" w:cs="Times New Roman" w:eastAsia="Times New Roman" w:hAnsi="Times New Roman"/>
          <w:sz w:val="18"/>
          <w:szCs w:val="18"/>
          <w:b w:val="1"/>
          <w:bCs w:val="1"/>
          <w:color w:val="auto"/>
        </w:rPr>
        <w:t>Amendment No. 5</w:t>
      </w:r>
      <w:r>
        <w:rPr>
          <w:rFonts w:ascii="Times New Roman" w:cs="Times New Roman" w:eastAsia="Times New Roman" w:hAnsi="Times New Roman"/>
          <w:sz w:val="18"/>
          <w:szCs w:val="18"/>
          <w:color w:val="auto"/>
        </w:rPr>
        <w:t>”) amends and supplements the Schedule 13D filed with the SEC on January 11, 2021, as amended by Amendment No. 1 to Schedule 13D, filed on September 29, 2021, Amendment No. 2 to Schedule 13D, filed on November 9, 2021, Amendment No. 3 to Schedule 13D, filed on March 3, 2022, and Amendment No. 4 to Schedule 13D, filed on May 5, 2022 (the “</w:t>
      </w:r>
      <w:r>
        <w:rPr>
          <w:rFonts w:ascii="Times New Roman" w:cs="Times New Roman" w:eastAsia="Times New Roman" w:hAnsi="Times New Roman"/>
          <w:sz w:val="18"/>
          <w:szCs w:val="18"/>
          <w:b w:val="1"/>
          <w:bCs w:val="1"/>
          <w:color w:val="auto"/>
        </w:rPr>
        <w:t>Current Schedule 13D</w:t>
      </w:r>
      <w:r>
        <w:rPr>
          <w:rFonts w:ascii="Times New Roman" w:cs="Times New Roman" w:eastAsia="Times New Roman" w:hAnsi="Times New Roman"/>
          <w:sz w:val="18"/>
          <w:szCs w:val="18"/>
          <w:color w:val="auto"/>
        </w:rPr>
        <w:t>”), relating to the Class A common stock, par value $0.01 per share (the “</w:t>
      </w:r>
      <w:r>
        <w:rPr>
          <w:rFonts w:ascii="Times New Roman" w:cs="Times New Roman" w:eastAsia="Times New Roman" w:hAnsi="Times New Roman"/>
          <w:sz w:val="18"/>
          <w:szCs w:val="18"/>
          <w:b w:val="1"/>
          <w:bCs w:val="1"/>
          <w:color w:val="auto"/>
        </w:rPr>
        <w:t>Common A Shares</w:t>
      </w:r>
      <w:r>
        <w:rPr>
          <w:rFonts w:ascii="Times New Roman" w:cs="Times New Roman" w:eastAsia="Times New Roman" w:hAnsi="Times New Roman"/>
          <w:sz w:val="18"/>
          <w:szCs w:val="18"/>
          <w:color w:val="auto"/>
        </w:rPr>
        <w:t>”), of Liberty Energy Inc.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formerly known as Liberty Oilfield Services Inc. Capitalized terms used herein without definition shall have the meaning set forth in the Current Schedule 13D.</w:t>
      </w:r>
    </w:p>
    <w:p>
      <w:pPr>
        <w:spacing w:after="0" w:line="33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of the Current Schedule 13D is hereby amended and restated in its entirety as follows:</w:t>
      </w:r>
    </w:p>
    <w:p>
      <w:pPr>
        <w:spacing w:after="0" w:line="131" w:lineRule="exact"/>
        <w:rPr>
          <w:sz w:val="20"/>
          <w:szCs w:val="20"/>
          <w:color w:val="auto"/>
        </w:rPr>
      </w:pPr>
    </w:p>
    <w:p>
      <w:pPr>
        <w:ind w:left="960" w:right="20" w:hanging="532"/>
        <w:spacing w:after="0" w:line="258"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STC directly holds 23,069,461 Common A Shares, constituting approximately 12.3% of the 186,847,433 Common A Shares outstanding as of April 20, 2022, as reported in the Issuer’s Quarterly Report on Form 10-Q filed with the SEC on April 25, 2022. Since SHC controls STC, it is deemed to beneficially own the Common A Shares held directly by STC. Since Schlumberger BV controls SHC, it is deemed to beneficially own the Common A Shares held directly by STC. Since Schlumberger Limited controls Schlumberger BV, it is deemed to beneficially own the Common A Shares held directly by STC.</w:t>
      </w:r>
    </w:p>
    <w:p>
      <w:pPr>
        <w:spacing w:after="0" w:line="88" w:lineRule="exact"/>
        <w:rPr>
          <w:rFonts w:ascii="Times New Roman" w:cs="Times New Roman" w:eastAsia="Times New Roman" w:hAnsi="Times New Roman"/>
          <w:sz w:val="18"/>
          <w:szCs w:val="18"/>
          <w:color w:val="auto"/>
        </w:rPr>
      </w:pPr>
    </w:p>
    <w:p>
      <w:pPr>
        <w:ind w:left="960" w:right="220" w:hanging="532"/>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Limited, Schlumberger BV, SHC and STC have shared voting power and shared dispositive power over the Common A Shares held directly by STC.</w:t>
      </w:r>
    </w:p>
    <w:p>
      <w:pPr>
        <w:spacing w:after="0" w:line="67" w:lineRule="exact"/>
        <w:rPr>
          <w:rFonts w:ascii="Times New Roman" w:cs="Times New Roman" w:eastAsia="Times New Roman" w:hAnsi="Times New Roman"/>
          <w:sz w:val="18"/>
          <w:szCs w:val="18"/>
          <w:color w:val="auto"/>
        </w:rPr>
      </w:pPr>
    </w:p>
    <w:p>
      <w:pPr>
        <w:ind w:left="960" w:right="20" w:hanging="532"/>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8, 2022, STC sold 12,032,500 Common A Shares at a price of $17.00 per share pursuant to Rule 144 under the Securities Act of 1933, as amended, for aggregate consideration of $204,552,500.00.</w:t>
      </w:r>
    </w:p>
    <w:p>
      <w:pPr>
        <w:spacing w:after="0" w:line="67" w:lineRule="exact"/>
        <w:rPr>
          <w:rFonts w:ascii="Times New Roman" w:cs="Times New Roman" w:eastAsia="Times New Roman" w:hAnsi="Times New Roman"/>
          <w:sz w:val="18"/>
          <w:szCs w:val="18"/>
          <w:color w:val="auto"/>
        </w:rPr>
      </w:pPr>
    </w:p>
    <w:p>
      <w:pPr>
        <w:ind w:left="960" w:hanging="532"/>
        <w:spacing w:after="0" w:line="261"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Persons have the right to receive distributions from, or proceeds from the sale of, the Common A Shares reported herein. Except as set forth in the preceding sentence, no other person is known by the Reporting Persons to have the right to receive or the power to direct the receipt of distributions from, or the proceeds from the sale of, Common A Shares beneficially owned by the Reporting Persons.</w:t>
      </w:r>
    </w:p>
    <w:p>
      <w:pPr>
        <w:spacing w:after="0" w:line="85"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860"/>
          </w:cols>
          <w:pgMar w:left="440" w:top="266" w:right="5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10, 2022</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Schlumberger N.V. (Schlumberger Limited)</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Samantha Blons</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Samantha Blons</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Assistant Secretary</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Schlumberger B.V.</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Eileen Hardell</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Eileen Hardell</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19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Schlumberger Holdings Corporation</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Corrie Merchant</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Corrie Merchant</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Treasurer</w:t>
            </w:r>
          </w:p>
        </w:tc>
      </w:tr>
    </w:tbl>
    <w:p>
      <w:pPr>
        <w:spacing w:after="0" w:line="19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Schlumberger Technology Corporation</w:t>
      </w:r>
    </w:p>
    <w:p>
      <w:pPr>
        <w:spacing w:after="0" w:line="229" w:lineRule="exact"/>
        <w:rPr>
          <w:sz w:val="20"/>
          <w:szCs w:val="20"/>
          <w:color w:val="auto"/>
        </w:rPr>
      </w:pPr>
    </w:p>
    <w:tbl>
      <w:tblPr>
        <w:tblLayout w:type="fixed"/>
        <w:tblInd w:w="4180" w:type="dxa"/>
        <w:tblCellMar>
          <w:top w:w="0" w:type="dxa"/>
          <w:left w:w="0" w:type="dxa"/>
          <w:bottom w:w="0" w:type="dxa"/>
          <w:right w:w="0" w:type="dxa"/>
        </w:tblCellMar>
      </w:tblPr>
      <w:tr>
        <w:trPr>
          <w:trHeight w:val="234"/>
        </w:trPr>
        <w:tc>
          <w:tcPr>
            <w:tcW w:w="296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Corrie Merchant</w:t>
            </w:r>
          </w:p>
        </w:tc>
      </w:tr>
      <w:tr>
        <w:trPr>
          <w:trHeight w:val="191"/>
        </w:trPr>
        <w:tc>
          <w:tcPr>
            <w:tcW w:w="2960" w:type="dxa"/>
            <w:vAlign w:val="bottom"/>
          </w:tcPr>
          <w:p>
            <w:pPr>
              <w:ind w:left="24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Corrie Merchant</w:t>
            </w:r>
          </w:p>
        </w:tc>
      </w:tr>
      <w:tr>
        <w:trPr>
          <w:trHeight w:val="234"/>
        </w:trPr>
        <w:tc>
          <w:tcPr>
            <w:tcW w:w="296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Treasurer</w:t>
            </w:r>
          </w:p>
        </w:tc>
      </w:tr>
      <w:tr>
        <w:trPr>
          <w:trHeight w:val="432"/>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[Signature Page to Schedule 13D/A]</w:t>
            </w:r>
          </w:p>
        </w:tc>
        <w:tc>
          <w:tcPr>
            <w:tcW w:w="38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2022-06-10T16:19:06Z</dcterms:created>
  <dcterms:modified xsi:type="dcterms:W3CDTF">2022-06-10T16:19:06Z</dcterms:modified>
</cp:coreProperties>
</file>