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UNDER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8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220"/>
        <w:spacing w:after="0"/>
        <w:rPr>
          <w:sz w:val="20"/>
          <w:szCs w:val="20"/>
          <w:color w:val="auto"/>
        </w:rPr>
      </w:pPr>
      <w:r>
        <w:rPr>
          <w:rFonts w:ascii="Arial" w:cs="Arial" w:eastAsia="Arial" w:hAnsi="Arial"/>
          <w:sz w:val="16"/>
          <w:szCs w:val="16"/>
          <w:b w:val="1"/>
          <w:bCs w:val="1"/>
          <w:color w:val="auto"/>
        </w:rPr>
        <w:t>March 31, 2008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405"/>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3"/>
              </w:rPr>
              <w:t>5599 SAN FELIPE, 17</w:t>
            </w:r>
            <w:r>
              <w:rPr>
                <w:rFonts w:ascii="Arial" w:cs="Arial" w:eastAsia="Arial" w:hAnsi="Arial"/>
                <w:sz w:val="22"/>
                <w:szCs w:val="22"/>
                <w:b w:val="1"/>
                <w:bCs w:val="1"/>
                <w:color w:val="auto"/>
                <w:w w:val="93"/>
                <w:vertAlign w:val="superscript"/>
              </w:rPr>
              <w:t>th</w:t>
            </w:r>
            <w:r>
              <w:rPr>
                <w:rFonts w:ascii="Arial" w:cs="Arial" w:eastAsia="Arial" w:hAnsi="Arial"/>
                <w:sz w:val="18"/>
                <w:szCs w:val="18"/>
                <w:b w:val="1"/>
                <w:bCs w:val="1"/>
                <w:color w:val="auto"/>
                <w:w w:val="93"/>
              </w:rPr>
              <w:t xml:space="preserve"> FLOOR</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44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207" w:lineRule="exact"/>
        <w:tabs>
          <w:tab w:leader="none" w:pos="2860" w:val="left"/>
          <w:tab w:leader="none" w:pos="5380" w:val="left"/>
          <w:tab w:leader="none" w:pos="92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496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jc w:val="center"/>
              <w:ind w:right="602"/>
              <w:spacing w:after="0"/>
              <w:rPr>
                <w:sz w:val="20"/>
                <w:szCs w:val="20"/>
                <w:color w:val="auto"/>
              </w:rPr>
            </w:pPr>
            <w:r>
              <w:rPr>
                <w:rFonts w:ascii="Arial" w:cs="Arial" w:eastAsia="Arial" w:hAnsi="Arial"/>
                <w:sz w:val="14"/>
                <w:szCs w:val="14"/>
                <w:b w:val="1"/>
                <w:bCs w:val="1"/>
                <w:color w:val="auto"/>
                <w:w w:val="80"/>
              </w:rPr>
              <w:t>Class</w:t>
            </w:r>
          </w:p>
        </w:tc>
        <w:tc>
          <w:tcPr>
            <w:tcW w:w="512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Outstanding at March 31, 2008</w:t>
            </w:r>
          </w:p>
        </w:tc>
      </w:tr>
      <w:tr>
        <w:trPr>
          <w:trHeight w:val="222"/>
        </w:trPr>
        <w:tc>
          <w:tcPr>
            <w:tcW w:w="6300" w:type="dxa"/>
            <w:vAlign w:val="bottom"/>
          </w:tcPr>
          <w:p>
            <w:pPr>
              <w:jc w:val="center"/>
              <w:ind w:right="582"/>
              <w:spacing w:after="0"/>
              <w:rPr>
                <w:sz w:val="20"/>
                <w:szCs w:val="20"/>
                <w:color w:val="auto"/>
              </w:rPr>
            </w:pPr>
            <w:r>
              <w:rPr>
                <w:rFonts w:ascii="Arial" w:cs="Arial" w:eastAsia="Arial" w:hAnsi="Arial"/>
                <w:sz w:val="18"/>
                <w:szCs w:val="18"/>
                <w:color w:val="auto"/>
                <w:w w:val="92"/>
              </w:rPr>
              <w:t>COMMON STOCK, $0.01 PAR VALUE PER SHARE</w:t>
            </w:r>
          </w:p>
        </w:tc>
        <w:tc>
          <w:tcPr>
            <w:tcW w:w="5120" w:type="dxa"/>
            <w:vAlign w:val="bottom"/>
          </w:tcPr>
          <w:p>
            <w:pPr>
              <w:jc w:val="right"/>
              <w:ind w:right="2102"/>
              <w:spacing w:after="0"/>
              <w:rPr>
                <w:sz w:val="20"/>
                <w:szCs w:val="20"/>
                <w:color w:val="auto"/>
              </w:rPr>
            </w:pPr>
            <w:r>
              <w:rPr>
                <w:rFonts w:ascii="Arial" w:cs="Arial" w:eastAsia="Arial" w:hAnsi="Arial"/>
                <w:sz w:val="18"/>
                <w:szCs w:val="18"/>
                <w:color w:val="auto"/>
              </w:rPr>
              <w:t>1,193,086,947</w:t>
            </w:r>
          </w:p>
        </w:tc>
      </w:tr>
      <w:tr>
        <w:trPr>
          <w:trHeight w:val="205"/>
        </w:trPr>
        <w:tc>
          <w:tcPr>
            <w:tcW w:w="6300" w:type="dxa"/>
            <w:vAlign w:val="bottom"/>
            <w:tcBorders>
              <w:bottom w:val="single" w:sz="8" w:color="auto"/>
            </w:tcBorders>
          </w:tcPr>
          <w:p>
            <w:pPr>
              <w:spacing w:after="0"/>
              <w:rPr>
                <w:sz w:val="17"/>
                <w:szCs w:val="17"/>
                <w:color w:val="auto"/>
              </w:rPr>
            </w:pPr>
          </w:p>
        </w:tc>
        <w:tc>
          <w:tcPr>
            <w:tcW w:w="5120" w:type="dxa"/>
            <w:vAlign w:val="bottom"/>
            <w:tcBorders>
              <w:bottom w:val="single" w:sz="8" w:color="auto"/>
            </w:tcBorders>
          </w:tcPr>
          <w:p>
            <w:pPr>
              <w:spacing w:after="0"/>
              <w:rPr>
                <w:sz w:val="17"/>
                <w:szCs w:val="17"/>
                <w:color w:val="auto"/>
              </w:rPr>
            </w:pP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SCHLUMBERGER LIMITED</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2008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60" w:type="dxa"/>
            <w:vAlign w:val="bottom"/>
            <w:gridSpan w:val="6"/>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vMerge w:val="continue"/>
          </w:tcPr>
          <w:p>
            <w:pPr>
              <w:spacing w:after="0"/>
              <w:rPr>
                <w:sz w:val="14"/>
                <w:szCs w:val="14"/>
                <w:color w:val="auto"/>
              </w:rPr>
            </w:pPr>
          </w:p>
        </w:tc>
        <w:tc>
          <w:tcPr>
            <w:tcW w:w="1660" w:type="dxa"/>
            <w:vAlign w:val="bottom"/>
            <w:tcBorders>
              <w:bottom w:val="single" w:sz="8" w:color="0000EE"/>
            </w:tcBorders>
            <w:gridSpan w:val="6"/>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02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17"/>
                <w:szCs w:val="17"/>
                <w:color w:val="auto"/>
              </w:rPr>
            </w:pPr>
          </w:p>
        </w:tc>
        <w:tc>
          <w:tcPr>
            <w:tcW w:w="85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Risk Factors</w:t>
              </w:r>
            </w:hyperlink>
          </w:p>
        </w:tc>
        <w:tc>
          <w:tcPr>
            <w:tcW w:w="91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20" w:type="dxa"/>
            <w:vAlign w:val="bottom"/>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6"/>
          </w:tcPr>
          <w:p>
            <w:pPr>
              <w:spacing w:after="0"/>
              <w:rPr>
                <w:sz w:val="18"/>
                <w:szCs w:val="18"/>
                <w:color w:val="auto"/>
              </w:rPr>
            </w:pPr>
          </w:p>
        </w:tc>
        <w:tc>
          <w:tcPr>
            <w:tcW w:w="636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02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720" w:type="dxa"/>
            <w:vAlign w:val="bottom"/>
            <w:gridSpan w:val="11"/>
          </w:tcPr>
          <w:p>
            <w:pPr>
              <w:jc w:val="right"/>
              <w:ind w:right="16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00" w:type="dxa"/>
            <w:vAlign w:val="bottom"/>
          </w:tcPr>
          <w:p>
            <w:pPr>
              <w:jc w:val="center"/>
              <w:ind w:left="1832"/>
              <w:spacing w:after="0"/>
              <w:rPr>
                <w:sz w:val="20"/>
                <w:szCs w:val="20"/>
                <w:color w:val="auto"/>
              </w:rPr>
            </w:pPr>
            <w:r>
              <w:rPr>
                <w:rFonts w:ascii="Arial" w:cs="Arial" w:eastAsia="Arial" w:hAnsi="Arial"/>
                <w:sz w:val="18"/>
                <w:szCs w:val="18"/>
                <w:b w:val="1"/>
                <w:bCs w:val="1"/>
                <w:color w:val="auto"/>
                <w:w w:val="99"/>
              </w:rPr>
              <w:t>PART I. FINANCIAL INFORMATION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00" w:type="dxa"/>
            <w:vAlign w:val="bottom"/>
          </w:tcPr>
          <w:p>
            <w:pPr>
              <w:jc w:val="center"/>
              <w:ind w:left="1852"/>
              <w:spacing w:after="0"/>
              <w:rPr>
                <w:sz w:val="20"/>
                <w:szCs w:val="20"/>
                <w:color w:val="auto"/>
              </w:rPr>
            </w:pPr>
            <w:r>
              <w:rPr>
                <w:rFonts w:ascii="Arial" w:cs="Arial" w:eastAsia="Arial" w:hAnsi="Arial"/>
                <w:sz w:val="18"/>
                <w:szCs w:val="18"/>
                <w:b w:val="1"/>
                <w:bCs w:val="1"/>
                <w:color w:val="auto"/>
                <w:w w:val="99"/>
              </w:rPr>
              <w:t>SCHLUMBERGER LIMITED AND SUBSIDIARIES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00" w:type="dxa"/>
            <w:vAlign w:val="bottom"/>
          </w:tcPr>
          <w:p>
            <w:pPr>
              <w:jc w:val="center"/>
              <w:ind w:left="1852"/>
              <w:spacing w:after="0"/>
              <w:rPr>
                <w:sz w:val="20"/>
                <w:szCs w:val="20"/>
                <w:color w:val="auto"/>
              </w:rPr>
            </w:pPr>
            <w:r>
              <w:rPr>
                <w:rFonts w:ascii="Arial" w:cs="Arial" w:eastAsia="Arial" w:hAnsi="Arial"/>
                <w:sz w:val="18"/>
                <w:szCs w:val="18"/>
                <w:b w:val="1"/>
                <w:bCs w:val="1"/>
                <w:color w:val="auto"/>
                <w:w w:val="98"/>
              </w:rPr>
              <w:t>CONSOLIDATED STATEMENT OF INCOME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00" w:type="dxa"/>
            <w:vAlign w:val="bottom"/>
          </w:tcPr>
          <w:p>
            <w:pPr>
              <w:jc w:val="center"/>
              <w:ind w:left="1832"/>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w w:val="84"/>
              </w:rPr>
              <w:t>(Stated in</w:t>
            </w:r>
          </w:p>
        </w:tc>
        <w:tc>
          <w:tcPr>
            <w:tcW w:w="1320" w:type="dxa"/>
            <w:vAlign w:val="bottom"/>
            <w:gridSpan w:val="3"/>
          </w:tcPr>
          <w:p>
            <w:pPr>
              <w:jc w:val="right"/>
              <w:ind w:right="213"/>
              <w:spacing w:after="0" w:line="129" w:lineRule="exact"/>
              <w:rPr>
                <w:sz w:val="20"/>
                <w:szCs w:val="20"/>
                <w:color w:val="auto"/>
              </w:rPr>
            </w:pPr>
            <w:r>
              <w:rPr>
                <w:rFonts w:ascii="Arial" w:cs="Arial" w:eastAsia="Arial" w:hAnsi="Arial"/>
                <w:sz w:val="14"/>
                <w:szCs w:val="14"/>
                <w:b w:val="1"/>
                <w:bCs w:val="1"/>
                <w:color w:val="auto"/>
                <w:w w:val="83"/>
              </w:rPr>
              <w:t>thousands except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89"/>
              </w:rPr>
              <w:t>6,289,873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5,464,405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102,230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Cost of goods sold &amp; services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89"/>
              </w:rPr>
              <w:t>4,358,295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3,622,344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191,031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22,968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138,332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89"/>
              </w:rPr>
              <w:t>Interest</w:t>
            </w:r>
          </w:p>
        </w:tc>
        <w:tc>
          <w:tcPr>
            <w:tcW w:w="7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66,041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 and minority interest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89"/>
              </w:rPr>
              <w:t>1,615,436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1,554,506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308,587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89"/>
              </w:rPr>
              <w:t>1,306,849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1,180,827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(6,395)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89"/>
              </w:rPr>
              <w:t>1,300,454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1,180,827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37,850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89"/>
              </w:rPr>
              <w:t>1,338,304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1,180,827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0.03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0.03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Arial" w:cs="Arial" w:eastAsia="Arial" w:hAnsi="Arial"/>
                <w:sz w:val="18"/>
                <w:szCs w:val="18"/>
                <w:color w:val="auto"/>
              </w:rPr>
              <w:t>Average shares outstanding:</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89"/>
              </w:rPr>
              <w:t>1,195,995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1,178,453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Assuming dilution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89"/>
              </w:rPr>
              <w:t>1,233,244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1,236,491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Mar. 31, 2008</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Dec.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145,093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3,008,346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2,971,800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(2008—$87,578; 2007—$85,780)</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5,781,455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5,361,114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1,763,169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1,638,192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taxes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172,316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775,581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704,482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11,645,960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11,055,383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423,688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INVESTMENTS IN AFFILIATED COMPANIES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1,507,183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1,412,189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FIXED ASSETS LESS ACCUMULATED DEPRECIATION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8,350,827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220,267</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5,172,562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INTANGIBLE ASSETS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875,206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206,562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ASSETS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552,114</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495,872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0"/>
              </w:rPr>
              <w:t>28,954,369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27,853,372</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4,474,466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4,550,728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Estimated liability for taxes on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1,002,843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Dividend payable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252,525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debt—current portion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590,567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Convertible debentures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306,579</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353,408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682,303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679,594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7,309,283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7,504,851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415,770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LONG-TERM DEBT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3,737,656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3,378,569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830,882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LIABILITIES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827,675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775,975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0"/>
              </w:rPr>
              <w:t>13,121,266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12,915,603</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50,455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Common stock</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4,341,222</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4,136,363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retained for use in the business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0"/>
              </w:rPr>
              <w:t>16,548,940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15,461,767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Treasury stock at cost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(3,999,359)</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(3,549,243)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(1,108,155)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(1,172,999)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15,782,648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14,875,888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0"/>
              </w:rPr>
              <w:t>28,954,369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27,853,372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7"/>
            <w:shd w:val="clear" w:color="auto" w:fill="CCEEFF"/>
          </w:tcPr>
          <w:p>
            <w:pPr>
              <w:jc w:val="right"/>
              <w:ind w:right="460"/>
              <w:spacing w:after="0" w:line="142" w:lineRule="exact"/>
              <w:rPr>
                <w:sz w:val="20"/>
                <w:szCs w:val="20"/>
                <w:color w:val="auto"/>
              </w:rPr>
            </w:pPr>
            <w:r>
              <w:rPr>
                <w:rFonts w:ascii="Arial" w:cs="Arial" w:eastAsia="Arial" w:hAnsi="Arial"/>
                <w:sz w:val="14"/>
                <w:szCs w:val="14"/>
                <w:b w:val="1"/>
                <w:bCs w:val="1"/>
                <w:color w:val="auto"/>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1,338,304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1,180,827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860"/>
              <w:spacing w:after="0"/>
              <w:rPr>
                <w:sz w:val="20"/>
                <w:szCs w:val="20"/>
                <w:color w:val="auto"/>
              </w:rPr>
            </w:pPr>
            <w:r>
              <w:rPr>
                <w:rFonts w:ascii="Arial" w:cs="Arial" w:eastAsia="Arial" w:hAnsi="Arial"/>
                <w:sz w:val="18"/>
                <w:szCs w:val="18"/>
                <w:color w:val="auto"/>
              </w:rPr>
              <w:t>Less: Income from discontinued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(37,850)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516,689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440,977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(56,590)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8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27,448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40,836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22"/>
                <w:szCs w:val="22"/>
                <w:color w:val="auto"/>
                <w:vertAlign w:val="superscript"/>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860"/>
              <w:spacing w:after="0"/>
              <w:rPr>
                <w:sz w:val="20"/>
                <w:szCs w:val="20"/>
                <w:color w:val="auto"/>
              </w:rPr>
            </w:pPr>
            <w:r>
              <w:rPr>
                <w:rFonts w:ascii="Arial" w:cs="Arial" w:eastAsia="Arial" w:hAnsi="Arial"/>
                <w:sz w:val="18"/>
                <w:szCs w:val="18"/>
                <w:color w:val="auto"/>
              </w:rPr>
              <w:t>Increase in receivables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(349,124)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(455,205)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(124,823)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860"/>
              <w:spacing w:after="0"/>
              <w:rPr>
                <w:sz w:val="20"/>
                <w:szCs w:val="20"/>
                <w:color w:val="auto"/>
              </w:rPr>
            </w:pPr>
            <w:r>
              <w:rPr>
                <w:rFonts w:ascii="Arial" w:cs="Arial" w:eastAsia="Arial" w:hAnsi="Arial"/>
                <w:sz w:val="18"/>
                <w:szCs w:val="18"/>
                <w:color w:val="auto"/>
              </w:rPr>
              <w:t>Increase in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(121,663)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 accounts payable and accrued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(26,133)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860"/>
              <w:spacing w:after="0"/>
              <w:rPr>
                <w:sz w:val="20"/>
                <w:szCs w:val="20"/>
                <w:color w:val="auto"/>
              </w:rPr>
            </w:pPr>
            <w:r>
              <w:rPr>
                <w:rFonts w:ascii="Arial" w:cs="Arial" w:eastAsia="Arial" w:hAnsi="Arial"/>
                <w:sz w:val="18"/>
                <w:szCs w:val="18"/>
                <w:color w:val="auto"/>
              </w:rPr>
              <w:t>(Decrease) increase in estimated liability for taxes on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(53,820)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(28,268)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17,968</w:t>
            </w:r>
          </w:p>
        </w:tc>
        <w:tc>
          <w:tcPr>
            <w:tcW w:w="0" w:type="dxa"/>
            <w:vAlign w:val="bottom"/>
          </w:tcPr>
          <w:p>
            <w:pPr>
              <w:spacing w:after="0"/>
              <w:rPr>
                <w:sz w:val="1"/>
                <w:szCs w:val="1"/>
                <w:color w:val="auto"/>
              </w:rPr>
            </w:pPr>
          </w:p>
        </w:tc>
      </w:tr>
      <w:tr>
        <w:trPr>
          <w:trHeight w:val="230"/>
        </w:trPr>
        <w:tc>
          <w:tcPr>
            <w:tcW w:w="924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1,129,896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1,016,786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Purchase of fixed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(751,776)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(553,460)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(80,602)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Business acquisitions and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(24,267)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sale of investments,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(50,473)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(913,463)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(371,453)</w:t>
            </w:r>
          </w:p>
        </w:tc>
        <w:tc>
          <w:tcPr>
            <w:tcW w:w="0" w:type="dxa"/>
            <w:vAlign w:val="bottom"/>
          </w:tcPr>
          <w:p>
            <w:pPr>
              <w:spacing w:after="0"/>
              <w:rPr>
                <w:sz w:val="1"/>
                <w:szCs w:val="1"/>
                <w:color w:val="auto"/>
              </w:rPr>
            </w:pPr>
          </w:p>
        </w:tc>
      </w:tr>
      <w:tr>
        <w:trPr>
          <w:trHeight w:val="222"/>
        </w:trPr>
        <w:tc>
          <w:tcPr>
            <w:tcW w:w="924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(209,204)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12,989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65,763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Stock option windfall tax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88,038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(564,302)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342,444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(72,321)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(469,243)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Net increase in short-term debt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(332,895)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(675,979)</w:t>
            </w:r>
          </w:p>
        </w:tc>
        <w:tc>
          <w:tcPr>
            <w:tcW w:w="0" w:type="dxa"/>
            <w:vAlign w:val="bottom"/>
          </w:tcPr>
          <w:p>
            <w:pPr>
              <w:spacing w:after="0"/>
              <w:rPr>
                <w:sz w:val="1"/>
                <w:szCs w:val="1"/>
                <w:color w:val="auto"/>
              </w:rPr>
            </w:pPr>
          </w:p>
        </w:tc>
      </w:tr>
      <w:tr>
        <w:trPr>
          <w:trHeight w:val="230"/>
        </w:trPr>
        <w:tc>
          <w:tcPr>
            <w:tcW w:w="9240" w:type="dxa"/>
            <w:vAlign w:val="bottom"/>
            <w:gridSpan w:val="3"/>
          </w:tcPr>
          <w:p>
            <w:pPr>
              <w:spacing w:after="0"/>
              <w:rPr>
                <w:sz w:val="20"/>
                <w:szCs w:val="20"/>
                <w:color w:val="auto"/>
              </w:rPr>
            </w:pPr>
            <w:r>
              <w:rPr>
                <w:rFonts w:ascii="Arial" w:cs="Arial" w:eastAsia="Arial" w:hAnsi="Arial"/>
                <w:sz w:val="18"/>
                <w:szCs w:val="18"/>
                <w:color w:val="auto"/>
              </w:rPr>
              <w:t>Cash flow from discontinued operations—operating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63,382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 effect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(53,080)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197,233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145,093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135,320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the effect of business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Accumulated 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8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4"/>
              </w:rPr>
              <w:t>Retained</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w w:val="84"/>
              </w:rPr>
              <w:t>Comprehensive Income (Loss)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7"/>
              </w:rPr>
              <w:t>Comprehensive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78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Marked to</w:t>
            </w:r>
          </w:p>
        </w:tc>
        <w:tc>
          <w:tcPr>
            <w:tcW w:w="220" w:type="dxa"/>
            <w:vAlign w:val="bottom"/>
          </w:tcPr>
          <w:p>
            <w:pPr>
              <w:spacing w:after="0"/>
              <w:rPr>
                <w:sz w:val="11"/>
                <w:szCs w:val="11"/>
                <w:color w:val="auto"/>
              </w:rPr>
            </w:pPr>
          </w:p>
        </w:tc>
        <w:tc>
          <w:tcPr>
            <w:tcW w:w="13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7"/>
              </w:rPr>
              <w:t>Deferred Employee</w:t>
            </w:r>
          </w:p>
        </w:tc>
        <w:tc>
          <w:tcPr>
            <w:tcW w:w="1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87"/>
              </w:rPr>
              <w:t>Translation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Issued</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In Treasury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Benefits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Adjustment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4"/>
              </w:rPr>
              <w:t>Income (Loss)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(Stated in</w:t>
            </w:r>
          </w:p>
        </w:tc>
        <w:tc>
          <w:tcPr>
            <w:tcW w:w="1400" w:type="dxa"/>
            <w:vAlign w:val="bottom"/>
            <w:gridSpan w:val="3"/>
          </w:tcPr>
          <w:p>
            <w:pPr>
              <w:jc w:val="right"/>
              <w:ind w:right="652"/>
              <w:spacing w:after="0" w:line="142" w:lineRule="exact"/>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2008</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$ 4,136,363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(3,549,243)</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$ 15,461,767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31,627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(383,741)</w:t>
            </w:r>
          </w:p>
        </w:tc>
        <w:tc>
          <w:tcPr>
            <w:tcW w:w="2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(820,885)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1,338,304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1,338,304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 net of tax</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40,749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Translation adjustment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8,664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net of tax</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Amortization of actuarial net loss, net of tax</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8,439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Dividends declared ($0.21 per share)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(251,131)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(564,302)</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25,083</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shares sold to optionees, less shares exchanged</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55,595</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40,836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33,508</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Tax benefits on stock options</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88,038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March 31, 2008</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$ 4,341,222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(3,999,359)</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$ 16,548,940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72,376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(368,310)</w:t>
            </w:r>
          </w:p>
        </w:tc>
        <w:tc>
          <w:tcPr>
            <w:tcW w:w="2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(812,221)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1,403,148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 Treasury</w:t>
            </w:r>
          </w:p>
        </w:tc>
        <w:tc>
          <w:tcPr>
            <w:tcW w:w="300" w:type="dxa"/>
            <w:vAlign w:val="bottom"/>
          </w:tcPr>
          <w:p>
            <w:pPr>
              <w:spacing w:after="0"/>
              <w:rPr>
                <w:sz w:val="14"/>
                <w:szCs w:val="14"/>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5"/>
              </w:rPr>
              <w:t>1,334,212,164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(138,595,840)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1,195,616,324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979,272</w:t>
            </w:r>
          </w:p>
        </w:tc>
        <w:tc>
          <w:tcPr>
            <w:tcW w:w="1320" w:type="dxa"/>
            <w:vAlign w:val="bottom"/>
          </w:tcPr>
          <w:p>
            <w:pPr>
              <w:jc w:val="right"/>
              <w:spacing w:after="0"/>
              <w:rPr>
                <w:sz w:val="20"/>
                <w:szCs w:val="20"/>
                <w:color w:val="auto"/>
              </w:rPr>
            </w:pPr>
            <w:r>
              <w:rPr>
                <w:rFonts w:ascii="Arial" w:cs="Arial" w:eastAsia="Arial" w:hAnsi="Arial"/>
                <w:sz w:val="18"/>
                <w:szCs w:val="18"/>
                <w:color w:val="auto"/>
              </w:rPr>
              <w:t>979,272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(6,953,300)</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(6,953,300)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2,146,617</w:t>
            </w:r>
          </w:p>
        </w:tc>
        <w:tc>
          <w:tcPr>
            <w:tcW w:w="1320" w:type="dxa"/>
            <w:vAlign w:val="bottom"/>
          </w:tcPr>
          <w:p>
            <w:pPr>
              <w:jc w:val="right"/>
              <w:spacing w:after="0"/>
              <w:rPr>
                <w:sz w:val="20"/>
                <w:szCs w:val="20"/>
                <w:color w:val="auto"/>
              </w:rPr>
            </w:pPr>
            <w:r>
              <w:rPr>
                <w:rFonts w:ascii="Arial" w:cs="Arial" w:eastAsia="Arial" w:hAnsi="Arial"/>
                <w:sz w:val="18"/>
                <w:szCs w:val="18"/>
                <w:color w:val="auto"/>
              </w:rPr>
              <w:t>2,146,617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1,298,034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Balance, March 31, 2008</w:t>
            </w: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w w:val="85"/>
              </w:rPr>
              <w:t>1,334,212,164</w:t>
            </w:r>
          </w:p>
        </w:tc>
        <w:tc>
          <w:tcPr>
            <w:tcW w:w="22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(141,125,217)</w:t>
            </w:r>
          </w:p>
        </w:tc>
        <w:tc>
          <w:tcPr>
            <w:tcW w:w="1320" w:type="dxa"/>
            <w:vAlign w:val="bottom"/>
          </w:tcPr>
          <w:p>
            <w:pPr>
              <w:jc w:val="right"/>
              <w:spacing w:after="0"/>
              <w:rPr>
                <w:sz w:val="20"/>
                <w:szCs w:val="20"/>
                <w:color w:val="auto"/>
              </w:rPr>
            </w:pPr>
            <w:r>
              <w:rPr>
                <w:rFonts w:ascii="Arial" w:cs="Arial" w:eastAsia="Arial" w:hAnsi="Arial"/>
                <w:sz w:val="18"/>
                <w:szCs w:val="18"/>
                <w:color w:val="auto"/>
              </w:rPr>
              <w:t>1,193,086,947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three-month period ended March 31, 2008 are not necessarily indicative of the results that may be expected for the full year ending December 31, 2008. The December 31, 2007 balance sheet information has been derived from the audited 2007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2007, filed with the Securities and Exchange Commission on February 13,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In December 2007, the Financial Accounting Standards Board (“FASB”) issued SFAS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establishes principles and requirements for how an acquirer in a business combination recognizes and measures the assets acquired, liabilities assumed, and any noncontrolling interest (previously referred to as minority interest) in the acquiree. The provisions of SFAS 141(R) are effective for business combinations occurring on or after January 1, 2009.</w:t>
      </w:r>
    </w:p>
    <w:p>
      <w:pPr>
        <w:spacing w:after="0" w:line="143"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 xml:space="preserve">In December 2007, the FASB issued SFAS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 Amendment of ARB No. 51</w:t>
      </w:r>
      <w:r>
        <w:rPr>
          <w:rFonts w:ascii="Arial" w:cs="Arial" w:eastAsia="Arial" w:hAnsi="Arial"/>
          <w:sz w:val="16"/>
          <w:szCs w:val="16"/>
          <w:color w:val="auto"/>
        </w:rPr>
        <w:t xml:space="preserve"> (“SFAS 160”)</w:t>
      </w:r>
      <w:r>
        <w:rPr>
          <w:rFonts w:ascii="Arial" w:cs="Arial" w:eastAsia="Arial" w:hAnsi="Arial"/>
          <w:sz w:val="16"/>
          <w:szCs w:val="16"/>
          <w:i w:val="1"/>
          <w:iCs w:val="1"/>
          <w:color w:val="auto"/>
        </w:rPr>
        <w:t>.</w:t>
      </w:r>
      <w:r>
        <w:rPr>
          <w:rFonts w:ascii="Arial" w:cs="Arial" w:eastAsia="Arial" w:hAnsi="Arial"/>
          <w:sz w:val="16"/>
          <w:szCs w:val="16"/>
          <w:color w:val="auto"/>
        </w:rPr>
        <w:t xml:space="preserve"> This statement amends ARB 51 to establish accounting and reporting standards for the noncontrolling interest in a subsidiary and for the loss of control of a subsidiary. Upon its adoption on January 1, 2009, noncontrolling interests will be classified as equity in the Schlumberger financial statements.</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SFAS 160 also changes the way the consolidated income statement is presented by requiring net income to include the net income for both the parent and the noncontrolling interest, with disclosure of both amounts on the consolidated statement of income. The calculation of earnings per share will continue to be based on income amounts attributable to the parent. The provisions of this standard must be applied retrospectively upon adoption.</w:t>
      </w:r>
    </w:p>
    <w:p>
      <w:pPr>
        <w:spacing w:after="0" w:line="22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 from continuing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 2008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First Quarter 2007</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Income from</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Income from</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Earnings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per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6"/>
              </w:rPr>
              <w:t>Operations</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6"/>
              </w:rPr>
              <w:t>Operations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2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96"/>
              </w:rPr>
              <w:t>in</w:t>
            </w: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1"/>
              </w:rPr>
              <w:t>thousands</w:t>
            </w:r>
          </w:p>
        </w:tc>
        <w:tc>
          <w:tcPr>
            <w:tcW w:w="15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3"/>
              </w:rPr>
              <w:t>except per share amounts)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1,300,454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1,180,827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1,178,453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4,010</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18,871</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7,197</w:t>
            </w: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38,209</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1,304,464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1,233,244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1,188,024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1,236,491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20"/>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Employee stock options to purchase approximately 809,500 and 624,000 shares of common stock at March 31, 2008 and 2007, respectively, were outstanding but not included in the computation of diluted earnings per share because the option price was greater than the average market price of the common stock, and therefore, the effect on diluted earnings per share would have been anti-dilutive.</w:t>
      </w:r>
    </w:p>
    <w:p>
      <w:pPr>
        <w:spacing w:after="0" w:line="25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MI-SWACO drilling fluids joint venture is owned 40% by Schlumberger and 60% by Smith International, Inc. Schlumberger records income from this joint venture using the equity method of accounting. The Schlumberger investment in the joint venture at March 31, 2008 was $1.22 billion and at December 31, 2007 was $1.17 billion. Schlumberger’s equity income from this joint venture, which is recorded one month in arrears, was $51 million for the first quarter of 2008 and $38 million for the first quarter of 2007.</w:t>
      </w:r>
    </w:p>
    <w:p>
      <w:pPr>
        <w:spacing w:after="0" w:line="143"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Schlumberger joint venture agreement with Smith International, Inc. contains a provision under which either party to the joint venture may offer to sell its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 specified in the offer notice.</w:t>
      </w:r>
    </w:p>
    <w:p>
      <w:pPr>
        <w:spacing w:after="0" w:line="20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91"/>
              </w:rPr>
              <w:t>Mar. 31</w:t>
            </w:r>
          </w:p>
        </w:tc>
        <w:tc>
          <w:tcPr>
            <w:tcW w:w="1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80" w:type="dxa"/>
            <w:vAlign w:val="bottom"/>
            <w:gridSpan w:val="2"/>
          </w:tcPr>
          <w:p>
            <w:pPr>
              <w:spacing w:after="0"/>
              <w:rPr>
                <w:sz w:val="14"/>
                <w:szCs w:val="14"/>
                <w:color w:val="auto"/>
              </w:rPr>
            </w:pPr>
          </w:p>
        </w:tc>
        <w:tc>
          <w:tcPr>
            <w:tcW w:w="4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960" w:type="dxa"/>
            <w:vAlign w:val="bottom"/>
            <w:gridSpan w:val="3"/>
          </w:tcPr>
          <w:p>
            <w:pPr>
              <w:jc w:val="right"/>
              <w:ind w:right="104"/>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432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$ 1,638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Work in process</w:t>
            </w:r>
          </w:p>
        </w:tc>
        <w:tc>
          <w:tcPr>
            <w:tcW w:w="4320" w:type="dxa"/>
            <w:vAlign w:val="bottom"/>
            <w:gridSpan w:val="5"/>
          </w:tcPr>
          <w:p>
            <w:pPr>
              <w:jc w:val="right"/>
              <w:ind w:right="252"/>
              <w:spacing w:after="0"/>
              <w:rPr>
                <w:sz w:val="20"/>
                <w:szCs w:val="20"/>
                <w:color w:val="auto"/>
              </w:rPr>
            </w:pPr>
            <w:r>
              <w:rPr>
                <w:rFonts w:ascii="Arial" w:cs="Arial" w:eastAsia="Arial" w:hAnsi="Arial"/>
                <w:sz w:val="18"/>
                <w:szCs w:val="18"/>
                <w:b w:val="1"/>
                <w:bCs w:val="1"/>
                <w:color w:val="auto"/>
              </w:rPr>
              <w:t>135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8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1,948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 reserves for obsolescence</w:t>
            </w:r>
          </w:p>
        </w:tc>
        <w:tc>
          <w:tcPr>
            <w:tcW w:w="348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$ 1,763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7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Fixed Assets</w:t>
            </w: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5700" w:type="dxa"/>
            <w:vAlign w:val="bottom"/>
            <w:gridSpan w:val="2"/>
            <w:vMerge w:val="continue"/>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center"/>
              <w:ind w:left="2"/>
              <w:spacing w:after="0" w:line="142" w:lineRule="exact"/>
              <w:rPr>
                <w:sz w:val="20"/>
                <w:szCs w:val="20"/>
                <w:color w:val="auto"/>
              </w:rPr>
            </w:pPr>
            <w:r>
              <w:rPr>
                <w:rFonts w:ascii="Arial" w:cs="Arial" w:eastAsia="Arial" w:hAnsi="Arial"/>
                <w:sz w:val="14"/>
                <w:szCs w:val="14"/>
                <w:b w:val="1"/>
                <w:bCs w:val="1"/>
                <w:color w:val="auto"/>
                <w:w w:val="71"/>
              </w:rPr>
              <w:t>(Stated</w:t>
            </w:r>
          </w:p>
        </w:tc>
        <w:tc>
          <w:tcPr>
            <w:tcW w:w="1060" w:type="dxa"/>
            <w:vAlign w:val="bottom"/>
            <w:gridSpan w:val="4"/>
          </w:tcPr>
          <w:p>
            <w:pPr>
              <w:jc w:val="right"/>
              <w:ind w:right="224"/>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3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$ 17,992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$ 17,345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8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8,351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8,008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relating to fixed assets was $442 million and $348 million during the first quarters of 2008 and 2007, respectively.</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320" w:type="dxa"/>
            <w:vAlign w:val="bottom"/>
          </w:tcPr>
          <w:p>
            <w:pPr>
              <w:jc w:val="center"/>
              <w:ind w:left="1112"/>
              <w:spacing w:after="0"/>
              <w:rPr>
                <w:sz w:val="20"/>
                <w:szCs w:val="20"/>
                <w:color w:val="auto"/>
              </w:rPr>
            </w:pPr>
            <w:r>
              <w:rPr>
                <w:rFonts w:ascii="Arial" w:cs="Arial" w:eastAsia="Arial" w:hAnsi="Arial"/>
                <w:sz w:val="18"/>
                <w:szCs w:val="18"/>
                <w:b w:val="1"/>
                <w:bCs w:val="1"/>
                <w:color w:val="auto"/>
                <w:w w:val="99"/>
              </w:rPr>
              <w:t>SCHLUMBERGER LIMITED AND SUBSIDIARIES</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85"/>
        </w:trPr>
        <w:tc>
          <w:tcPr>
            <w:tcW w:w="460" w:type="dxa"/>
            <w:vAlign w:val="bottom"/>
          </w:tcPr>
          <w:p>
            <w:pPr>
              <w:spacing w:after="0"/>
              <w:rPr>
                <w:sz w:val="24"/>
                <w:szCs w:val="24"/>
                <w:color w:val="auto"/>
              </w:rPr>
            </w:pPr>
          </w:p>
        </w:tc>
        <w:tc>
          <w:tcPr>
            <w:tcW w:w="9320" w:type="dxa"/>
            <w:vAlign w:val="bottom"/>
          </w:tcPr>
          <w:p>
            <w:pPr>
              <w:jc w:val="center"/>
              <w:ind w:left="111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9320" w:type="dxa"/>
            <w:vAlign w:val="bottom"/>
          </w:tcPr>
          <w:p>
            <w:pPr>
              <w:jc w:val="center"/>
              <w:ind w:left="1092"/>
              <w:spacing w:after="0"/>
              <w:rPr>
                <w:sz w:val="20"/>
                <w:szCs w:val="20"/>
                <w:color w:val="auto"/>
              </w:rPr>
            </w:pPr>
            <w:r>
              <w:rPr>
                <w:rFonts w:ascii="Arial" w:cs="Arial" w:eastAsia="Arial" w:hAnsi="Arial"/>
                <w:sz w:val="18"/>
                <w:szCs w:val="18"/>
                <w:b w:val="1"/>
                <w:bCs w:val="1"/>
                <w:color w:val="auto"/>
                <w:w w:val="89"/>
              </w:rPr>
              <w:t>(Unaudited)</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6.   Multiclient Seismic Data</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9780" w:type="dxa"/>
            <w:vAlign w:val="bottom"/>
            <w:gridSpan w:val="2"/>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2"/>
        </w:trPr>
        <w:tc>
          <w:tcPr>
            <w:tcW w:w="46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(Stated in millions)</w:t>
            </w:r>
          </w:p>
        </w:tc>
      </w:tr>
      <w:tr>
        <w:trPr>
          <w:trHeight w:val="216"/>
        </w:trPr>
        <w:tc>
          <w:tcPr>
            <w:tcW w:w="46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Capitalized in period</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9780" w:type="dxa"/>
            <w:vAlign w:val="bottom"/>
            <w:gridSpan w:val="2"/>
          </w:tcPr>
          <w:p>
            <w:pPr>
              <w:ind w:left="460"/>
              <w:spacing w:after="0"/>
              <w:rPr>
                <w:sz w:val="20"/>
                <w:szCs w:val="20"/>
                <w:color w:val="auto"/>
              </w:rPr>
            </w:pPr>
            <w:r>
              <w:rPr>
                <w:rFonts w:ascii="Arial" w:cs="Arial" w:eastAsia="Arial" w:hAnsi="Arial"/>
                <w:sz w:val="18"/>
                <w:szCs w:val="18"/>
                <w:color w:val="auto"/>
              </w:rPr>
              <w:t>Balance at March 31, 2008</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Mar. 31, 2008</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2007</w:t>
            </w: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500" w:type="dxa"/>
            <w:vAlign w:val="bottom"/>
          </w:tcPr>
          <w:p>
            <w:pPr>
              <w:spacing w:after="0"/>
              <w:rPr>
                <w:sz w:val="11"/>
                <w:szCs w:val="11"/>
                <w:color w:val="auto"/>
              </w:rPr>
            </w:pPr>
          </w:p>
        </w:tc>
        <w:tc>
          <w:tcPr>
            <w:tcW w:w="5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Book</w:t>
            </w:r>
          </w:p>
        </w:tc>
        <w:tc>
          <w:tcPr>
            <w:tcW w:w="2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Book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Book</w:t>
            </w:r>
          </w:p>
        </w:tc>
        <w:tc>
          <w:tcPr>
            <w:tcW w:w="5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Book</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380" w:type="dxa"/>
            <w:vAlign w:val="bottom"/>
            <w:gridSpan w:val="4"/>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(Stated in millions)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344</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91</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87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1,258</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1,260</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$32 million during the first quarter of 2008 and $29 million during the first quarter of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the net book value of intangible assets at March 31, 2008, amortization charged to income for the subsequent five years is estimated to be: remainder of 2008–$84 million; 2009–$98 million; 2010–$88 million; 2011–$80 million; 2012–$74 million and 2013–$60 million.</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three types of stock-based compensation programs: stock options, restricted stock and a discounted stock purchase plan (“DSPP”).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2008</w:t>
            </w: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tcPr>
          <w:p>
            <w:pPr>
              <w:jc w:val="right"/>
              <w:ind w:right="216"/>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Restricted stock</w:t>
            </w:r>
          </w:p>
        </w:tc>
        <w:tc>
          <w:tcPr>
            <w:tcW w:w="5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DSPP</w:t>
            </w:r>
          </w:p>
        </w:tc>
        <w:tc>
          <w:tcPr>
            <w:tcW w:w="5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680" w:type="dxa"/>
            <w:vAlign w:val="bottom"/>
            <w:vMerge w:val="restart"/>
          </w:tcPr>
          <w:p>
            <w:pPr>
              <w:jc w:val="right"/>
              <w:ind w:right="3392"/>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9.</w:t>
            </w:r>
          </w:p>
        </w:tc>
        <w:tc>
          <w:tcPr>
            <w:tcW w:w="90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 Tax</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320" w:type="dxa"/>
            <w:vAlign w:val="bottom"/>
            <w:gridSpan w:val="3"/>
          </w:tcPr>
          <w:p>
            <w:pPr>
              <w:spacing w:after="0"/>
              <w:rPr>
                <w:sz w:val="20"/>
                <w:szCs w:val="20"/>
                <w:color w:val="auto"/>
              </w:rPr>
            </w:pPr>
            <w:r>
              <w:rPr>
                <w:rFonts w:ascii="Arial" w:cs="Arial" w:eastAsia="Arial" w:hAnsi="Arial"/>
                <w:sz w:val="18"/>
                <w:szCs w:val="18"/>
                <w:color w:val="auto"/>
              </w:rPr>
              <w:t>Pretax book income subject to US and non-US income taxes was as follows: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9"/>
              </w:rPr>
              <w:t>First Quarter</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3"/>
          </w:tcPr>
          <w:p>
            <w:pPr>
              <w:ind w:left="100"/>
              <w:spacing w:after="0"/>
              <w:rPr>
                <w:sz w:val="20"/>
                <w:szCs w:val="20"/>
                <w:color w:val="auto"/>
              </w:rPr>
            </w:pPr>
            <w:r>
              <w:rPr>
                <w:rFonts w:ascii="Arial" w:cs="Arial" w:eastAsia="Arial" w:hAnsi="Arial"/>
                <w:sz w:val="12"/>
                <w:szCs w:val="12"/>
                <w:b w:val="1"/>
                <w:bCs w:val="1"/>
                <w:color w:val="auto"/>
                <w:w w:val="73"/>
              </w:rPr>
              <w:t>(Stated</w:t>
            </w:r>
          </w:p>
        </w:tc>
        <w:tc>
          <w:tcPr>
            <w:tcW w:w="960" w:type="dxa"/>
            <w:vAlign w:val="bottom"/>
            <w:gridSpan w:val="3"/>
          </w:tcPr>
          <w:p>
            <w:pPr>
              <w:jc w:val="right"/>
              <w:ind w:right="97"/>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right w:val="single" w:sz="8" w:color="CCEEFF"/>
            </w:tcBorders>
            <w:gridSpan w:val="4"/>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349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Outside United States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w w:val="88"/>
              </w:rPr>
              <w:t>1,266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CCEEFF"/>
            </w:tcBorders>
            <w:gridSpan w:val="4"/>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88"/>
              </w:rPr>
              <w:t>1,615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$ 1,555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The components of net deferred tax assets were as follows:</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3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120" w:type="dxa"/>
            <w:vAlign w:val="bottom"/>
            <w:gridSpan w:val="7"/>
          </w:tcPr>
          <w:p>
            <w:pPr>
              <w:jc w:val="right"/>
              <w:ind w:right="572"/>
              <w:spacing w:after="0"/>
              <w:rPr>
                <w:sz w:val="20"/>
                <w:szCs w:val="20"/>
                <w:color w:val="auto"/>
              </w:rPr>
            </w:pPr>
            <w:r>
              <w:rPr>
                <w:rFonts w:ascii="Arial" w:cs="Arial" w:eastAsia="Arial" w:hAnsi="Arial"/>
                <w:sz w:val="14"/>
                <w:szCs w:val="14"/>
                <w:b w:val="1"/>
                <w:bCs w:val="1"/>
                <w:color w:val="auto"/>
                <w:w w:val="95"/>
              </w:rPr>
              <w:t>Mar. 31</w:t>
            </w:r>
          </w:p>
        </w:tc>
        <w:tc>
          <w:tcPr>
            <w:tcW w:w="5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and other long-term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251</w:t>
            </w: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employee benefits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inventory and 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379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deferred tax assets at March 31, 2008 and December 31, 2007 are net of valuation allowances relating to net operating losses in certain countries of $227 million and $214 million, respectively. The deferred tax assets presented above are also net of valuation allowances relating to a capital loss carryforward of $147 million at March 31, 2008 ($144 million at December 31, 2007) which expires in 2009 and 2010, and a foreign tax credit carryforward of $55 million, at both March 31, 2008 and December 31, 2007, which expires in 2009 through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were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(Stated in millions)</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5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5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Deferred:</w:t>
            </w:r>
          </w:p>
        </w:tc>
        <w:tc>
          <w:tcPr>
            <w:tcW w:w="5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64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5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Consolidated taxes on income</w:t>
            </w:r>
          </w:p>
        </w:tc>
        <w:tc>
          <w:tcPr>
            <w:tcW w:w="5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180" w:type="dxa"/>
            <w:vAlign w:val="bottom"/>
            <w:vMerge w:val="restart"/>
          </w:tcPr>
          <w:p>
            <w:pPr>
              <w:jc w:val="right"/>
              <w:ind w:right="339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(35%) to the consolidated effective income tax rate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US state income taxes</w:t>
            </w:r>
          </w:p>
        </w:tc>
        <w:tc>
          <w:tcPr>
            <w:tcW w:w="9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vMerge w:val="continue"/>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estimated future expenditures, relating to contractual obligations associated with business divestitures that have been completed. It is possible that the ultimate expenditures may differ from the amounts recorded. In the opinion of management, such differences are not expected to be material relative to Schlumberger’s consolidated liquidity, financial position or future results of operations.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conducting its own investigation with respect to these services.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Schlumberger and its subsidiaries are party to various other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FIRST QUARTER 2008</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1"/>
              </w:rPr>
              <w:t xml:space="preserve">FIRST QUARTER 2007 </w:t>
            </w:r>
            <w:r>
              <w:rPr>
                <w:rFonts w:ascii="Arial" w:cs="Arial" w:eastAsia="Arial" w:hAnsi="Arial"/>
                <w:sz w:val="22"/>
                <w:szCs w:val="22"/>
                <w:b w:val="1"/>
                <w:bCs w:val="1"/>
                <w:color w:val="auto"/>
                <w:w w:val="91"/>
                <w:vertAlign w:val="superscript"/>
              </w:rPr>
              <w:t>(1)</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1"/>
              </w:rPr>
              <w:t>Income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1"/>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&amp; MI</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2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North America</w:t>
            </w:r>
          </w:p>
        </w:tc>
        <w:tc>
          <w:tcPr>
            <w:tcW w:w="1420" w:type="dxa"/>
            <w:vAlign w:val="bottom"/>
            <w:gridSpan w:val="2"/>
          </w:tcPr>
          <w:p>
            <w:pPr>
              <w:ind w:left="12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1,419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240" w:type="dxa"/>
            <w:vAlign w:val="bottom"/>
          </w:tcPr>
          <w:p>
            <w:pPr>
              <w:spacing w:after="0"/>
              <w:rPr>
                <w:sz w:val="12"/>
                <w:szCs w:val="12"/>
                <w:color w:val="auto"/>
              </w:rPr>
            </w:pPr>
          </w:p>
        </w:tc>
        <w:tc>
          <w:tcPr>
            <w:tcW w:w="200" w:type="dxa"/>
            <w:vAlign w:val="bottom"/>
          </w:tcPr>
          <w:p>
            <w:pPr>
              <w:jc w:val="right"/>
              <w:ind w:right="81"/>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363</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1,374</w:t>
            </w:r>
          </w:p>
        </w:tc>
        <w:tc>
          <w:tcPr>
            <w:tcW w:w="16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284</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Latin America</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131</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Europe/CIS/Africa</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1,898</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500</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1,527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359</w:t>
            </w:r>
          </w:p>
        </w:tc>
        <w:tc>
          <w:tcPr>
            <w:tcW w:w="1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 &amp; Asia</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1,319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460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333</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Elims/Other</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5,605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1,502</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1,102</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WesternGeco</w:t>
            </w: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676</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92"/>
              <w:spacing w:after="0"/>
              <w:rPr>
                <w:sz w:val="20"/>
                <w:szCs w:val="20"/>
                <w:color w:val="auto"/>
              </w:rPr>
            </w:pPr>
            <w:r>
              <w:rPr>
                <w:rFonts w:ascii="Arial" w:cs="Arial" w:eastAsia="Arial" w:hAnsi="Arial"/>
                <w:sz w:val="14"/>
                <w:szCs w:val="14"/>
                <w:color w:val="auto"/>
              </w:rPr>
              <w:t>196</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187</w:t>
            </w:r>
          </w:p>
        </w:tc>
        <w:tc>
          <w:tcPr>
            <w:tcW w:w="18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6"/>
              </w:rPr>
              <w:t>6,290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1,323</w:t>
            </w:r>
          </w:p>
        </w:tc>
        <w:tc>
          <w:tcPr>
            <w:tcW w:w="240" w:type="dxa"/>
            <w:vAlign w:val="bottom"/>
          </w:tcPr>
          <w:p>
            <w:pPr>
              <w:spacing w:after="0"/>
              <w:rPr>
                <w:sz w:val="13"/>
                <w:szCs w:val="13"/>
                <w:color w:val="auto"/>
              </w:rPr>
            </w:pPr>
          </w:p>
        </w:tc>
        <w:tc>
          <w:tcPr>
            <w:tcW w:w="200" w:type="dxa"/>
            <w:vAlign w:val="bottom"/>
          </w:tcPr>
          <w:p>
            <w:pPr>
              <w:jc w:val="right"/>
              <w:ind w:right="81"/>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308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5,464</w:t>
            </w:r>
          </w:p>
        </w:tc>
        <w:tc>
          <w:tcPr>
            <w:tcW w:w="16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1,214</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Interest Income</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2"/>
              <w:spacing w:after="0" w:line="143" w:lineRule="exact"/>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Pr>
          <w:p>
            <w:pPr>
              <w:spacing w:after="0" w:line="17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(2)</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1,615</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January 1, 2008, a component of the Middle East &amp; Asia Area was reallocated to the Europe/CIS/Africa Area. Prior period data has been reclassified to conform to the current organizational structure.</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($8 million in 2008; $1 million in 2007).</w:t>
      </w:r>
    </w:p>
    <w:p>
      <w:pPr>
        <w:spacing w:after="0" w:line="28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pension cost for the Schlumberger US plans included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2008</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(Stated in millions)</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4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Net pension cost</w:t>
            </w:r>
          </w:p>
        </w:tc>
        <w:tc>
          <w:tcPr>
            <w:tcW w:w="4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660" w:type="dxa"/>
            <w:vAlign w:val="bottom"/>
            <w:vMerge w:val="restart"/>
          </w:tcPr>
          <w:p>
            <w:pPr>
              <w:jc w:val="right"/>
              <w:ind w:right="33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pension cost for the Schlumberger UK plan included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left="199"/>
              <w:spacing w:after="0"/>
              <w:rPr>
                <w:sz w:val="20"/>
                <w:szCs w:val="20"/>
                <w:color w:val="auto"/>
              </w:rPr>
            </w:pPr>
            <w:r>
              <w:rPr>
                <w:rFonts w:ascii="Arial" w:cs="Arial" w:eastAsia="Arial" w:hAnsi="Arial"/>
                <w:sz w:val="14"/>
                <w:szCs w:val="14"/>
                <w:b w:val="1"/>
                <w:bCs w:val="1"/>
                <w:color w:val="auto"/>
                <w:w w:val="91"/>
              </w:rPr>
              <w:t>First Quarter</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60" w:type="dxa"/>
            <w:vAlign w:val="bottom"/>
            <w:tcBorders>
              <w:bottom w:val="single" w:sz="8" w:color="auto"/>
            </w:tcBorders>
            <w:gridSpan w:val="3"/>
          </w:tcPr>
          <w:p>
            <w:pPr>
              <w:jc w:val="right"/>
              <w:ind w:right="19"/>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6"/>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Amortization of net loss &amp; other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postretirement benefit cost for the Schlumberger US plans included the following components:</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8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91"/>
              </w:rPr>
              <w:t>First Quarter</w:t>
            </w: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postretirement benefit cost</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first quarter of 2008, Schlumberger recorded an after-tax gain of $38 million relating to a previously disposed of business that was accounted for as a discontinued operation.</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220" w:type="dxa"/>
            <w:vAlign w:val="bottom"/>
          </w:tcPr>
          <w:p>
            <w:pPr>
              <w:ind w:left="260"/>
              <w:spacing w:after="0"/>
              <w:rPr>
                <w:sz w:val="20"/>
                <w:szCs w:val="20"/>
                <w:color w:val="auto"/>
              </w:rPr>
            </w:pPr>
            <w:r>
              <w:rPr>
                <w:rFonts w:ascii="Arial" w:cs="Arial" w:eastAsia="Arial" w:hAnsi="Arial"/>
                <w:sz w:val="18"/>
                <w:szCs w:val="18"/>
                <w:b w:val="1"/>
                <w:bCs w:val="1"/>
                <w:color w:val="auto"/>
                <w:w w:val="90"/>
              </w:rPr>
              <w:t>Management’s Discussion and Analysis of Financial Condition and Results of Operations.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78"/>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BUSINESS REVIEW</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First Quarter</w:t>
            </w: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69"/>
        </w:trPr>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tcPr>
          <w:p>
            <w:pPr>
              <w:spacing w:after="0"/>
              <w:rPr>
                <w:sz w:val="14"/>
                <w:szCs w:val="14"/>
                <w:color w:val="auto"/>
              </w:rPr>
            </w:pPr>
          </w:p>
        </w:tc>
        <w:tc>
          <w:tcPr>
            <w:tcW w:w="500" w:type="dxa"/>
            <w:vAlign w:val="bottom"/>
            <w:gridSpan w:val="2"/>
          </w:tcPr>
          <w:p>
            <w:pPr>
              <w:jc w:val="right"/>
              <w:spacing w:after="0" w:line="169" w:lineRule="exact"/>
              <w:rPr>
                <w:sz w:val="20"/>
                <w:szCs w:val="20"/>
                <w:color w:val="auto"/>
              </w:rPr>
            </w:pPr>
            <w:r>
              <w:rPr>
                <w:rFonts w:ascii="Arial" w:cs="Arial" w:eastAsia="Arial" w:hAnsi="Arial"/>
                <w:sz w:val="12"/>
                <w:szCs w:val="12"/>
                <w:b w:val="1"/>
                <w:bCs w:val="1"/>
                <w:color w:val="auto"/>
              </w:rPr>
              <w:t xml:space="preserve">2007 </w:t>
            </w:r>
            <w:r>
              <w:rPr>
                <w:rFonts w:ascii="Arial" w:cs="Arial" w:eastAsia="Arial" w:hAnsi="Arial"/>
                <w:sz w:val="19"/>
                <w:szCs w:val="19"/>
                <w:b w:val="1"/>
                <w:bCs w:val="1"/>
                <w:color w:val="auto"/>
                <w:vertAlign w:val="superscript"/>
              </w:rPr>
              <w:t>(1)</w:t>
            </w:r>
          </w:p>
        </w:tc>
        <w:tc>
          <w:tcPr>
            <w:tcW w:w="5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 change</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5,605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4,759</w:t>
            </w:r>
          </w:p>
        </w:tc>
        <w:tc>
          <w:tcPr>
            <w:tcW w:w="5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46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1,405</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82"/>
        </w:trPr>
        <w:tc>
          <w:tcPr>
            <w:tcW w:w="8000" w:type="dxa"/>
            <w:vAlign w:val="bottom"/>
            <w:gridSpan w:val="3"/>
          </w:tcPr>
          <w:p>
            <w:pPr>
              <w:ind w:left="460"/>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28"/>
        </w:trPr>
        <w:tc>
          <w:tcPr>
            <w:tcW w:w="46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5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6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January 1, 2008, a component of the Middle East &amp; Asia Area was reallocated to the Europe/CIS/ Africa Area. Prior period data has been reclassified to conform to the current organizational structure.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Pretax operating income represents the business segments’ income before taxes and minority interest. The pretax operating income excludes corporate expenses, interest income, interest expense, amortization of certain intangible assets, interest on postretirement medical benefits and stock-based compensation costs as these items are not allocated to the segments.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2008 Compared to First Quarter 2007</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for the first quarter of 2008 was $6.29 billion versus $5.46 billion for the same period last year. Income before income taxes and minority interest was $1.62 billion for the three-month period ending March 31, 2008 compared to $1.55 billion for the same period in 2007.</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First-quarter revenue of $5.60 billion was 3% higher sequentially and 18% higher year-on-year. Sequential revenue increases were highest in the Canada, US Gulf Coast, South Russia, Australia/Papua New Guinea, West &amp; South Africa and Alaska GeoMarkets*. In addition, double-digit growth rates were recorded by the North Russia, Thailand/Vietnam, Continental Europe and Caspian GeoMarkets. Among the Technologies, demand was strongest for Wireline, Drilling &amp; Measurements, Well Services and Well Testing services. Sequential revenue also grew through inclusion of FRAMO revenue in the Europe/CIS/Africa Area following the acquisition, in the prior quarter, of a majority stake in the company. However, overall sequential growth was moderated by operational delays in the North Sea, project transitions and delays on Integrated Project Management (IPM) activities in Latin America, and seasonal weather-related reductions in the China/Japan/Korea GeoMarket. Lower sales of Schlumberger Information Solutions (SIS), Completions and Artificial Lift Systems products were also recorded following the seasonal highs of the prior quarter.</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First-quarter pretax operating income of $1.50 billion decreased 2% sequentially but increased 7% year-on-year. Sequential growth was recorded through demand for high-margin Wireline and Drilling &amp; Measurements services in the US Gulf Coast; strong demand for Wireline and Well Services technologies in Canada; and higher activity levels with a more favorable technology mix in East Mediterranean, Australia/Papua New Guinea and Thailand/Vietnam. However, this growth was more than offset by the impact of the seasonal land access restrictions in US West; a less favorable activity mix in the North Sea; project delays in Peru/Colombia/Ecuador; higher IPM project startup and third-party managed costs in Mexico/Central America; the weather-related slowdown in China/Japan/Korea; and an overall reduction in Completions and Artificial Lift Systems product sales together with reduced high-margin SIS sales across all Areas. These events resulted in an overall pretax operating margin of 26.8% compared to 28.2% in the fourth quarter of 2007 and 29.5% in the first quarter of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Year-on-year revenue increases were highest in the Europe/CIS/Africa Area led by the West &amp; South Africa, North Russia and Continental Europe GeoMarkets, followed by the Middle East &amp; Asia Area where growth was strongest in the Brunei/Malaysia/Philippines, East Mediterranean and Arabian GeoMarkets. In the Latin America Area, increases were led by Mexico/Central America followed by Brazil. The consolidation of FRAMO also contributed to the year-on-year increase. Growth was also recorded in North America led primarily by the Canada and US Gulf Coast GeoMarkets. Among Oilfield Services Technologies, double-digit growth rates were registered by SIS, IPM, Drilling &amp; Measurements, Artificial Lift Systems, Wireline, Completions and Well Testing.</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Year-on-year pretax operating income growth was driven by a more favorable activity mix in the Middle East &amp; Asia, Europe/CIS/Africa and Latin America Areas. This growth was partially offset by pricing declines in well stimulation related activities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of $1.42 billion increased 6% sequentially and 3% year-on-year. Pretax operating income of $363 million increased 7% sequentially but decreased 16% year-on-year.</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Sequentially, the US Gulf Coast GeoMarket continued to grow following the return of deep-water rigs together with stronger demand for Wireline and Drilling &amp; Measurements exploration services. Growth was also registered in Canada, resulting from a robust winter drilling season with high demand for Wireline and Well Services technologies, as well as in Alaska due to strong demand for exploration-related services. This performance was partially offset by the seasonal land access restrictions in US West, the impact of weather on operations in US North, and lower Completions and SIS product sales across the Area.</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Pretax operating margin for the Area increased sequentially from 25.4% to 25.6% due to a more favorable exploration-driven activity mix and higher operating leverage in the US Gulf Coast, Canada and Alaska GeoMarkets. This was partially offset by a lower pricing environment for well-stimulation-related activities in US Central, lower efficiency in US West, and reduced Area-wide high-margin SIS product sales.</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year-on-year revenue growth was primarily due to a strong, exploration-driven, winter drilling season in Canada and higher deep-water activity in the US Gulf Coast. Alaska and US Central also experienced growth due to higher rig count. These increases were partially offset by the impact of the weather delays in US North and pricing declines in well-stimulation-related activities in US West.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Year-on-year pretax operating margins decreased from 31.4% to 25.6% primarily due to pricing declines in well stimulation related activities together with lower operating leverage in the US Land GeoMarkets.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Revenue of $922 million decreased 2% sequentially but increased 27% year-on-year. Pretax operating income of $185 million decreased 11% sequentially but increased 14% year-on-year.</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Sequential revenue growth was recorded in the Venezuela/Trinidad &amp; Tobago GeoMarket due to higher demand for Drilling &amp; Measurements, Wireline and Well Services technologies together with increased SIS product sales. However, this growth was more than offset by project transitions and delays in Peru/Colombia/Ecuador and Mexico/Central America, and lower Artificial Lift Systems and SIS product sales in Brazil.</w:t>
      </w:r>
    </w:p>
    <w:p>
      <w:pPr>
        <w:spacing w:after="0" w:line="107"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Pretax operating margin declined sequentially from 22.1% to 20.1% primarily due to higher IPM project startup and third-party managed costs in the Mexico/Central America GeoMarket. An unfavorable activity mix in both Peru/Colombia/Ecuador and Brazil together with reduced high-margin SIS and Artificial Lift Systems product sales also contributed to this result.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Year-on-year growth in the Area was driven by the startup of IPM projects in Mexico/Central America; increased Completions product sales together with higher demand for Well Services, Well Testing and Wireline technologies in Brazil; exploration-driven growth in Peru/Columbia/Ecuador; and by higher SIS product sales together with increased demand for Wireline, Drilling &amp; Measurements and Well Services technologies in Venezuela/Trinidad &amp; Tobago.</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Year-on-year pretax operating margin declined from 22.4% to 20.1% as increased demand for high-margin SIS products and for high-margin Wireline and Well Services technologies in Venezuela/Trinidad/Tobago was more than offset by higher startup costs together with increased contribution from low-margin third party managed services associated with IPM activities in Mexico/Central America.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$1.9 billion increased 7% sequentially and 24% year-on-year. Pretax operating income of $500 million increased 1% sequentially and 16% year-on-year.</w:t>
      </w:r>
    </w:p>
    <w:p>
      <w:pPr>
        <w:spacing w:after="0" w:line="132"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Sequential revenue growth was driven by higher Artificial Lift Systems product sales and increased market penetration for Well Services technologies in South Russia; strong demand for Well Services technologies in Continental Europe; higher demand for Drilling &amp; Measurements technologies in West &amp; South Africa and the Caspian; higher IPM and Drilling &amp; Measurements activities in North Russia; and by the consolidation of FRAMO revenue. This was partially offset by operational delays in the North Sea GeoMarket, the seasonal impact of winter weather in East Russia, and lower SIS product sales across the Area.</w:t>
      </w:r>
    </w:p>
    <w:p>
      <w:pPr>
        <w:spacing w:after="0" w:line="11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Pretax operating margin declined sequentially from 28.0% to 26.3% due to an unfavorable activity mix in the North Sea, lower-margin Artificial Lift Systems product sales in South Russia, reduced high-margin Area-wide SIS product sales, and the effect of consolidation of FRAMO in the Area.</w:t>
      </w:r>
    </w:p>
    <w:p>
      <w:pPr>
        <w:spacing w:after="0" w:line="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Year-on-year revenue growth increased due to higher demand for Drilling &amp; Measurement services in West &amp; South Africa, increased IPM project activities in North Russia and increased demand for Drilling &amp; Measurements and Well Services technologies in Continental Europe. The consolidation of Tyumenpromgeofizika revenue following the completion of this acquisition, during the second quarter of 2007, together with the consolidation of FRAMO revenue also contributed to this increase.</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Year-on-year pretax operating margin declined from 28.3% to 26.3%, primarily due to a reduction in high margin exploration activity, lower Drilling and Measurements margins in the North Sea on unfavorable weather conditions, and further reductions in Well Services in South Russia and the Caspian. The effect of the consolidation of FRAMO in the Area also contributed to the margin decline.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Revenue of $1.32 billion decreased 2% sequentially but increased 22% year-on-year. Pretax operating income of $460 million decreased 2% sequentially but increased 24% year-on-year.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Sequentially, the Australia/Papua New Guinea GeoMarket grew with exploration-driven demand for Wireline and Well Testing services. Sequential growth was also registered in the Gulf, East Mediterranean and Thailand/Vietnam GeoMarkets with strong demand for Wireline, Well Testing and Well Services technologies. However, this performance was more than offset by the impact of winter weather in the China/Japan/Korea GeoMarket together with lower Completions and Artificial Lift Systems product sales across the Area.</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pretax operating margin of 34.9% was essentially flat compared to the prior quarter with a more favorable activity mix in the Australia/Papua New Guinea, East Mediterranean, Gulf and Thailand/Vietnam GeoMarkets being offset by the slowdown in China/Japan/Korea together with a lower-margin activity mix for Drilling &amp; Measurements services in the Area.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Year-on-year revenue growth resulted from increased demand for Drilling &amp; Measurements, Wireline and Well Testing technologies in Brunei/Malaysia/Philippines, China/Japan/Korea and East Mediterranean GeoMarkets. Strong double-digit growth rates were also recorded in Australia/Papua New Guinea, Qatar, and in India. In addition, higher demand for Wireline and Drilling &amp; Measurements services in Indonesia, Arabian and Gulf GeoMarkets also contributed to this growth. This performance was partially offset by lower activity in Thailand/Vietnam.</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Year-on-year pretax margin recorded a modest improvement due to increased overall activity coupled with a more favorable mix of high margin exploration activities in Brunei/Malaysia/Philippines, Australia/ Papua New Guinea and China/Japan/ Korea together with increased demand for high-margin Drilling &amp; Measurements, Wireline and Well Testing technologies in East Mediterranean being partially offset by the lower activity in Thailand/Vietnam and lower operating leverage in India and the Arabian GeoMarket.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First-quarter revenue of $676 million decreased 15% over the prior quarter and 4% compared to the same period last year. Pretax operating income of $196 million decreased 28% sequentially and 26% year-on-year.</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Sequentially, Marine revenue increased as both vessel utilization and productivity improved following the vessel dry-docks and the seasonal transits of the prior quarter. Data processing also recorded a sequential increase in revenue, but these increases were more than offset by a significant decrease in Multiclient revenue in North America following the record sales in the previous quarter. The Gulf of Mexico lease sale late in the first quarter, coupled with the increased cost of wide-azimuthal data sets that are fast becoming the norm for new multiclient purchases, delayed new sales activity until customers absorb the results of the March leasing round. Land revenue also declined following project completions in North Africa and lower demand in the Middle East.</w:t>
      </w:r>
    </w:p>
    <w:p>
      <w:pPr>
        <w:spacing w:after="0" w:line="1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Pretax operating margin declined sequentially from 34.1% to 29.1% as the increase in Marine was more than offset by the decline in high-margin Multiclient sales.</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Year-on-year Marine revenue grew due to higher efficiency, increased pricing and the addition of the seventh Q-vessel in the fleet. Data Processing also recorded a growth primarily driven by increased demand in North America and Africa. However, these increases were more than offset by the decline in Multiclient sales in North America and lower crew count on Land.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Year-on-year pretax margin declined from 37.7% to 29.1% primarily due to reduced sales of high-margin multiclient data and the lower revenue on Land.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first quarter of 2008 and 2007:</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First Quarter</w:t>
            </w:r>
          </w:p>
        </w:tc>
      </w:tr>
      <w:tr>
        <w:trPr>
          <w:trHeight w:val="142"/>
        </w:trPr>
        <w:tc>
          <w:tcPr>
            <w:tcW w:w="944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9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(Stated in</w:t>
            </w:r>
          </w:p>
        </w:tc>
      </w:tr>
      <w:tr>
        <w:trPr>
          <w:trHeight w:val="16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left="102"/>
              <w:spacing w:after="0"/>
              <w:rPr>
                <w:sz w:val="20"/>
                <w:szCs w:val="20"/>
                <w:color w:val="auto"/>
              </w:rPr>
            </w:pPr>
            <w:r>
              <w:rPr>
                <w:rFonts w:ascii="Arial" w:cs="Arial" w:eastAsia="Arial" w:hAnsi="Arial"/>
                <w:sz w:val="14"/>
                <w:szCs w:val="14"/>
                <w:b w:val="1"/>
                <w:bCs w:val="1"/>
                <w:color w:val="auto"/>
                <w:w w:val="86"/>
              </w:rPr>
              <w:t>millions)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w:t>
            </w:r>
          </w:p>
        </w:tc>
        <w:tc>
          <w:tcPr>
            <w:tcW w:w="20" w:type="dxa"/>
            <w:vAlign w:val="bottom"/>
          </w:tcPr>
          <w:p>
            <w:pPr>
              <w:spacing w:after="0"/>
              <w:rPr>
                <w:sz w:val="18"/>
                <w:szCs w:val="18"/>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102</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w:t>
            </w:r>
          </w:p>
        </w:tc>
        <w:tc>
          <w:tcPr>
            <w:tcW w:w="20" w:type="dxa"/>
            <w:vAlign w:val="bottom"/>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Earnings of Affiliated Companies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increase in net earnings of affiliated companies was primarily due to the results of the MI-SWACO drilling fluids joint venture that Schlumberger operates with Smith International, Inc.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margin was 30.7% and 33.7% in 2008 and 2007, respectively. The decrease in gross margin was driven by a less favorable activity mix, seasonal weather related effects and higher start-up and third party managed costs in IPM in Oilfield Services. Lower high-margin multiclient sales in WesternGeco also contributed to this result.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Research &amp; engineering, Marketing and General &amp; administrative expenses for the first quarter of 2008 and 2007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42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First Quarter</w:t>
            </w:r>
          </w:p>
        </w:tc>
      </w:tr>
      <w:tr>
        <w:trPr>
          <w:trHeight w:val="142"/>
        </w:trPr>
        <w:tc>
          <w:tcPr>
            <w:tcW w:w="46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3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6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3.0%</w:t>
            </w: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Marketing</w:t>
            </w:r>
          </w:p>
        </w:tc>
        <w:tc>
          <w:tcPr>
            <w:tcW w:w="620" w:type="dxa"/>
            <w:vAlign w:val="bottom"/>
            <w:gridSpan w:val="4"/>
          </w:tcPr>
          <w:p>
            <w:pPr>
              <w:jc w:val="right"/>
              <w:ind w:right="92"/>
              <w:spacing w:after="0"/>
              <w:rPr>
                <w:sz w:val="20"/>
                <w:szCs w:val="20"/>
                <w:color w:val="auto"/>
              </w:rPr>
            </w:pPr>
            <w:r>
              <w:rPr>
                <w:rFonts w:ascii="Arial" w:cs="Arial" w:eastAsia="Arial" w:hAnsi="Arial"/>
                <w:sz w:val="18"/>
                <w:szCs w:val="18"/>
                <w:b w:val="1"/>
                <w:bCs w:val="1"/>
                <w:color w:val="auto"/>
              </w:rPr>
              <w:t>0.4%</w:t>
            </w:r>
          </w:p>
        </w:tc>
        <w:tc>
          <w:tcPr>
            <w:tcW w:w="3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6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2.2%</w:t>
            </w: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376"/>
        </w:trPr>
        <w:tc>
          <w:tcPr>
            <w:tcW w:w="9560" w:type="dxa"/>
            <w:vAlign w:val="bottom"/>
            <w:gridSpan w:val="2"/>
          </w:tcPr>
          <w:p>
            <w:pPr>
              <w:spacing w:after="0"/>
              <w:rPr>
                <w:sz w:val="20"/>
                <w:szCs w:val="20"/>
                <w:color w:val="auto"/>
              </w:rPr>
            </w:pPr>
            <w:r>
              <w:rPr>
                <w:rFonts w:ascii="Arial" w:cs="Arial" w:eastAsia="Arial" w:hAnsi="Arial"/>
                <w:sz w:val="18"/>
                <w:szCs w:val="18"/>
                <w:color w:val="auto"/>
              </w:rPr>
              <w:t>Research and engineering expenditures, by business segment for the first quarters of 2008 and 2007, were as follows: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First Quarter</w:t>
            </w:r>
          </w:p>
        </w:tc>
      </w:tr>
      <w:tr>
        <w:trPr>
          <w:trHeight w:val="142"/>
        </w:trPr>
        <w:tc>
          <w:tcPr>
            <w:tcW w:w="46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r>
      <w:tr>
        <w:trPr>
          <w:trHeight w:val="129"/>
        </w:trPr>
        <w:tc>
          <w:tcPr>
            <w:tcW w:w="46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w w:val="72"/>
              </w:rPr>
              <w:t>(Stated in</w:t>
            </w:r>
          </w:p>
        </w:tc>
        <w:tc>
          <w:tcPr>
            <w:tcW w:w="2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millions)</w:t>
            </w: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WesternGeco</w:t>
            </w: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28</w:t>
            </w:r>
          </w:p>
        </w:tc>
        <w:tc>
          <w:tcPr>
            <w:tcW w:w="3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191</w:t>
            </w:r>
          </w:p>
        </w:tc>
        <w:tc>
          <w:tcPr>
            <w:tcW w:w="34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w:t>
            </w:r>
          </w:p>
        </w:tc>
      </w:tr>
      <w:tr>
        <w:trPr>
          <w:trHeight w:val="20"/>
        </w:trPr>
        <w:tc>
          <w:tcPr>
            <w:tcW w:w="4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effective tax rate for the first quarter of 2008 was 19.1% compared to 24.0% for the same period in 2007. The decrease in the effective tax rate is primarily attributable to the geographic mix of earnings as both Oilfield Services and WesternGeco had a lower proportion of pretax earnings in North America. In addition, the favorable resolution of tax examinations in a number of countries also contributed to the decrease in the effective tax 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right="518"/>
              <w:spacing w:after="0"/>
              <w:rPr>
                <w:sz w:val="20"/>
                <w:szCs w:val="20"/>
                <w:color w:val="auto"/>
              </w:rPr>
            </w:pPr>
            <w:r>
              <w:rPr>
                <w:rFonts w:ascii="Arial" w:cs="Arial" w:eastAsia="Arial" w:hAnsi="Arial"/>
                <w:sz w:val="14"/>
                <w:szCs w:val="14"/>
                <w:b w:val="1"/>
                <w:bCs w:val="1"/>
                <w:color w:val="auto"/>
                <w:w w:val="91"/>
              </w:rPr>
              <w:t>Mar. 31</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$(1,857)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ind w:left="440"/>
              <w:spacing w:after="0"/>
              <w:rPr>
                <w:sz w:val="20"/>
                <w:szCs w:val="20"/>
                <w:color w:val="auto"/>
              </w:rPr>
            </w:pPr>
            <w:r>
              <w:rPr>
                <w:rFonts w:ascii="Arial" w:cs="Arial" w:eastAsia="Arial" w:hAnsi="Arial"/>
                <w:sz w:val="18"/>
                <w:szCs w:val="18"/>
                <w:color w:val="auto"/>
              </w:rPr>
              <w:t>Net income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1,338</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ind w:left="44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517</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Increase in working capital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(547)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ind w:left="440"/>
              <w:spacing w:after="0" w:line="21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38"/>
              <w:spacing w:after="0"/>
              <w:rPr>
                <w:sz w:val="20"/>
                <w:szCs w:val="20"/>
                <w:color w:val="auto"/>
              </w:rPr>
            </w:pPr>
            <w:r>
              <w:rPr>
                <w:rFonts w:ascii="Arial" w:cs="Arial" w:eastAsia="Arial" w:hAnsi="Arial"/>
                <w:sz w:val="18"/>
                <w:szCs w:val="18"/>
                <w:b w:val="1"/>
                <w:bCs w:val="1"/>
                <w:color w:val="auto"/>
              </w:rPr>
              <w:t>(832)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Business acquisitions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ind w:left="440"/>
              <w:spacing w:after="0"/>
              <w:rPr>
                <w:sz w:val="20"/>
                <w:szCs w:val="20"/>
                <w:color w:val="auto"/>
              </w:rPr>
            </w:pPr>
            <w:r>
              <w:rPr>
                <w:rFonts w:ascii="Arial" w:cs="Arial" w:eastAsia="Arial" w:hAnsi="Arial"/>
                <w:sz w:val="18"/>
                <w:szCs w:val="18"/>
                <w:color w:val="auto"/>
              </w:rPr>
              <w:t>Dividends paid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38"/>
              <w:spacing w:after="0"/>
              <w:rPr>
                <w:sz w:val="20"/>
                <w:szCs w:val="20"/>
                <w:color w:val="auto"/>
              </w:rPr>
            </w:pPr>
            <w:r>
              <w:rPr>
                <w:rFonts w:ascii="Arial" w:cs="Arial" w:eastAsia="Arial" w:hAnsi="Arial"/>
                <w:sz w:val="18"/>
                <w:szCs w:val="18"/>
                <w:b w:val="1"/>
                <w:bCs w:val="1"/>
                <w:color w:val="auto"/>
              </w:rPr>
              <w:t>(209)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5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ind w:left="440"/>
              <w:spacing w:after="0"/>
              <w:rPr>
                <w:sz w:val="20"/>
                <w:szCs w:val="20"/>
                <w:color w:val="auto"/>
              </w:rPr>
            </w:pPr>
            <w:r>
              <w:rPr>
                <w:rFonts w:ascii="Arial" w:cs="Arial" w:eastAsia="Arial" w:hAnsi="Arial"/>
                <w:sz w:val="18"/>
                <w:szCs w:val="18"/>
                <w:color w:val="auto"/>
              </w:rPr>
              <w:t>Stock repurchase program</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38"/>
              <w:spacing w:after="0"/>
              <w:rPr>
                <w:sz w:val="20"/>
                <w:szCs w:val="20"/>
                <w:color w:val="auto"/>
              </w:rPr>
            </w:pPr>
            <w:r>
              <w:rPr>
                <w:rFonts w:ascii="Arial" w:cs="Arial" w:eastAsia="Arial" w:hAnsi="Arial"/>
                <w:sz w:val="18"/>
                <w:szCs w:val="18"/>
                <w:b w:val="1"/>
                <w:bCs w:val="1"/>
                <w:color w:val="auto"/>
              </w:rPr>
              <w:t>(564)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Conversion of debentures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5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ind w:left="440"/>
              <w:spacing w:after="0"/>
              <w:rPr>
                <w:sz w:val="20"/>
                <w:szCs w:val="20"/>
                <w:color w:val="auto"/>
              </w:rPr>
            </w:pPr>
            <w:r>
              <w:rPr>
                <w:rFonts w:ascii="Arial" w:cs="Arial" w:eastAsia="Arial" w:hAnsi="Arial"/>
                <w:sz w:val="18"/>
                <w:szCs w:val="18"/>
                <w:color w:val="auto"/>
              </w:rPr>
              <w:t>Translation effect on Net Debt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38"/>
              <w:spacing w:after="0"/>
              <w:rPr>
                <w:sz w:val="20"/>
                <w:szCs w:val="20"/>
                <w:color w:val="auto"/>
              </w:rPr>
            </w:pPr>
            <w:r>
              <w:rPr>
                <w:rFonts w:ascii="Arial" w:cs="Arial" w:eastAsia="Arial" w:hAnsi="Arial"/>
                <w:sz w:val="18"/>
                <w:szCs w:val="18"/>
                <w:b w:val="1"/>
                <w:bCs w:val="1"/>
                <w:color w:val="auto"/>
              </w:rPr>
              <w:t>(25)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(22)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000" w:type="dxa"/>
            <w:vAlign w:val="bottom"/>
            <w:gridSpan w:val="4"/>
            <w:vMerge w:val="restart"/>
          </w:tcPr>
          <w:p>
            <w:pPr>
              <w:ind w:left="460"/>
              <w:spacing w:after="0"/>
              <w:rPr>
                <w:sz w:val="20"/>
                <w:szCs w:val="20"/>
                <w:color w:val="auto"/>
              </w:rPr>
            </w:pPr>
            <w:r>
              <w:rPr>
                <w:rFonts w:ascii="Arial" w:cs="Arial" w:eastAsia="Arial" w:hAnsi="Arial"/>
                <w:sz w:val="18"/>
                <w:szCs w:val="18"/>
                <w:color w:val="auto"/>
              </w:rPr>
              <w:t>Net Debt, end of period</w:t>
            </w: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4"/>
            <w:vMerge w:val="continue"/>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(2,156</w:t>
            </w:r>
          </w:p>
        </w:tc>
        <w:tc>
          <w:tcPr>
            <w:tcW w:w="58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(2,773)</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2"/>
          </w:tcPr>
          <w:p>
            <w:pPr>
              <w:spacing w:after="0"/>
              <w:rPr>
                <w:sz w:val="8"/>
                <w:szCs w:val="8"/>
                <w:color w:val="auto"/>
              </w:rPr>
            </w:pPr>
          </w:p>
        </w:tc>
        <w:tc>
          <w:tcPr>
            <w:tcW w:w="8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000" w:type="dxa"/>
            <w:vAlign w:val="bottom"/>
            <w:gridSpan w:val="4"/>
          </w:tcPr>
          <w:p>
            <w:pPr>
              <w:spacing w:after="0"/>
              <w:rPr>
                <w:sz w:val="20"/>
                <w:szCs w:val="20"/>
                <w:color w:val="auto"/>
              </w:rPr>
            </w:pPr>
            <w:r>
              <w:rPr>
                <w:rFonts w:ascii="Arial" w:cs="Arial" w:eastAsia="Arial" w:hAnsi="Arial"/>
                <w:sz w:val="18"/>
                <w:szCs w:val="18"/>
                <w:color w:val="auto"/>
              </w:rPr>
              <w:t>(1)   Includes Multiclient seismic data costs.</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Mar. 31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1"/>
              </w:rPr>
              <w:t>Mar. 31</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Components of Net Debt</w:t>
            </w:r>
          </w:p>
        </w:tc>
        <w:tc>
          <w:tcPr>
            <w:tcW w:w="4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jc w:val="center"/>
              <w:ind w:right="98"/>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w:t>
            </w:r>
          </w:p>
        </w:tc>
        <w:tc>
          <w:tcPr>
            <w:tcW w:w="1520" w:type="dxa"/>
            <w:vAlign w:val="bottom"/>
            <w:gridSpan w:val="4"/>
            <w:shd w:val="clear" w:color="auto" w:fill="CCEEFF"/>
          </w:tcPr>
          <w:p>
            <w:pPr>
              <w:jc w:val="right"/>
              <w:ind w:right="478"/>
              <w:spacing w:after="0"/>
              <w:rPr>
                <w:sz w:val="20"/>
                <w:szCs w:val="20"/>
                <w:color w:val="auto"/>
              </w:rPr>
            </w:pPr>
            <w:r>
              <w:rPr>
                <w:rFonts w:ascii="Arial" w:cs="Arial" w:eastAsia="Arial" w:hAnsi="Arial"/>
                <w:sz w:val="18"/>
                <w:szCs w:val="18"/>
                <w:color w:val="auto"/>
              </w:rPr>
              <w:t>$   135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3,008</w:t>
            </w:r>
          </w:p>
        </w:tc>
        <w:tc>
          <w:tcPr>
            <w:tcW w:w="1520" w:type="dxa"/>
            <w:vAlign w:val="bottom"/>
            <w:gridSpan w:val="4"/>
          </w:tcPr>
          <w:p>
            <w:pPr>
              <w:jc w:val="right"/>
              <w:ind w:right="478"/>
              <w:spacing w:after="0"/>
              <w:rPr>
                <w:sz w:val="20"/>
                <w:szCs w:val="20"/>
                <w:color w:val="auto"/>
              </w:rPr>
            </w:pPr>
            <w:r>
              <w:rPr>
                <w:rFonts w:ascii="Arial" w:cs="Arial" w:eastAsia="Arial" w:hAnsi="Arial"/>
                <w:sz w:val="18"/>
                <w:szCs w:val="18"/>
                <w:color w:val="auto"/>
              </w:rPr>
              <w:t>2,456</w:t>
            </w:r>
          </w:p>
        </w:tc>
        <w:tc>
          <w:tcPr>
            <w:tcW w:w="560" w:type="dxa"/>
            <w:vAlign w:val="bottom"/>
          </w:tcPr>
          <w:p>
            <w:pPr>
              <w:jc w:val="right"/>
              <w:spacing w:after="0"/>
              <w:rPr>
                <w:sz w:val="20"/>
                <w:szCs w:val="20"/>
                <w:color w:val="auto"/>
              </w:rPr>
            </w:pPr>
            <w:r>
              <w:rPr>
                <w:rFonts w:ascii="Arial" w:cs="Arial" w:eastAsia="Arial" w:hAnsi="Arial"/>
                <w:sz w:val="18"/>
                <w:szCs w:val="18"/>
                <w:color w:val="auto"/>
              </w:rPr>
              <w:t>2,972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424</w:t>
            </w:r>
          </w:p>
        </w:tc>
        <w:tc>
          <w:tcPr>
            <w:tcW w:w="1520" w:type="dxa"/>
            <w:vAlign w:val="bottom"/>
            <w:gridSpan w:val="4"/>
            <w:shd w:val="clear" w:color="auto" w:fill="CCEEFF"/>
          </w:tcPr>
          <w:p>
            <w:pPr>
              <w:jc w:val="right"/>
              <w:ind w:right="478"/>
              <w:spacing w:after="0"/>
              <w:rPr>
                <w:sz w:val="20"/>
                <w:szCs w:val="20"/>
                <w:color w:val="auto"/>
              </w:rPr>
            </w:pPr>
            <w:r>
              <w:rPr>
                <w:rFonts w:ascii="Arial" w:cs="Arial" w:eastAsia="Arial" w:hAnsi="Arial"/>
                <w:sz w:val="18"/>
                <w:szCs w:val="18"/>
                <w:color w:val="auto"/>
              </w:rPr>
              <w:t>216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Bank loans and current portion of long-term debt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(1,273)</w:t>
            </w:r>
          </w:p>
        </w:tc>
        <w:tc>
          <w:tcPr>
            <w:tcW w:w="1520" w:type="dxa"/>
            <w:vAlign w:val="bottom"/>
            <w:gridSpan w:val="4"/>
          </w:tcPr>
          <w:p>
            <w:pPr>
              <w:jc w:val="right"/>
              <w:ind w:right="418"/>
              <w:spacing w:after="0"/>
              <w:rPr>
                <w:sz w:val="20"/>
                <w:szCs w:val="20"/>
                <w:color w:val="auto"/>
              </w:rPr>
            </w:pPr>
            <w:r>
              <w:rPr>
                <w:rFonts w:ascii="Arial" w:cs="Arial" w:eastAsia="Arial" w:hAnsi="Arial"/>
                <w:sz w:val="18"/>
                <w:szCs w:val="18"/>
                <w:color w:val="auto"/>
              </w:rPr>
              <w:t>(960)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(722)</w:t>
            </w:r>
          </w:p>
        </w:tc>
        <w:tc>
          <w:tcPr>
            <w:tcW w:w="1520" w:type="dxa"/>
            <w:vAlign w:val="bottom"/>
            <w:gridSpan w:val="4"/>
            <w:shd w:val="clear" w:color="auto" w:fill="CCEEFF"/>
          </w:tcPr>
          <w:p>
            <w:pPr>
              <w:jc w:val="right"/>
              <w:ind w:right="418"/>
              <w:spacing w:after="0"/>
              <w:rPr>
                <w:sz w:val="20"/>
                <w:szCs w:val="20"/>
                <w:color w:val="auto"/>
              </w:rPr>
            </w:pPr>
            <w:r>
              <w:rPr>
                <w:rFonts w:ascii="Arial" w:cs="Arial" w:eastAsia="Arial" w:hAnsi="Arial"/>
                <w:sz w:val="18"/>
                <w:szCs w:val="18"/>
                <w:color w:val="auto"/>
              </w:rPr>
              <w:t>(1,425)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Other long-term debt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(3,738)</w:t>
            </w:r>
          </w:p>
        </w:tc>
        <w:tc>
          <w:tcPr>
            <w:tcW w:w="1520" w:type="dxa"/>
            <w:vAlign w:val="bottom"/>
            <w:gridSpan w:val="4"/>
          </w:tcPr>
          <w:p>
            <w:pPr>
              <w:jc w:val="right"/>
              <w:ind w:right="418"/>
              <w:spacing w:after="0"/>
              <w:rPr>
                <w:sz w:val="20"/>
                <w:szCs w:val="20"/>
                <w:color w:val="auto"/>
              </w:rPr>
            </w:pPr>
            <w:r>
              <w:rPr>
                <w:rFonts w:ascii="Arial" w:cs="Arial" w:eastAsia="Arial" w:hAnsi="Arial"/>
                <w:sz w:val="18"/>
                <w:szCs w:val="18"/>
                <w:color w:val="auto"/>
              </w:rPr>
              <w:t>(3,195)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(2,156)</w:t>
            </w:r>
          </w:p>
        </w:tc>
        <w:tc>
          <w:tcPr>
            <w:tcW w:w="1520" w:type="dxa"/>
            <w:vAlign w:val="bottom"/>
            <w:gridSpan w:val="4"/>
            <w:shd w:val="clear" w:color="auto" w:fill="CCEEFF"/>
          </w:tcPr>
          <w:p>
            <w:pPr>
              <w:jc w:val="right"/>
              <w:ind w:right="41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quarters of 2008 and 2007 included:</w:t>
      </w:r>
    </w:p>
    <w:p>
      <w:pPr>
        <w:spacing w:after="0" w:line="90" w:lineRule="exact"/>
        <w:rPr>
          <w:sz w:val="20"/>
          <w:szCs w:val="20"/>
          <w:color w:val="auto"/>
        </w:rPr>
      </w:pPr>
    </w:p>
    <w:p>
      <w:pPr>
        <w:ind w:left="900" w:hanging="325"/>
        <w:spacing w:after="0" w:line="323"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On April 20, 2006, the Board of Directors of Schlumberger approved a share repurchase program of up to 40 million shares of its common stock to be acquired in the open market before April 2010, subject to market conditions, of which approximately 36.9 million shares of common stock have been repurchased as of March 31, 2008. It is expected that this share repurchase program will be completed during the second quarter of 2008. The following table summarizes the activity under this share repurchase program during the three months ended March 31, 2008 and 2007, respectively:</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Total cost</w:t>
            </w:r>
          </w:p>
        </w:tc>
        <w:tc>
          <w:tcPr>
            <w:tcW w:w="660" w:type="dxa"/>
            <w:vAlign w:val="bottom"/>
          </w:tcPr>
          <w:p>
            <w:pPr>
              <w:spacing w:after="0"/>
              <w:rPr>
                <w:sz w:val="14"/>
                <w:szCs w:val="14"/>
                <w:color w:val="auto"/>
              </w:rPr>
            </w:pPr>
          </w:p>
        </w:tc>
        <w:tc>
          <w:tcPr>
            <w:tcW w:w="146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w w:val="87"/>
              </w:rPr>
              <w:t>Total number</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Average</w:t>
            </w:r>
          </w:p>
        </w:tc>
      </w:tr>
      <w:tr>
        <w:trPr>
          <w:trHeight w:val="149"/>
        </w:trPr>
        <w:tc>
          <w:tcPr>
            <w:tcW w:w="25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of shares</w:t>
            </w:r>
          </w:p>
        </w:tc>
        <w:tc>
          <w:tcPr>
            <w:tcW w:w="660" w:type="dxa"/>
            <w:vAlign w:val="bottom"/>
          </w:tcPr>
          <w:p>
            <w:pPr>
              <w:spacing w:after="0"/>
              <w:rPr>
                <w:sz w:val="12"/>
                <w:szCs w:val="12"/>
                <w:color w:val="auto"/>
              </w:rPr>
            </w:pPr>
          </w:p>
        </w:tc>
        <w:tc>
          <w:tcPr>
            <w:tcW w:w="1460" w:type="dxa"/>
            <w:vAlign w:val="bottom"/>
            <w:gridSpan w:val="2"/>
          </w:tcPr>
          <w:p>
            <w:pPr>
              <w:jc w:val="right"/>
              <w:ind w:right="732"/>
              <w:spacing w:after="0" w:line="149" w:lineRule="exact"/>
              <w:rPr>
                <w:sz w:val="20"/>
                <w:szCs w:val="20"/>
                <w:color w:val="auto"/>
              </w:rPr>
            </w:pPr>
            <w:r>
              <w:rPr>
                <w:rFonts w:ascii="Arial" w:cs="Arial" w:eastAsia="Arial" w:hAnsi="Arial"/>
                <w:sz w:val="14"/>
                <w:szCs w:val="14"/>
                <w:b w:val="1"/>
                <w:bCs w:val="1"/>
                <w:color w:val="auto"/>
              </w:rPr>
              <w:t>of shares</w:t>
            </w: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price paid</w:t>
            </w:r>
          </w:p>
        </w:tc>
      </w:tr>
      <w:tr>
        <w:trPr>
          <w:trHeight w:val="161"/>
        </w:trPr>
        <w:tc>
          <w:tcPr>
            <w:tcW w:w="2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purchased</w:t>
            </w:r>
          </w:p>
        </w:tc>
        <w:tc>
          <w:tcPr>
            <w:tcW w:w="660" w:type="dxa"/>
            <w:vAlign w:val="bottom"/>
          </w:tcPr>
          <w:p>
            <w:pPr>
              <w:spacing w:after="0"/>
              <w:rPr>
                <w:sz w:val="14"/>
                <w:szCs w:val="14"/>
                <w:color w:val="auto"/>
              </w:rPr>
            </w:pPr>
          </w:p>
        </w:tc>
        <w:tc>
          <w:tcPr>
            <w:tcW w:w="146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w w:val="95"/>
              </w:rPr>
              <w:t>purchased</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85"/>
              </w:rPr>
              <w:t>per share</w:t>
            </w:r>
          </w:p>
        </w:tc>
      </w:tr>
      <w:tr>
        <w:trPr>
          <w:trHeight w:val="129"/>
        </w:trPr>
        <w:tc>
          <w:tcPr>
            <w:tcW w:w="25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4"/>
                <w:szCs w:val="14"/>
                <w:b w:val="1"/>
                <w:bCs w:val="1"/>
                <w:color w:val="auto"/>
              </w:rPr>
              <w:t>(Stated in</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73"/>
              </w:rPr>
              <w:t>thousands, except</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 share</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r>
      <w:tr>
        <w:trPr>
          <w:trHeight w:val="161"/>
        </w:trPr>
        <w:tc>
          <w:tcPr>
            <w:tcW w:w="2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w w:val="98"/>
              </w:rPr>
              <w:t>amounts)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6"/>
        </w:trPr>
        <w:tc>
          <w:tcPr>
            <w:tcW w:w="254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84"/>
              </w:rPr>
              <w:t>2008</w:t>
            </w:r>
          </w:p>
        </w:tc>
        <w:tc>
          <w:tcPr>
            <w:tcW w:w="4320" w:type="dxa"/>
            <w:vAlign w:val="bottom"/>
            <w:gridSpan w:val="2"/>
            <w:shd w:val="clear" w:color="auto" w:fill="CCEEFF"/>
          </w:tcPr>
          <w:p>
            <w:pPr>
              <w:jc w:val="center"/>
              <w:ind w:left="3572"/>
              <w:spacing w:after="0"/>
              <w:rPr>
                <w:sz w:val="20"/>
                <w:szCs w:val="20"/>
                <w:color w:val="auto"/>
              </w:rPr>
            </w:pPr>
            <w:r>
              <w:rPr>
                <w:rFonts w:ascii="Arial" w:cs="Arial" w:eastAsia="Arial" w:hAnsi="Arial"/>
                <w:sz w:val="18"/>
                <w:szCs w:val="18"/>
                <w:color w:val="auto"/>
                <w:w w:val="87"/>
              </w:rPr>
              <w:t>$564,302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6,953.3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81.16</w:t>
            </w:r>
          </w:p>
        </w:tc>
      </w:tr>
      <w:tr>
        <w:trPr>
          <w:trHeight w:val="322"/>
        </w:trPr>
        <w:tc>
          <w:tcPr>
            <w:tcW w:w="2540" w:type="dxa"/>
            <w:vAlign w:val="bottom"/>
          </w:tcPr>
          <w:p>
            <w:pPr>
              <w:jc w:val="right"/>
              <w:ind w:right="2092"/>
              <w:spacing w:after="0"/>
              <w:rPr>
                <w:sz w:val="20"/>
                <w:szCs w:val="20"/>
                <w:color w:val="auto"/>
              </w:rPr>
            </w:pPr>
            <w:r>
              <w:rPr>
                <w:rFonts w:ascii="Arial" w:cs="Arial" w:eastAsia="Arial" w:hAnsi="Arial"/>
                <w:sz w:val="18"/>
                <w:szCs w:val="18"/>
                <w:color w:val="auto"/>
                <w:w w:val="84"/>
              </w:rPr>
              <w:t>2007</w:t>
            </w:r>
          </w:p>
        </w:tc>
        <w:tc>
          <w:tcPr>
            <w:tcW w:w="4320" w:type="dxa"/>
            <w:vAlign w:val="bottom"/>
            <w:gridSpan w:val="2"/>
          </w:tcPr>
          <w:p>
            <w:pPr>
              <w:jc w:val="center"/>
              <w:ind w:left="3572"/>
              <w:spacing w:after="0"/>
              <w:rPr>
                <w:sz w:val="20"/>
                <w:szCs w:val="20"/>
                <w:color w:val="auto"/>
              </w:rPr>
            </w:pPr>
            <w:r>
              <w:rPr>
                <w:rFonts w:ascii="Arial" w:cs="Arial" w:eastAsia="Arial" w:hAnsi="Arial"/>
                <w:sz w:val="18"/>
                <w:szCs w:val="18"/>
                <w:color w:val="auto"/>
                <w:w w:val="87"/>
              </w:rPr>
              <w:t>$332,438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5,179.0</w:t>
            </w:r>
          </w:p>
        </w:tc>
        <w:tc>
          <w:tcPr>
            <w:tcW w:w="6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64.19</w:t>
            </w:r>
          </w:p>
        </w:tc>
      </w:tr>
      <w:tr>
        <w:trPr>
          <w:trHeight w:val="365"/>
        </w:trPr>
        <w:tc>
          <w:tcPr>
            <w:tcW w:w="2540" w:type="dxa"/>
            <w:vAlign w:val="bottom"/>
          </w:tcPr>
          <w:p>
            <w:pPr>
              <w:spacing w:after="0"/>
              <w:rPr>
                <w:sz w:val="24"/>
                <w:szCs w:val="24"/>
                <w:color w:val="auto"/>
              </w:rPr>
            </w:pPr>
          </w:p>
        </w:tc>
        <w:tc>
          <w:tcPr>
            <w:tcW w:w="3660" w:type="dxa"/>
            <w:vAlign w:val="bottom"/>
          </w:tcPr>
          <w:p>
            <w:pPr>
              <w:jc w:val="right"/>
              <w:ind w:right="1232"/>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On April 17, 2008, the Board of Directors of Schlumberger approved an $8 billion share repurchase program for shares of its common stock to be acquired in the open market before December 31, 2011.</w:t>
      </w:r>
    </w:p>
    <w:p>
      <w:pPr>
        <w:spacing w:after="0" w:line="51" w:lineRule="exact"/>
        <w:rPr>
          <w:sz w:val="20"/>
          <w:szCs w:val="20"/>
          <w:color w:val="auto"/>
        </w:rPr>
      </w:pPr>
    </w:p>
    <w:p>
      <w:pPr>
        <w:ind w:left="900" w:right="4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dividends paid during the three months ended March 31, 2008 and 2007 were $209 million and $147 million, respectively. On January 18, 2008, Schlumberger announced that its Board of Directors approved a 20% increase in the quarterly dividend to $0.21 per share effective commencing with the dividend payable April 4, 2008.</w:t>
      </w:r>
    </w:p>
    <w:p>
      <w:pPr>
        <w:spacing w:after="0" w:line="59"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 provided by operations was $1.1 billion in the first quarter of 2008 compared to $1.0 billion in the first quarter of 2007. This improvement was primarily driven by the revenue and consequent net income increases experienced in the first quarter of 2008, partially offset by increases in working capital requirements.</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Capital expenditures, including multiclient seismic data costs, were $832 million in the first quarter of 2008 compared to $615 million during the first quarter of 2007. Capital expenditures, including multiclient seismic data costs, are expected to approach $4.2 billion in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report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Schlumberger’s stock repurchase programs; and future results of operations. These statements are subject to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project start-up costs and third-party service costs; operational and new equipment delays; seasonal factors and weather-related events; and risks and uncertainties factors detailed in our most recent Form 10-K, this Form 10-Q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year ended December 31, 2007. Schlumberger’s exposure to market risk has not changed materially since December 31, 2007.</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March 31, 2008. Based on this evaluation, the CEO and the CFO have concluded that, as of March 31, 2008,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There has been no change in Schlumberger’s internal control over financial reporting that occurred during the quarter ended March 31, 2008 that has materially affected, or is reasonably likely to materially affect, Schlumberger’s internal control over financial reporting.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as previously disclosed in our Annual Report on Form 10-K for our fiscal year ended December 31,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During the quarter ended March 31, 2008, Schlumberger issued 1,294,859 shares of its common stock upon conversion by holders of $46.8 million aggregate principal amount of its 1.5% Series A Convertible Debentures due June 1, 2023 and 3,175 shares of its common stock upon conversion by holders of $127,000 aggregate principal amount of its 2.125% Series B Convertible Debentures due June 1, 2023. Such shares were issued in transactions exempt from registration under Section 3(a) (9) of the Securities Act of 1933, as amended.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20, 2006, the Board of Directors of Schlumberger approved a share repurchase program of up to 40 million shares of Schlumberger common stock to be acquired in the open market before April 2010, subject to market conditions. It is expected that this share repurchase program will be completed during the second quarter of 2008.</w:t>
      </w:r>
    </w:p>
    <w:p>
      <w:pPr>
        <w:spacing w:after="0" w:line="14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sets forth certain information with respect to the Schlumberger common stock repurchase program activity for the three months ended March 31,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Total number of</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9"/>
              </w:rPr>
              <w:t>Maximum number of</w:t>
            </w:r>
          </w:p>
        </w:tc>
      </w:tr>
      <w:tr>
        <w:trPr>
          <w:trHeight w:val="149"/>
        </w:trPr>
        <w:tc>
          <w:tcPr>
            <w:tcW w:w="5180" w:type="dxa"/>
            <w:vAlign w:val="bottom"/>
          </w:tcPr>
          <w:p>
            <w:pPr>
              <w:spacing w:after="0"/>
              <w:rPr>
                <w:sz w:val="12"/>
                <w:szCs w:val="12"/>
                <w:color w:val="auto"/>
              </w:rPr>
            </w:pPr>
          </w:p>
        </w:tc>
        <w:tc>
          <w:tcPr>
            <w:tcW w:w="15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9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that may yet</w:t>
            </w:r>
          </w:p>
        </w:tc>
      </w:tr>
      <w:tr>
        <w:trPr>
          <w:trHeight w:val="149"/>
        </w:trPr>
        <w:tc>
          <w:tcPr>
            <w:tcW w:w="5180" w:type="dxa"/>
            <w:vAlign w:val="bottom"/>
          </w:tcPr>
          <w:p>
            <w:pPr>
              <w:spacing w:after="0"/>
              <w:rPr>
                <w:sz w:val="12"/>
                <w:szCs w:val="12"/>
                <w:color w:val="auto"/>
              </w:rPr>
            </w:pPr>
          </w:p>
        </w:tc>
        <w:tc>
          <w:tcPr>
            <w:tcW w:w="15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2"/>
                <w:szCs w:val="12"/>
                <w:color w:val="auto"/>
              </w:rPr>
            </w:pPr>
          </w:p>
        </w:tc>
        <w:tc>
          <w:tcPr>
            <w:tcW w:w="14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paid per</w:t>
            </w:r>
          </w:p>
        </w:tc>
        <w:tc>
          <w:tcPr>
            <w:tcW w:w="19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as part of publicly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 purchased</w:t>
            </w:r>
          </w:p>
        </w:tc>
      </w:tr>
      <w:tr>
        <w:trPr>
          <w:trHeight w:val="161"/>
        </w:trPr>
        <w:tc>
          <w:tcPr>
            <w:tcW w:w="5180" w:type="dxa"/>
            <w:vAlign w:val="bottom"/>
          </w:tcPr>
          <w:p>
            <w:pPr>
              <w:spacing w:after="0"/>
              <w:rPr>
                <w:sz w:val="14"/>
                <w:szCs w:val="1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5"/>
              </w:rPr>
              <w:t>purchased</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w:t>
            </w:r>
          </w:p>
        </w:tc>
        <w:tc>
          <w:tcPr>
            <w:tcW w:w="7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announced program</w:t>
            </w:r>
          </w:p>
        </w:tc>
        <w:tc>
          <w:tcPr>
            <w:tcW w:w="7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under the program</w:t>
            </w:r>
          </w:p>
        </w:tc>
      </w:tr>
      <w:tr>
        <w:trPr>
          <w:trHeight w:val="142"/>
        </w:trPr>
        <w:tc>
          <w:tcPr>
            <w:tcW w:w="5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 in</w:t>
            </w:r>
          </w:p>
        </w:tc>
        <w:tc>
          <w:tcPr>
            <w:tcW w:w="2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c>
          <w:tcPr>
            <w:tcW w:w="124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78.93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February 1 through February 29, 2008</w:t>
            </w:r>
          </w:p>
        </w:tc>
        <w:tc>
          <w:tcPr>
            <w:tcW w:w="800" w:type="dxa"/>
            <w:vAlign w:val="bottom"/>
          </w:tcPr>
          <w:p>
            <w:pPr>
              <w:jc w:val="right"/>
              <w:spacing w:after="0"/>
              <w:rPr>
                <w:sz w:val="20"/>
                <w:szCs w:val="20"/>
                <w:color w:val="auto"/>
              </w:rPr>
            </w:pPr>
            <w:r>
              <w:rPr>
                <w:rFonts w:ascii="Arial" w:cs="Arial" w:eastAsia="Arial" w:hAnsi="Arial"/>
                <w:sz w:val="18"/>
                <w:szCs w:val="18"/>
                <w:color w:val="auto"/>
              </w:rPr>
              <w:t>3,266.3</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72"/>
              <w:spacing w:after="0"/>
              <w:rPr>
                <w:sz w:val="20"/>
                <w:szCs w:val="20"/>
                <w:color w:val="auto"/>
              </w:rPr>
            </w:pPr>
            <w:r>
              <w:rPr>
                <w:rFonts w:ascii="Arial" w:cs="Arial" w:eastAsia="Arial" w:hAnsi="Arial"/>
                <w:sz w:val="18"/>
                <w:szCs w:val="18"/>
                <w:color w:val="auto"/>
              </w:rPr>
              <w:t>79.86</w:t>
            </w:r>
          </w:p>
        </w:tc>
        <w:tc>
          <w:tcPr>
            <w:tcW w:w="1180" w:type="dxa"/>
            <w:vAlign w:val="bottom"/>
          </w:tcPr>
          <w:p>
            <w:pPr>
              <w:jc w:val="right"/>
              <w:spacing w:after="0"/>
              <w:rPr>
                <w:sz w:val="20"/>
                <w:szCs w:val="20"/>
                <w:color w:val="auto"/>
              </w:rPr>
            </w:pPr>
            <w:r>
              <w:rPr>
                <w:rFonts w:ascii="Arial" w:cs="Arial" w:eastAsia="Arial" w:hAnsi="Arial"/>
                <w:sz w:val="18"/>
                <w:szCs w:val="18"/>
                <w:color w:val="auto"/>
              </w:rPr>
              <w:t>3,266.3</w:t>
            </w: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5,569.7</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2008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2,423.0</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7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2,423.0</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3,146.7</w:t>
            </w:r>
          </w:p>
        </w:tc>
      </w:tr>
      <w:tr>
        <w:trPr>
          <w:trHeight w:val="222"/>
        </w:trPr>
        <w:tc>
          <w:tcPr>
            <w:tcW w:w="5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6,953.3</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72"/>
              <w:spacing w:after="0"/>
              <w:rPr>
                <w:sz w:val="20"/>
                <w:szCs w:val="20"/>
                <w:color w:val="auto"/>
              </w:rPr>
            </w:pPr>
            <w:r>
              <w:rPr>
                <w:rFonts w:ascii="Arial" w:cs="Arial" w:eastAsia="Arial" w:hAnsi="Arial"/>
                <w:sz w:val="18"/>
                <w:szCs w:val="18"/>
                <w:color w:val="auto"/>
              </w:rPr>
              <w:t>81.16</w:t>
            </w:r>
          </w:p>
        </w:tc>
        <w:tc>
          <w:tcPr>
            <w:tcW w:w="1180" w:type="dxa"/>
            <w:vAlign w:val="bottom"/>
          </w:tcPr>
          <w:p>
            <w:pPr>
              <w:jc w:val="right"/>
              <w:spacing w:after="0"/>
              <w:rPr>
                <w:sz w:val="20"/>
                <w:szCs w:val="20"/>
                <w:color w:val="auto"/>
              </w:rPr>
            </w:pPr>
            <w:r>
              <w:rPr>
                <w:rFonts w:ascii="Arial" w:cs="Arial" w:eastAsia="Arial" w:hAnsi="Arial"/>
                <w:sz w:val="18"/>
                <w:szCs w:val="18"/>
                <w:color w:val="auto"/>
              </w:rPr>
              <w:t>6,953.3</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or tax withholding obligations. Schlumberger does not view these transactions as implicating the disclosure required under this Item. The number of shares of Schlumberger common stock received from optionholders is immaterial.</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April 17, 2008, the Board of Directors of Schlumberger approved an $8 billion share repurchase program for shares of common stock to be acquired in the open market before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2008 Annual General Meeting of Stockholders of Schlumberger Limited (the “Meeting”) was held on April 9,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director nominees were elected.</w:t>
      </w:r>
    </w:p>
    <w:p>
      <w:pPr>
        <w:spacing w:after="0" w:line="90"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At the Meeting, the stockholders of Schlumberger Limited also voted (i) to approve Schlumberger’s Consolidated Balance Sheet as at December 31, 2007, its Consolidated Statement of Income for the year ended December 31, 2007, and the declaration of dividends by the Board of Directors as reflected in the Company’s 2007 Annual Report to Stockholders; (ii) to approve the adopting of the Schlumberger 2008 Stock Incentive Plan; and (iii) to approve the appointment of PricewaterhouseCoopers LLP as the independent registered public accounting firm to audit the accounts of Schlumberger for 2008.</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votes cast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Director</w:t>
            </w:r>
          </w:p>
        </w:tc>
        <w:tc>
          <w:tcPr>
            <w:tcW w:w="4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3"/>
              </w:rPr>
              <w:t>Votes Received</w:t>
            </w:r>
          </w:p>
        </w:tc>
        <w:tc>
          <w:tcPr>
            <w:tcW w:w="320" w:type="dxa"/>
            <w:vAlign w:val="bottom"/>
            <w:gridSpan w:val="2"/>
          </w:tcPr>
          <w:p>
            <w:pPr>
              <w:spacing w:after="0"/>
              <w:rPr>
                <w:sz w:val="14"/>
                <w:szCs w:val="14"/>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Withheld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Phillipe Camus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6"/>
              </w:rPr>
              <w:t>1,016,108,164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Jamie S. Gorelick</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1,014,649,788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Gould</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6"/>
              </w:rPr>
              <w:t>1,010,086,005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16,256,343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1,016,252,714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10,089,634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6"/>
              </w:rPr>
              <w:t>1,016,147,342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1,016,126,976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10,215,372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6"/>
              </w:rPr>
              <w:t>1,015,372,264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Didier Primat</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1,015,385,354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10,956,994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6"/>
              </w:rPr>
              <w:t>1,016,182,817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1,015,945,327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10,397,021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Seydoux</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6"/>
              </w:rPr>
              <w:t>1,015,903,416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Linda Gillespie Stuntz</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1,015,925,760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10,416,588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Proposals and Vote Tabulations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Votes Cast</w:t>
            </w: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For</w:t>
            </w: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Against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3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Non-votes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Financials</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980,368,065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2,262,782</w:t>
            </w:r>
          </w:p>
        </w:tc>
        <w:tc>
          <w:tcPr>
            <w:tcW w:w="1340" w:type="dxa"/>
            <w:vAlign w:val="bottom"/>
            <w:gridSpan w:val="3"/>
            <w:shd w:val="clear" w:color="auto" w:fill="CCEEFF"/>
          </w:tcPr>
          <w:p>
            <w:pPr>
              <w:jc w:val="center"/>
              <w:ind w:left="232"/>
              <w:spacing w:after="0"/>
              <w:rPr>
                <w:sz w:val="20"/>
                <w:szCs w:val="20"/>
                <w:color w:val="auto"/>
              </w:rPr>
            </w:pPr>
            <w:r>
              <w:rPr>
                <w:rFonts w:ascii="Arial" w:cs="Arial" w:eastAsia="Arial" w:hAnsi="Arial"/>
                <w:sz w:val="18"/>
                <w:szCs w:val="18"/>
                <w:color w:val="auto"/>
                <w:w w:val="86"/>
              </w:rPr>
              <w:t>43,711,501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80" w:type="dxa"/>
            <w:vAlign w:val="bottom"/>
            <w:gridSpan w:val="3"/>
          </w:tcPr>
          <w:p>
            <w:pPr>
              <w:ind w:left="460"/>
              <w:spacing w:after="0"/>
              <w:rPr>
                <w:sz w:val="20"/>
                <w:szCs w:val="20"/>
                <w:color w:val="auto"/>
              </w:rPr>
            </w:pPr>
            <w:r>
              <w:rPr>
                <w:rFonts w:ascii="Arial" w:cs="Arial" w:eastAsia="Arial" w:hAnsi="Arial"/>
                <w:sz w:val="18"/>
                <w:szCs w:val="18"/>
                <w:color w:val="auto"/>
              </w:rPr>
              <w:t>Schlumberger 2008 Stock Incentive Plan</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882,515,290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12,918,055</w:t>
            </w:r>
          </w:p>
        </w:tc>
        <w:tc>
          <w:tcPr>
            <w:tcW w:w="1340" w:type="dxa"/>
            <w:vAlign w:val="bottom"/>
            <w:gridSpan w:val="3"/>
          </w:tcPr>
          <w:p>
            <w:pPr>
              <w:jc w:val="center"/>
              <w:ind w:left="232"/>
              <w:spacing w:after="0"/>
              <w:rPr>
                <w:sz w:val="20"/>
                <w:szCs w:val="20"/>
                <w:color w:val="auto"/>
              </w:rPr>
            </w:pPr>
            <w:r>
              <w:rPr>
                <w:rFonts w:ascii="Arial" w:cs="Arial" w:eastAsia="Arial" w:hAnsi="Arial"/>
                <w:sz w:val="18"/>
                <w:szCs w:val="18"/>
                <w:color w:val="auto"/>
                <w:w w:val="86"/>
              </w:rPr>
              <w:t>13,556,521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117,352,482</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482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PricewaterhouseCoopers LLP</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1,014,287,673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1,673,442</w:t>
            </w:r>
          </w:p>
        </w:tc>
        <w:tc>
          <w:tcPr>
            <w:tcW w:w="1340" w:type="dxa"/>
            <w:vAlign w:val="bottom"/>
            <w:gridSpan w:val="3"/>
            <w:shd w:val="clear" w:color="auto" w:fill="CCEEFF"/>
          </w:tcPr>
          <w:p>
            <w:pPr>
              <w:jc w:val="center"/>
              <w:ind w:left="232"/>
              <w:spacing w:after="0"/>
              <w:rPr>
                <w:sz w:val="20"/>
                <w:szCs w:val="20"/>
                <w:color w:val="auto"/>
              </w:rPr>
            </w:pPr>
            <w:r>
              <w:rPr>
                <w:rFonts w:ascii="Arial" w:cs="Arial" w:eastAsia="Arial" w:hAnsi="Arial"/>
                <w:sz w:val="18"/>
                <w:szCs w:val="18"/>
                <w:color w:val="auto"/>
                <w:w w:val="86"/>
              </w:rPr>
              <w:t>10,381,233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432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gridSpan w:val="2"/>
          </w:tcPr>
          <w:p>
            <w:pPr>
              <w:spacing w:after="0"/>
              <w:rPr>
                <w:sz w:val="20"/>
                <w:szCs w:val="20"/>
                <w:color w:val="auto"/>
              </w:rPr>
            </w:pPr>
            <w:r>
              <w:rPr>
                <w:rFonts w:ascii="Arial" w:cs="Arial" w:eastAsia="Arial" w:hAnsi="Arial"/>
                <w:sz w:val="18"/>
                <w:szCs w:val="18"/>
                <w:color w:val="auto"/>
              </w:rPr>
              <w:t>None.</w:t>
            </w:r>
          </w:p>
        </w:tc>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80" w:type="dxa"/>
            <w:vAlign w:val="bottom"/>
          </w:tcPr>
          <w:p>
            <w:pPr>
              <w:jc w:val="right"/>
              <w:ind w:right="779"/>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3.1 to Schlumberger’s Quarterly Report on Form 10-Q for the fiscal quarter ended March 31, 2006).</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132"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Exhibit 10.1 – Amended and Restated Schlumberger Limited 2004 Stock and Deferred Plan for Non-employee Directors, effective as of April 19, 2007.</w:t>
      </w:r>
    </w:p>
    <w:p>
      <w:pPr>
        <w:spacing w:after="0" w:line="194" w:lineRule="exact"/>
        <w:rPr>
          <w:rFonts w:ascii="Arial" w:cs="Arial" w:eastAsia="Arial" w:hAnsi="Arial"/>
          <w:sz w:val="16"/>
          <w:szCs w:val="16"/>
          <w:color w:val="auto"/>
        </w:rPr>
      </w:pPr>
    </w:p>
    <w:p>
      <w:pPr>
        <w:ind w:firstLine="8"/>
        <w:spacing w:after="0" w:line="268" w:lineRule="auto"/>
        <w:tabs>
          <w:tab w:leader="none" w:pos="1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131" w:lineRule="exact"/>
        <w:rPr>
          <w:rFonts w:ascii="Arial" w:cs="Arial" w:eastAsia="Arial" w:hAnsi="Arial"/>
          <w:sz w:val="18"/>
          <w:szCs w:val="18"/>
          <w:color w:val="auto"/>
        </w:rPr>
      </w:pPr>
    </w:p>
    <w:p>
      <w:pPr>
        <w:ind w:right="420" w:firstLine="8"/>
        <w:spacing w:after="0" w:line="268" w:lineRule="auto"/>
        <w:tabs>
          <w:tab w:leader="none" w:pos="1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13a-14(a) of the Securities Exchange Act of 1934, as amended, as adopted pursuant to Section 302 of the Sarbanes-Oxley Act of 2002.</w:t>
      </w:r>
    </w:p>
    <w:p>
      <w:pPr>
        <w:spacing w:after="0" w:line="132" w:lineRule="exact"/>
        <w:rPr>
          <w:sz w:val="20"/>
          <w:szCs w:val="20"/>
          <w:color w:val="auto"/>
        </w:rPr>
      </w:pPr>
    </w:p>
    <w:p>
      <w:pPr>
        <w:ind w:right="60" w:firstLine="8"/>
        <w:spacing w:after="0" w:line="26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131" w:lineRule="exact"/>
        <w:rPr>
          <w:rFonts w:ascii="Arial" w:cs="Arial" w:eastAsia="Arial" w:hAnsi="Arial"/>
          <w:sz w:val="18"/>
          <w:szCs w:val="18"/>
          <w:color w:val="auto"/>
        </w:rPr>
      </w:pPr>
    </w:p>
    <w:p>
      <w:pPr>
        <w:ind w:right="280" w:firstLine="8"/>
        <w:spacing w:after="0" w:line="26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Form 10-Q.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Form 10-Q.</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222"/>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3540" w:type="dxa"/>
            <w:vAlign w:val="bottom"/>
          </w:tcPr>
          <w:p>
            <w:pPr>
              <w:spacing w:after="0"/>
              <w:rPr>
                <w:sz w:val="20"/>
                <w:szCs w:val="20"/>
                <w:color w:val="auto"/>
              </w:rPr>
            </w:pPr>
            <w:r>
              <w:rPr>
                <w:rFonts w:ascii="Arial" w:cs="Arial" w:eastAsia="Arial" w:hAnsi="Arial"/>
                <w:sz w:val="18"/>
                <w:szCs w:val="18"/>
                <w:color w:val="auto"/>
              </w:rPr>
              <w:t>Date: April 23, 2008</w:t>
            </w:r>
          </w:p>
        </w:tc>
        <w:tc>
          <w:tcPr>
            <w:tcW w:w="24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Howard Guild</w:t>
            </w:r>
          </w:p>
        </w:tc>
      </w:tr>
      <w:tr>
        <w:trPr>
          <w:trHeight w:val="202"/>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Howard Guild</w:t>
            </w:r>
          </w:p>
        </w:tc>
      </w:tr>
      <w:tr>
        <w:trPr>
          <w:trHeight w:val="222"/>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Accounting Officer and Duly Authorized Signatory</w:t>
            </w:r>
          </w:p>
        </w:tc>
      </w:tr>
      <w:tr>
        <w:trPr>
          <w:trHeight w:val="378"/>
        </w:trPr>
        <w:tc>
          <w:tcPr>
            <w:tcW w:w="3540" w:type="dxa"/>
            <w:vAlign w:val="bottom"/>
          </w:tcPr>
          <w:p>
            <w:pPr>
              <w:spacing w:after="0"/>
              <w:rPr>
                <w:sz w:val="24"/>
                <w:szCs w:val="24"/>
                <w:color w:val="auto"/>
              </w:rPr>
            </w:pPr>
          </w:p>
        </w:tc>
        <w:tc>
          <w:tcPr>
            <w:tcW w:w="242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NON-EMPLOYEE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April 19, 2007)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OF PLAN AND DEFINITIONS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Schlumberger Limited established this 2004 Stock and Deferral Plan for Non-Employee Directors (the “Plan”) for the purpose of providing non-employee directors of the Company with regular grants of shares of the common stock of the Company (or units representing such shares) and the opportunity to defer a portion of their compensation, in order to provide greater incentives for those non-employee Directors to attain and maintain the highest standards of performance, to attract and retain non-employee Directors of outstanding competence and ability, to stimulate the active interest of such persons in the development and financial success of the Company, to further the identity of interests of such non-employee Directors with those of the Company’s stockholders generally, and to reward such non-employee Directors for outstanding performance. The Plan was originally established effective April 14, 2004 and approved by the stockholders of the Company at the April 2004 annual meeting. Effective April 19, 2007, the Plan is hereby amended and restated to allow non-employee Directors to defer the payment of part or all of his or her Cash Compensation.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“Annual Director Award Date” means the last day of the calendar month in which occurs the first Board meeting following the regular annual general meeting of the stockholders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“Cash Compensation” means the total cash compensation which is paid to Eligible Directors for services rendered including any annual retainer fees and any annual fees related to committee membership or services as a committee chair.</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“Committee” means such committee as is designated by the Board to administer the Plan in accordance with Article II, or if no such committee is designated,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means Schlumberger Limited, a Netherlands Antilles corporation.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“Deferred Compensation Account” means the bookkeeping account maintained for each Participant to record certain amounts deferred by the Participant in accordance with Article IV hereof.</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“Determination Date” means the date on which delivery of a Participant’s deferred Stock Awards or Cash Compensation is made or commences, as determined in accordance with Section 5.1.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“Money Market Equivalents” means a phantom investment benchmark that is used to measure the return credited to a Participant’s Deferred Compensation Account. To the extent Money Market Equivalents are elected,</w:t>
      </w:r>
    </w:p>
    <w:p>
      <w:pPr>
        <w:sectPr>
          <w:pgSz w:w="11900" w:h="16838" w:orient="portrait"/>
          <w:cols w:equalWidth="0" w:num="1">
            <w:col w:w="11420"/>
          </w:cols>
          <w:pgMar w:left="240" w:top="125" w:right="239" w:bottom="1440" w:gutter="0" w:footer="0" w:header="0"/>
        </w:sectPr>
      </w:pPr>
    </w:p>
    <w:bookmarkStart w:id="26" w:name="page27"/>
    <w:bookmarkEnd w:id="26"/>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equivalents will be credited to the Participant’s Deferred Compensation Account as of the last day of each calendar month based upon the average daily balance in the account for the month and the IMONEY NET First Tier Institutional Index benchmark return for the month as determined from Northern Trust or a similar or equivalent index of money fund assets to be determined by the Committee to be in effect from time to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Award” means an award of shares of Common Stock, restricted Common Stock or restricted Stock Units pursuant to Article III.</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“Stock Unit” means a unit which represents the right to receive one share of Common Stock under such terms and conditions as may be prescribed by the Committee and this Plan.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“S&amp;P 500 Index” means a phantom investment benchmark that is used to measure the return credited to a Participant’s Deferred Compensation Account. To the extent S&amp;P 500 Equivalents are elected, the earnings (or loss) equivalents will be credited (or debited) to the Participant’s Deferred Compensation Account as of the last day of each calendar quarter based upon the balance in the account as of the last day of the quarter and the returns realized by the Standard &amp; Poor’s 500 Index for the quarter.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OF THE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shall be administered by the Committee.</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Committee’s Powers</w:t>
      </w:r>
      <w:r>
        <w:rPr>
          <w:rFonts w:ascii="Arial" w:cs="Arial" w:eastAsia="Arial" w:hAnsi="Arial"/>
          <w:sz w:val="16"/>
          <w:szCs w:val="16"/>
          <w:color w:val="auto"/>
        </w:rPr>
        <w:t>. Subject to the provisions hereof, the Committee 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or Cash Compensation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this Plan shall lie within its sole and absolute discretion and shall be final, conclusive and binding on all parties concerned.</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Committee Liability</w:t>
      </w:r>
      <w:r>
        <w:rPr>
          <w:rFonts w:ascii="Arial" w:cs="Arial" w:eastAsia="Arial" w:hAnsi="Arial"/>
          <w:sz w:val="16"/>
          <w:szCs w:val="16"/>
          <w:color w:val="auto"/>
        </w:rPr>
        <w:t>. No member of the Committee or officer of the Company to whom the Committee has delegated authority in accordance with the 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107"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the Chief Executive Officer and to other senior officers of the Company its duties under this Plan (other than its granting authority described in Article III) pursuant to such conditions or limitations as the Committee may establish.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Shares Available</w:t>
      </w:r>
      <w:r>
        <w:rPr>
          <w:rFonts w:ascii="Arial" w:cs="Arial" w:eastAsia="Arial" w:hAnsi="Arial"/>
          <w:sz w:val="18"/>
          <w:szCs w:val="18"/>
          <w:color w:val="auto"/>
        </w:rPr>
        <w:t>. There shall be available for Stock Awards during the term of this Plan an aggregate of 300,000 shares of Common Stock (as adjusted to reflect the 2-for-1 stock split effected in 2007 (the “Stock Split”)). Shares of Common Stock will be made available from either the Company’s authorized but unissued shares or treasury shares that have been issued but reacquired by the Company.</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Annual Grants</w:t>
      </w:r>
      <w:r>
        <w:rPr>
          <w:rFonts w:ascii="Arial" w:cs="Arial" w:eastAsia="Arial" w:hAnsi="Arial"/>
          <w:sz w:val="16"/>
          <w:szCs w:val="16"/>
          <w:color w:val="auto"/>
        </w:rPr>
        <w:t>. On each Annual Director Award Date all Eligible Directors shall be granted a Stock Award with respect to a number of shares of Common Stock in the form of a number of shares of Common Stock, restricted Common Stock or restricted Stock Units, with the form and amount of such Stock Awards to be determined by the Committee; provided however that (1) each such annual Stock Award may not exceed 4,000 shares of Common Stock (as adjusted for the Stock Split), restricted Common Stock or restricted Stock Units, and (2) no more than 60,000 shares of Common Stock (as adjusted for the Stock Split), restricted Common Stock or restricted Stock Units may be awarded in any calendar year. The Stock Award shall be subject to such terms, conditions and restrictions (including vesting) as the Committee may determine in its discretion in connection with such award.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AND ACCOUNTS</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Deferral Election</w:t>
      </w:r>
      <w:r>
        <w:rPr>
          <w:rFonts w:ascii="Arial" w:cs="Arial" w:eastAsia="Arial" w:hAnsi="Arial"/>
          <w:sz w:val="18"/>
          <w:szCs w:val="18"/>
          <w:color w:val="auto"/>
        </w:rPr>
        <w:t>. A Director, at the discretion of the Committee, may irrevocably elect to defer the receipt of all or part of a Stock Award and/or Cash Compensation by submitting a Deferral Election in the manner specified by the Committee. The Deferral Election (i) shall specify the number of shares of Common Stock the receipt of which the Participant elects to defer and/or the amount or percentage of Cash Compensation, (ii) shall designate the period of deferral among the choices provided in Section 5.1, and (iii) may not be revoked or modified.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Timing of Elections</w:t>
      </w:r>
      <w:r>
        <w:rPr>
          <w:rFonts w:ascii="Arial" w:cs="Arial" w:eastAsia="Arial" w:hAnsi="Arial"/>
          <w:sz w:val="16"/>
          <w:szCs w:val="16"/>
          <w:color w:val="auto"/>
        </w:rPr>
        <w:t>. For annual grants of Stock Awards pursuant to Section 3.2, Deferral Elections must be made (i) for Stock Awards, no later than the last day of the calendar year preceding the Annual Director Award Date and (ii) for Cash Compensation, no later than the last day of the calendar year immediately preceding the calendar year in which such payments would have otherwise been paid. Effective beginning in 2008, Deferral Elections may be completed by newly appointed Eligible Directors no later than the date that is 30 days after the date such individual first becomes an Eligible Director; provided that such Deferral Election may apply solely to Stock Awards or Cash Compensation related to services to be performed subsequent to such Deferral Election. The Committee shall be authorized to adopt such other rules and limitations as it shall determine are necessary or appropriate with respect to the timing of elections to defer Stock Awards or Cash Compensation under the Plan.</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Establishment of Accounts</w:t>
      </w:r>
      <w:r>
        <w:rPr>
          <w:rFonts w:ascii="Arial" w:cs="Arial" w:eastAsia="Arial" w:hAnsi="Arial"/>
          <w:sz w:val="16"/>
          <w:szCs w:val="16"/>
          <w:color w:val="auto"/>
        </w:rPr>
        <w:t>. The Company shall also set up an appropriate record (hereinafter called the “Deferred Compensation Account”) which will from time to time reflect the name of each Participant and (i) the number of restricted Stock Units and, if applicable, dividend equivalents credited to such Participant pursuant to Section 4.4 and (ii) the Cash Compensation deferred pursuant to Section 4.1 plus earnings or losses credited thereon monthly.</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Crediting of Deferred Stock Awards or Restricted Stock Unit Awards</w:t>
      </w:r>
      <w:r>
        <w:rPr>
          <w:rFonts w:ascii="Arial" w:cs="Arial" w:eastAsia="Arial" w:hAnsi="Arial"/>
          <w:sz w:val="18"/>
          <w:szCs w:val="18"/>
          <w:color w:val="auto"/>
        </w:rPr>
        <w:t>. Any Stock Awards deferred pursuant to a Deferral Election as described in Section 4.1 shall be credited to the Participant’s Deferred Compensation Account as of the date the shares would otherwise have been delivered pursuant to Article III in the form of a number of restricted Stock Units equal to the number of shares of Common Stock deferred, and any restricted Stock Units awarded pursuant to Section 3.2 shall also be credited to a Participant’s Deferred Compensation Account as of such date. No interest will be credited to a Participant’s Deferred Compensation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8" w:name="page29"/>
    <w:bookmarkEnd w:id="28"/>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with respect to any restricted Stock Units. In the event that a cash dividend is paid on Common Stock during the period that restricted Stock Units are credited to the Participant’s Deferred Compensation Account, an amount equivalent to the amount of the cash dividend will be credited to the Participant’s Deferred Compensation Account and the accumulated amount will be paid out without interest at the end of the period of deferral.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71" w:lineRule="exact"/>
        <w:rPr>
          <w:sz w:val="20"/>
          <w:szCs w:val="20"/>
          <w:color w:val="auto"/>
        </w:rPr>
      </w:pPr>
    </w:p>
    <w:p>
      <w:pPr>
        <w:ind w:left="460" w:firstLine="443"/>
        <w:spacing w:after="0" w:line="291" w:lineRule="auto"/>
        <w:tabs>
          <w:tab w:leader="none" w:pos="113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The existence of this Plan and any outstanding restricted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39" w:lineRule="exact"/>
        <w:rPr>
          <w:rFonts w:ascii="Arial" w:cs="Arial" w:eastAsia="Arial" w:hAnsi="Arial"/>
          <w:sz w:val="16"/>
          <w:szCs w:val="16"/>
          <w:color w:val="auto"/>
        </w:rPr>
      </w:pPr>
    </w:p>
    <w:p>
      <w:pPr>
        <w:ind w:left="460" w:right="20" w:firstLine="443"/>
        <w:spacing w:after="0" w:line="286" w:lineRule="auto"/>
        <w:tabs>
          <w:tab w:leader="none" w:pos="114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21"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Deferred Cash Compensation</w:t>
      </w:r>
      <w:r>
        <w:rPr>
          <w:rFonts w:ascii="Arial" w:cs="Arial" w:eastAsia="Arial" w:hAnsi="Arial"/>
          <w:sz w:val="15"/>
          <w:szCs w:val="15"/>
          <w:color w:val="auto"/>
        </w:rPr>
        <w:t>. Each Participant shall be entitled to direct the manner in which his or her deferred Cash Compensation will be deemed to be invested for the period of deferral and in accordance with such rules, regulations and procedures as the Committee may establish from time to time. Notwithstanding anything to the contrary herein, earnings and losses based on a Participant’s investment elections shall begin to accrue as of the date such Participant’s deferred Cash Compensation amounts are credited to his or her Deferred Compensation Account and shall end on the Determination Date (as defined in Section 5.1 below). Each Participant may choose to have his or her deferred Cash Compensation deemed to be invested in the Common Stock, Money Market Equivalents or S&amp;P 500 Equivalents. Any amounts deemed to be invested in the Company’s Common Stock shall (1) have a purchase price equal to the fair market value (as defined below) of each share of Common Stock on the date the investment is deemed to have occurred, and (2) be credited with dividend equivalents representing cash dividends payable with respect to the Common Stock, if any. For purposes of the Plan, the “fair market value “of Common Stock shall be deemed to equal the closing sales price per share of the Common Stock in the New York Stock Exchange Composite Transactions Quotations, as reported for that date, or if there shall have been no such reported prices for that date, the reported closing sales price on the last preceding date on which a composite sale or sales were effected on one or more of the exchanges on which the shares of Common Stock were traded shall be the fair market value.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DEFERRED SHARES OR CASH</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Period of Deferral</w:t>
      </w:r>
      <w:r>
        <w:rPr>
          <w:rFonts w:ascii="Arial" w:cs="Arial" w:eastAsia="Arial" w:hAnsi="Arial"/>
          <w:sz w:val="16"/>
          <w:szCs w:val="16"/>
          <w:color w:val="auto"/>
        </w:rPr>
        <w:t>. With respect to (a) Stock Awards and/or Cash Compensation deferred pursuant to Section 4.1, a Participant may elect that delivery of deferred Stock Awards and/or Cash Compensation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to be known as the “Determination Date”). Delivery of shares will be made within 60 days after the Determination Date.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Delivery of Deferred Stock Awards and Deferred Cash Compensation</w:t>
      </w:r>
      <w:r>
        <w:rPr>
          <w:rFonts w:ascii="Arial" w:cs="Arial" w:eastAsia="Arial" w:hAnsi="Arial"/>
          <w:sz w:val="16"/>
          <w:szCs w:val="16"/>
          <w:color w:val="auto"/>
        </w:rPr>
        <w:t>. As of the Determination Date, the aggregate number of restricted Stock Units and, if applicable, dividend equivalents credited to a Participant’s Deferred Compensation Account as of such Determination Date shall be calculated. A Participant shall receive delivery of a number of shares of Common Stock equal to the aggregate number of restricted Stock Units and a cash payments equal to the amount of the aggregate dividend equivalents representing cash dividends payable with respect to the Company’s Common Stock, if any. As of the Determination Date, a Participant’s Cash Compensation deemed to be invested in Money Market Equivalents or S&amp;P 500 Equivalents, plus any amounts credited to Participant’s Deferred Compensation Account pursuant to Section 4.6 herein, shall be payable in the form of a cash lump sum. As of the Determination Date, a Participant’s Cash Compensation deemed to be invested in shares of the Company’s Common Stock shall be payable in the form of shares of the Company’s Common Stock plus a cash payments equal to the amount of the aggregate dividend equivalents.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Death Prior to Payment</w:t>
      </w:r>
      <w:r>
        <w:rPr>
          <w:rFonts w:ascii="Arial" w:cs="Arial" w:eastAsia="Arial" w:hAnsi="Arial"/>
          <w:sz w:val="18"/>
          <w:szCs w:val="18"/>
          <w:color w:val="auto"/>
        </w:rPr>
        <w:t>. In the event that a Participant dies prior to delivery of all shares and funds deliverable pursuant to the Plan, any remaining shares and funds credited to Participant’s Deferred Compensation Account shall be delivered to the Participant’s estate within 60 days following the Company’s notification of the Participant’s death.</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Delivery to Incompetents</w:t>
      </w:r>
      <w:r>
        <w:rPr>
          <w:rFonts w:ascii="Arial" w:cs="Arial" w:eastAsia="Arial" w:hAnsi="Arial"/>
          <w:sz w:val="16"/>
          <w:szCs w:val="16"/>
          <w:color w:val="auto"/>
        </w:rPr>
        <w:t>. To the extent allowed under applicable law, should the Participant become incompetent, the Company shall be authorized to deliver shares and funds credited to Participant’s Deferred Compensation Account and deliverable pursuant to the Plan to a guardian or legal representative of such incompetent, or directly to such incompetent, whichever manner the Committee shall determine in its sole discretion.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Unfunded Plan</w:t>
      </w:r>
      <w:r>
        <w:rPr>
          <w:rFonts w:ascii="Arial" w:cs="Arial" w:eastAsia="Arial" w:hAnsi="Arial"/>
          <w:sz w:val="16"/>
          <w:szCs w:val="16"/>
          <w:color w:val="auto"/>
        </w:rPr>
        <w:t>. Nothing contained herein shall be deemed to create a 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nor the Committee shall be required to give any security or bond for the performance of any obligation that may be created by this Plan.</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Deferred Compensation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 balance of Deferred Compensation Account as of a recent date designated by the Committee.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Assignability</w:t>
      </w:r>
      <w:r>
        <w:rPr>
          <w:rFonts w:ascii="Arial" w:cs="Arial" w:eastAsia="Arial" w:hAnsi="Arial"/>
          <w:sz w:val="18"/>
          <w:szCs w:val="18"/>
          <w:color w:val="auto"/>
        </w:rPr>
        <w:t>. Except as provided in Section 5.3, no right to receive delivery of shares hereunder shall be transferable or assignable by a Participant except by will or the laws of descent and distribution or pursuant to a qualified domestic relations order as defined by the U.S. Internal Revenue Code of 1986, as amended (the “Code”) or Title I of the Employee Retirement Income Security Act of 1974, as amended, or the rules thereunder. Any attempted assignment of any benefit under this Plan in violation of this Section 6.4 shall be null and void.</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 Modification, Suspension or Termination</w:t>
      </w:r>
      <w:r>
        <w:rPr>
          <w:rFonts w:ascii="Arial" w:cs="Arial" w:eastAsia="Arial" w:hAnsi="Arial"/>
          <w:sz w:val="18"/>
          <w:szCs w:val="18"/>
          <w:color w:val="auto"/>
        </w:rPr>
        <w:t>. The Board may amend, modify, suspend or terminate this Plan for the purpose of meeting or addressing any changes in legal requirements or for any other purpose permitted by law, except that (i) no amendment, modification or termination shall, without the consent of the Participant, impair the rights of any Participant to the number of restricted Stock Units credited to such Participant’s Deferred Compensation Account as of the date of such amendment, modification or termination and (ii) no amendment or modification shall be effective prior to its approval by the stockholders of the Company to the extent such approval is required by applicable legal requirements or the requirements of the securities exchange on which the Company’s Common Stock is listed. The Board may at any time and from time to time delegate to the Committee any or all of this authority under this Section 6.5.</w:t>
      </w:r>
    </w:p>
    <w:p>
      <w:pPr>
        <w:spacing w:after="0" w:line="147" w:lineRule="exact"/>
        <w:rPr>
          <w:sz w:val="20"/>
          <w:szCs w:val="20"/>
          <w:color w:val="auto"/>
        </w:rPr>
      </w:pPr>
    </w:p>
    <w:p>
      <w:pPr>
        <w:jc w:val="both"/>
        <w:ind w:right="720" w:firstLine="456"/>
        <w:spacing w:after="0" w:line="370"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spacing w:after="0" w:line="6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Tax and Social Insurance</w:t>
      </w:r>
      <w:r>
        <w:rPr>
          <w:rFonts w:ascii="Arial" w:cs="Arial" w:eastAsia="Arial" w:hAnsi="Arial"/>
          <w:sz w:val="18"/>
          <w:szCs w:val="18"/>
          <w:color w:val="auto"/>
        </w:rPr>
        <w:t>. Participants are responsible for any and all tax or social insurance due on Stock Awards or restricted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anything in this Plan to the contrary, if any Plan provision under the Plan would result in the imposition of an additional tax under Code Section 409A and related regulations and United States Department of the Treasury pronouncements (“Section 409A”), that Plan provision or Award will be reformed to avoid imposition of the applicable tax and no action taken to comply with Section 409A shall be deemed to adversely affect the Participant’s rights under this Plan.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 2004 Stock and Deferral Plan for Non-Employee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April 19, 2007)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Limited 2004 Stock and Deferral Plan for Non-Employee Directors, as amended and restated effective April 19,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(the “Plan”), and having reserved the right under Section 6.5 thereof to amend the Plan, does hereby amend the Plan, effective October 18, 2007, as follows:</w:t>
      </w:r>
    </w:p>
    <w:p>
      <w:pPr>
        <w:spacing w:after="0" w:line="125"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6.8 of the Plan is hereby amended to read as follows:</w:t>
      </w:r>
    </w:p>
    <w:p>
      <w:pPr>
        <w:spacing w:after="0" w:line="90"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Code Section 409A</w:t>
      </w:r>
      <w:r>
        <w:rPr>
          <w:rFonts w:ascii="Arial" w:cs="Arial" w:eastAsia="Arial" w:hAnsi="Arial"/>
          <w:sz w:val="18"/>
          <w:szCs w:val="18"/>
          <w:color w:val="auto"/>
        </w:rPr>
        <w:t>. To the extent applicable, this Plan is intended to comply with the provisions Code Section 409A and related regulations and United States Department of the Treasury pronouncements (“Section 409A”) with respect to amounts deferred or vested on or after January 1, 2005, and shall be interpreted accordingly. To the extent it would not adversely impact the Company, the Company agrees to interpret, apply and administer this Plan in the least restrictive manner necessary to comply with such requirements and without resulting in any diminution in the value of payments or benefits to the Participants. No action taken to comply with Section 409A shall be deemed to adversely affect the Participant’s rights under this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2008</w:t>
      </w:r>
    </w:p>
    <w:p>
      <w:pPr>
        <w:spacing w:after="0" w:line="225"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53975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6"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Andrew Gould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7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2008</w:t>
      </w:r>
    </w:p>
    <w:p>
      <w:pPr>
        <w:spacing w:after="0" w:line="225" w:lineRule="exact"/>
        <w:rPr>
          <w:sz w:val="20"/>
          <w:szCs w:val="20"/>
          <w:color w:val="auto"/>
        </w:rPr>
      </w:pPr>
    </w:p>
    <w:p>
      <w:pPr>
        <w:ind w:left="8360"/>
        <w:spacing w:after="0"/>
        <w:tabs>
          <w:tab w:leader="none" w:pos="8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IMON</w:t>
      </w:r>
      <w:r>
        <w:rPr>
          <w:rFonts w:ascii="Arial" w:cs="Arial" w:eastAsia="Arial" w:hAnsi="Arial"/>
          <w:sz w:val="18"/>
          <w:szCs w:val="18"/>
          <w:color w:val="auto"/>
        </w:rPr>
        <w:t xml:space="preserve"> A</w:t>
      </w:r>
      <w:r>
        <w:rPr>
          <w:rFonts w:ascii="Arial" w:cs="Arial" w:eastAsia="Arial" w:hAnsi="Arial"/>
          <w:sz w:val="14"/>
          <w:szCs w:val="14"/>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53975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6"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Simon Ayat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2008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April 23,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Andrew Gould</w:t>
            </w:r>
          </w:p>
        </w:tc>
      </w:tr>
      <w:tr>
        <w:trPr>
          <w:trHeight w:val="202"/>
        </w:trPr>
        <w:tc>
          <w:tcPr>
            <w:tcW w:w="5960" w:type="dxa"/>
            <w:vAlign w:val="bottom"/>
          </w:tcPr>
          <w:p>
            <w:pPr>
              <w:spacing w:after="0"/>
              <w:rPr>
                <w:sz w:val="17"/>
                <w:szCs w:val="17"/>
                <w:color w:val="auto"/>
              </w:rPr>
            </w:pPr>
          </w:p>
        </w:tc>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Andrew Gould</w:t>
            </w:r>
          </w:p>
        </w:tc>
      </w:tr>
      <w:tr>
        <w:trPr>
          <w:trHeight w:val="222"/>
        </w:trPr>
        <w:tc>
          <w:tcPr>
            <w:tcW w:w="5960" w:type="dxa"/>
            <w:vAlign w:val="bottom"/>
          </w:tcPr>
          <w:p>
            <w:pPr>
              <w:spacing w:after="0"/>
              <w:rPr>
                <w:sz w:val="19"/>
                <w:szCs w:val="19"/>
                <w:color w:val="auto"/>
              </w:rPr>
            </w:pPr>
          </w:p>
        </w:tc>
        <w:tc>
          <w:tcPr>
            <w:tcW w:w="5460" w:type="dxa"/>
            <w:vAlign w:val="bottom"/>
          </w:tcPr>
          <w:p>
            <w:pPr>
              <w:ind w:left="540"/>
              <w:spacing w:after="0"/>
              <w:rPr>
                <w:sz w:val="20"/>
                <w:szCs w:val="20"/>
                <w:color w:val="auto"/>
              </w:rPr>
            </w:pPr>
            <w:r>
              <w:rPr>
                <w:rFonts w:ascii="Arial" w:cs="Arial" w:eastAsia="Arial" w:hAnsi="Arial"/>
                <w:sz w:val="18"/>
                <w:szCs w:val="18"/>
                <w:color w:val="auto"/>
              </w:rPr>
              <w:t>Chairman and Chief Executive Officer</w:t>
            </w:r>
          </w:p>
        </w:tc>
      </w:tr>
    </w:tbl>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2008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April 23,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Simon Ayat</w:t>
            </w:r>
          </w:p>
        </w:tc>
      </w:tr>
      <w:tr>
        <w:trPr>
          <w:trHeight w:val="202"/>
        </w:trPr>
        <w:tc>
          <w:tcPr>
            <w:tcW w:w="5960" w:type="dxa"/>
            <w:vAlign w:val="bottom"/>
          </w:tcPr>
          <w:p>
            <w:pPr>
              <w:spacing w:after="0"/>
              <w:rPr>
                <w:sz w:val="17"/>
                <w:szCs w:val="17"/>
                <w:color w:val="auto"/>
              </w:rPr>
            </w:pPr>
          </w:p>
        </w:tc>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Simon Ayat</w:t>
            </w:r>
          </w:p>
        </w:tc>
      </w:tr>
      <w:tr>
        <w:trPr>
          <w:trHeight w:val="222"/>
        </w:trPr>
        <w:tc>
          <w:tcPr>
            <w:tcW w:w="5960" w:type="dxa"/>
            <w:vAlign w:val="bottom"/>
          </w:tcPr>
          <w:p>
            <w:pPr>
              <w:spacing w:after="0"/>
              <w:rPr>
                <w:sz w:val="19"/>
                <w:szCs w:val="19"/>
                <w:color w:val="auto"/>
              </w:rPr>
            </w:pPr>
          </w:p>
        </w:tc>
        <w:tc>
          <w:tcPr>
            <w:tcW w:w="5460" w:type="dxa"/>
            <w:vAlign w:val="bottom"/>
          </w:tcPr>
          <w:p>
            <w:pPr>
              <w:ind w:left="5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2"/>
    </w:lvl>
  </w:abstractNum>
  <w:abstractNum w:abstractNumId="10">
    <w:nsid w:val="6B68079A"/>
    <w:multiLevelType w:val="hybridMultilevel"/>
    <w:lvl w:ilvl="0">
      <w:lvlJc w:val="left"/>
      <w:lvlText w:val="%1."/>
      <w:numFmt w:val="decimal"/>
      <w:start w:val="13"/>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2019-12-11T13:36:20Z</dcterms:created>
  <dcterms:modified xsi:type="dcterms:W3CDTF">2019-12-11T13:36:20Z</dcterms:modified>
</cp:coreProperties>
</file>