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252095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jc w:val="center"/>
        <w:ind w:right="214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6" w:lineRule="exact"/>
        <w:rPr>
          <w:sz w:val="24"/>
          <w:szCs w:val="24"/>
          <w:color w:val="auto"/>
        </w:rPr>
      </w:pPr>
    </w:p>
    <w:p>
      <w:pPr>
        <w:sectPr>
          <w:pgSz w:w="11900" w:h="16838" w:orient="portrait"/>
          <w:cols w:equalWidth="0" w:num="3">
            <w:col w:w="4624" w:space="720"/>
            <w:col w:w="2700" w:space="720"/>
            <w:col w:w="2260"/>
          </w:cols>
          <w:pgMar w:left="436" w:top="387"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87" w:right="439" w:bottom="1440" w:gutter="0" w:footer="0" w:header="0"/>
          <w:type w:val="continuous"/>
        </w:sectPr>
      </w:pPr>
    </w:p>
    <w:p>
      <w:pPr>
        <w:spacing w:after="0" w:line="1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87" w:right="439" w:bottom="1440" w:gutter="0" w:footer="0" w:header="0"/>
          <w:type w:val="continuous"/>
        </w:sectPr>
      </w:pPr>
    </w:p>
    <w:p>
      <w:pPr>
        <w:spacing w:after="0" w:line="18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ind w:left="4" w:right="12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8"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9"/>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22"/>
        </w:trPr>
        <w:tc>
          <w:tcPr>
            <w:tcW w:w="3740" w:type="dxa"/>
            <w:vAlign w:val="bottom"/>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77" w:lineRule="exact"/>
        <w:rPr>
          <w:sz w:val="24"/>
          <w:szCs w:val="24"/>
          <w:color w:val="auto"/>
        </w:rPr>
      </w:pPr>
    </w:p>
    <w:p>
      <w:pPr>
        <w:ind w:left="4" w:right="66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1"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Regulation FD Disclosure.</w:t>
      </w:r>
    </w:p>
    <w:p>
      <w:pPr>
        <w:spacing w:after="0" w:line="114" w:lineRule="exact"/>
        <w:rPr>
          <w:sz w:val="20"/>
          <w:szCs w:val="20"/>
          <w:color w:val="auto"/>
        </w:rPr>
      </w:pPr>
    </w:p>
    <w:p>
      <w:pPr>
        <w:ind w:right="240" w:firstLine="440"/>
        <w:spacing w:after="0" w:line="247" w:lineRule="auto"/>
        <w:rPr>
          <w:sz w:val="20"/>
          <w:szCs w:val="20"/>
          <w:color w:val="auto"/>
        </w:rPr>
      </w:pPr>
      <w:r>
        <w:rPr>
          <w:rFonts w:ascii="Arial" w:cs="Arial" w:eastAsia="Arial" w:hAnsi="Arial"/>
          <w:sz w:val="18"/>
          <w:szCs w:val="18"/>
          <w:color w:val="auto"/>
        </w:rPr>
        <w:t>On June 21, 2023, Olivier Le Peuch, CEO of SLB, presented at the J.P. Morgan Energy, Power &amp; Renewables Conference in New York, New York, where he discussed, among other things, SLB’s offshore business strategy and outlook. Slides in connection with the conference are available on the SLB Investor Relations website at https://investorcenter.slb.com/news-events/events-presentations.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14"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The presentation referred to above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the energy transition and global climate change; improvements in operating procedures and technology; capital expenditures by SLB and the oil and gas industry; SLB’s business strategies, including digital and “fit for basin,” as well as the strategies of SLB’s customers; SLB’s capital allocation plans; SLB’s Asset Performance Solutions projects, joint ventures, and other alliances; the impact of the ongoing conflict in Ukraine on global energy supply;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the inability to achieve SLB’s financial and performance targets and other forecasts and expectations; the inability to achieve SLB’s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the inability to recognize efficiencies and other intended benefits from SLB’s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SLB’s most recent Forms 10-K, 10-Q, and 8-K filed with or furnished to the Securities and Exchange Commission (SEC). If one or more of these or other risks or uncertainties materialize (or the consequences of any such development changes), or should SLB’s underlying assumptions prove incorrect, actual results or outcomes may vary materially from those reflected in the forward-looking statements. Forward-looking and other statements in the presentation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The forward-looking statements speak only as of the date of the presentation, and SLB disclaims any intention or obligation to update publicly or revise such statements, whether as a result of new information, future events, or otherwise.</w:t>
      </w:r>
    </w:p>
    <w:p>
      <w:pPr>
        <w:sectPr>
          <w:pgSz w:w="11900" w:h="16838" w:orient="portrait"/>
          <w:cols w:equalWidth="0" w:num="1">
            <w:col w:w="11020"/>
          </w:cols>
          <w:pgMar w:left="440" w:top="508" w:right="4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2" w:lineRule="exact"/>
        <w:rPr>
          <w:sz w:val="20"/>
          <w:szCs w:val="20"/>
          <w:color w:val="auto"/>
        </w:rPr>
      </w:pPr>
    </w:p>
    <w:p>
      <w:pPr>
        <w:ind w:firstLine="991"/>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2023</w:t>
      </w:r>
    </w:p>
    <w:sectPr>
      <w:pgSz w:w="11900" w:h="16838" w:orient="portrait"/>
      <w:cols w:equalWidth="0" w:num="1">
        <w:col w:w="10900"/>
      </w:cols>
      <w:pgMar w:left="440" w:top="50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2023-06-21T07:35:20Z</dcterms:created>
  <dcterms:modified xsi:type="dcterms:W3CDTF">2023-06-21T07:35:20Z</dcterms:modified>
</cp:coreProperties>
</file>