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104140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6"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4580" w:type="dxa"/>
            <w:vAlign w:val="bottom"/>
          </w:tcPr>
          <w:p>
            <w:pPr>
              <w:jc w:val="center"/>
              <w:ind w:right="1854"/>
              <w:spacing w:after="0"/>
              <w:rPr>
                <w:sz w:val="20"/>
                <w:szCs w:val="20"/>
                <w:color w:val="auto"/>
              </w:rPr>
            </w:pPr>
            <w:r>
              <w:rPr>
                <w:rFonts w:ascii="Arial" w:cs="Arial" w:eastAsia="Arial" w:hAnsi="Arial"/>
                <w:sz w:val="18"/>
                <w:szCs w:val="18"/>
                <w:b w:val="1"/>
                <w:bCs w:val="1"/>
                <w:color w:val="auto"/>
                <w:w w:val="99"/>
              </w:rPr>
              <w:t>CURAÇAO</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4580" w:type="dxa"/>
            <w:vAlign w:val="bottom"/>
          </w:tcPr>
          <w:p>
            <w:pPr>
              <w:jc w:val="center"/>
              <w:ind w:right="1874"/>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100" w:type="dxa"/>
            <w:vAlign w:val="bottom"/>
          </w:tcPr>
          <w:p>
            <w:pPr>
              <w:jc w:val="center"/>
              <w:ind w:left="189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80" w:type="dxa"/>
            <w:vAlign w:val="bottom"/>
          </w:tcPr>
          <w:p>
            <w:pPr>
              <w:jc w:val="center"/>
              <w:ind w:right="1874"/>
              <w:spacing w:after="0"/>
              <w:rPr>
                <w:sz w:val="20"/>
                <w:szCs w:val="20"/>
                <w:color w:val="auto"/>
              </w:rPr>
            </w:pPr>
            <w:r>
              <w:rPr>
                <w:rFonts w:ascii="Arial" w:cs="Arial" w:eastAsia="Arial" w:hAnsi="Arial"/>
                <w:sz w:val="14"/>
                <w:szCs w:val="14"/>
                <w:b w:val="1"/>
                <w:bCs w:val="1"/>
                <w:color w:val="auto"/>
                <w:w w:val="93"/>
              </w:rPr>
              <w:t>incorporation or organization)</w:t>
            </w:r>
          </w:p>
        </w:tc>
        <w:tc>
          <w:tcPr>
            <w:tcW w:w="3100" w:type="dxa"/>
            <w:vAlign w:val="bottom"/>
          </w:tcPr>
          <w:p>
            <w:pPr>
              <w:jc w:val="center"/>
              <w:ind w:left="1897"/>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42 RUE SAINT-DOMINIQUE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8"/>
              </w:rPr>
              <w:t>PARIS, FRANCE</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87"/>
              </w:rPr>
              <w:t>75007</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6"/>
              </w:rPr>
              <w:t>5599 SAN FELIPE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7"/>
              </w:rPr>
              <w:t>HOUSTON, TEXAS, U.S.A.</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87"/>
              </w:rPr>
              <w:t>77056</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62 BUCKINGHAM GATE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LONDON, UNITED KINGDOM</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8"/>
              </w:rPr>
              <w:t>PARKSTRAAT 83 THE HAGUE,</w:t>
            </w:r>
          </w:p>
        </w:tc>
        <w:tc>
          <w:tcPr>
            <w:tcW w:w="3100" w:type="dxa"/>
            <w:vAlign w:val="bottom"/>
          </w:tcPr>
          <w:p>
            <w:pPr>
              <w:spacing w:after="0"/>
              <w:rPr>
                <w:sz w:val="24"/>
                <w:szCs w:val="24"/>
                <w:color w:val="auto"/>
              </w:rPr>
            </w:pPr>
          </w:p>
        </w:tc>
      </w:tr>
      <w:tr>
        <w:trPr>
          <w:trHeight w:val="212"/>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THE NETHERLANDS</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580" w:type="dxa"/>
            <w:vAlign w:val="bottom"/>
          </w:tcPr>
          <w:p>
            <w:pPr>
              <w:jc w:val="center"/>
              <w:ind w:right="1874"/>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3100" w:type="dxa"/>
            <w:vAlign w:val="bottom"/>
          </w:tcPr>
          <w:p>
            <w:pPr>
              <w:jc w:val="center"/>
              <w:ind w:left="1897"/>
              <w:spacing w:after="0"/>
              <w:rPr>
                <w:sz w:val="20"/>
                <w:szCs w:val="20"/>
                <w:color w:val="auto"/>
              </w:rPr>
            </w:pPr>
            <w:r>
              <w:rPr>
                <w:rFonts w:ascii="Arial" w:cs="Arial" w:eastAsia="Arial" w:hAnsi="Arial"/>
                <w:sz w:val="14"/>
                <w:szCs w:val="14"/>
                <w:b w:val="1"/>
                <w:bCs w:val="1"/>
                <w:color w:val="auto"/>
                <w:w w:val="93"/>
              </w:rPr>
              <w:t>(Zip Codes)</w:t>
            </w:r>
          </w:p>
        </w:tc>
      </w:tr>
    </w:tbl>
    <w:p>
      <w:pPr>
        <w:spacing w:after="0" w:line="75"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206" w:right="239" w:bottom="1440" w:gutter="0" w:footer="0" w:header="0"/>
        </w:sectPr>
      </w:pPr>
    </w:p>
    <w:p>
      <w:pPr>
        <w:spacing w:after="0" w:line="136"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86" w:lineRule="exact"/>
        <w:rPr>
          <w:sz w:val="24"/>
          <w:szCs w:val="24"/>
          <w:color w:val="auto"/>
        </w:rPr>
      </w:pPr>
    </w:p>
    <w:p>
      <w:pPr>
        <w:sectPr>
          <w:pgSz w:w="11900" w:h="16838" w:orient="portrait"/>
          <w:cols w:equalWidth="0" w:num="3">
            <w:col w:w="4340" w:space="720"/>
            <w:col w:w="1700" w:space="720"/>
            <w:col w:w="3940"/>
          </w:cols>
          <w:pgMar w:left="240" w:top="206" w:right="239" w:bottom="1440" w:gutter="0" w:footer="0" w:header="0"/>
          <w:type w:val="continuous"/>
        </w:sectPr>
      </w:pPr>
    </w:p>
    <w:p>
      <w:pPr>
        <w:ind w:left="96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190" w:lineRule="exact"/>
        <w:rPr>
          <w:sz w:val="24"/>
          <w:szCs w:val="24"/>
          <w:color w:val="auto"/>
        </w:rPr>
      </w:pPr>
    </w:p>
    <w:p>
      <w:pPr>
        <w:sectPr>
          <w:pgSz w:w="11900" w:h="16838" w:orient="portrait"/>
          <w:cols w:equalWidth="0" w:num="3">
            <w:col w:w="4840" w:space="720"/>
            <w:col w:w="1980" w:space="720"/>
            <w:col w:w="3160"/>
          </w:cols>
          <w:pgMar w:left="240" w:top="206" w:right="239" w:bottom="1440" w:gutter="0" w:footer="0" w:header="0"/>
          <w:type w:val="continuous"/>
        </w:sect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20"/>
        <w:spacing w:after="0" w:line="21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80" w:type="dxa"/>
            <w:vAlign w:val="bottom"/>
            <w:gridSpan w:val="3"/>
          </w:tcPr>
          <w:p>
            <w:pPr>
              <w:spacing w:after="0" w:line="184" w:lineRule="exact"/>
              <w:rPr>
                <w:sz w:val="20"/>
                <w:szCs w:val="20"/>
                <w:color w:val="auto"/>
              </w:rPr>
            </w:pPr>
            <w:r>
              <w:rPr>
                <w:rFonts w:ascii="Arial" w:cs="Arial" w:eastAsia="Arial" w:hAnsi="Arial"/>
                <w:sz w:val="16"/>
                <w:szCs w:val="16"/>
                <w:color w:val="auto"/>
                <w:w w:val="94"/>
              </w:rPr>
              <w:t xml:space="preserve">Indicate by check mark whether the registrant is a shell company (as defined in Rule 12b-2 of the Exchange Act).  Yes </w:t>
            </w:r>
            <w:r>
              <w:rPr>
                <w:rFonts w:ascii="MS PGothic" w:cs="MS PGothic" w:eastAsia="MS PGothic" w:hAnsi="MS PGothic"/>
                <w:sz w:val="16"/>
                <w:szCs w:val="16"/>
                <w:color w:val="auto"/>
                <w:w w:val="94"/>
              </w:rPr>
              <w:t>☐</w:t>
            </w:r>
          </w:p>
        </w:tc>
        <w:tc>
          <w:tcPr>
            <w:tcW w:w="3340" w:type="dxa"/>
            <w:vAlign w:val="bottom"/>
            <w:gridSpan w:val="3"/>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3"/>
        </w:trPr>
        <w:tc>
          <w:tcPr>
            <w:tcW w:w="8080" w:type="dxa"/>
            <w:vAlign w:val="bottom"/>
            <w:gridSpan w:val="3"/>
          </w:tcPr>
          <w:p>
            <w:pPr>
              <w:spacing w:after="0"/>
              <w:rPr>
                <w:sz w:val="20"/>
                <w:szCs w:val="20"/>
                <w:color w:val="auto"/>
              </w:rPr>
            </w:pPr>
            <w:r>
              <w:rPr>
                <w:rFonts w:ascii="Arial" w:cs="Arial" w:eastAsia="Arial" w:hAnsi="Arial"/>
                <w:sz w:val="16"/>
                <w:szCs w:val="16"/>
                <w:color w:val="auto"/>
                <w:w w:val="91"/>
              </w:rPr>
              <w:t>Indicate the number of shares outstanding of each of the issuer’s classes of common stock, as of the latest practicable date.</w:t>
            </w: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382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6"/>
                <w:szCs w:val="16"/>
                <w:b w:val="1"/>
                <w:bCs w:val="1"/>
                <w:color w:val="auto"/>
              </w:rPr>
              <w:t>Class</w:t>
            </w:r>
          </w:p>
        </w:tc>
        <w:tc>
          <w:tcPr>
            <w:tcW w:w="620" w:type="dxa"/>
            <w:vAlign w:val="bottom"/>
          </w:tcPr>
          <w:p>
            <w:pPr>
              <w:spacing w:after="0"/>
              <w:rPr>
                <w:sz w:val="24"/>
                <w:szCs w:val="24"/>
                <w:color w:val="auto"/>
              </w:rPr>
            </w:pPr>
          </w:p>
        </w:tc>
        <w:tc>
          <w:tcPr>
            <w:tcW w:w="272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91"/>
              </w:rPr>
              <w:t>Outstanding at June 30, 2019</w:t>
            </w:r>
          </w:p>
        </w:tc>
      </w:tr>
      <w:tr>
        <w:trPr>
          <w:trHeight w:val="224"/>
        </w:trPr>
        <w:tc>
          <w:tcPr>
            <w:tcW w:w="808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620" w:type="dxa"/>
            <w:vAlign w:val="bottom"/>
          </w:tcPr>
          <w:p>
            <w:pPr>
              <w:spacing w:after="0"/>
              <w:rPr>
                <w:sz w:val="19"/>
                <w:szCs w:val="19"/>
                <w:color w:val="auto"/>
              </w:rPr>
            </w:pPr>
          </w:p>
        </w:tc>
        <w:tc>
          <w:tcPr>
            <w:tcW w:w="20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1,383,005,073</w:t>
            </w:r>
          </w:p>
        </w:tc>
        <w:tc>
          <w:tcPr>
            <w:tcW w:w="700" w:type="dxa"/>
            <w:vAlign w:val="bottom"/>
          </w:tcPr>
          <w:p>
            <w:pPr>
              <w:spacing w:after="0"/>
              <w:rPr>
                <w:sz w:val="19"/>
                <w:szCs w:val="19"/>
                <w:color w:val="auto"/>
              </w:rPr>
            </w:pPr>
          </w:p>
        </w:tc>
      </w:tr>
      <w:tr>
        <w:trPr>
          <w:trHeight w:val="1404"/>
        </w:trPr>
        <w:tc>
          <w:tcPr>
            <w:tcW w:w="3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2019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PART I</w:t>
            </w:r>
          </w:p>
        </w:tc>
        <w:tc>
          <w:tcPr>
            <w:tcW w:w="964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9640" w:type="dxa"/>
            <w:vAlign w:val="bottom"/>
            <w:gridSpan w:val="11"/>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14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4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Controls and Procedures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PART II</w:t>
            </w:r>
          </w:p>
        </w:tc>
        <w:tc>
          <w:tcPr>
            <w:tcW w:w="964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40" w:type="dxa"/>
            <w:vAlign w:val="bottom"/>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2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w:t>
              </w:r>
            </w:hyperlink>
          </w:p>
        </w:tc>
        <w:tc>
          <w:tcPr>
            <w:tcW w:w="53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Defaults Upon Senior Securities</w:t>
              </w:r>
            </w:hyperlink>
          </w:p>
        </w:tc>
        <w:tc>
          <w:tcPr>
            <w:tcW w:w="732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Mine Safety Disclosures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40" w:type="dxa"/>
            <w:vAlign w:val="bottom"/>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34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60" w:type="dxa"/>
            <w:vAlign w:val="bottom"/>
            <w:gridSpan w:val="7"/>
          </w:tcPr>
          <w:p>
            <w:pPr>
              <w:ind w:left="200"/>
              <w:spacing w:after="0"/>
              <w:rPr>
                <w:sz w:val="20"/>
                <w:szCs w:val="20"/>
                <w:color w:val="auto"/>
              </w:rPr>
            </w:pPr>
            <w:r>
              <w:rPr>
                <w:rFonts w:ascii="Arial" w:cs="Arial" w:eastAsia="Arial" w:hAnsi="Arial"/>
                <w:sz w:val="14"/>
                <w:szCs w:val="14"/>
                <w:i w:val="1"/>
                <w:iCs w:val="1"/>
                <w:color w:val="auto"/>
                <w:w w:val="96"/>
              </w:rPr>
              <w:t>(Stated in millions, except per share amounts</w:t>
            </w: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Services</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6,153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6,141</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12,059</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2,116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4,090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Total Revenue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8,269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16,149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services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10,422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3,787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engineering</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General &amp; administrative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Impairments &amp; other</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before taxes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Tax expense</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913</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0.66</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0.65</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Assuming dilution</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5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8"/>
                <w:szCs w:val="18"/>
                <w:b w:val="1"/>
                <w:bCs w:val="1"/>
                <w:color w:val="auto"/>
              </w:rPr>
              <w:t>Second Quarter</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5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923</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(121)</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r>
      <w:tr>
        <w:trPr>
          <w:trHeight w:val="230"/>
        </w:trPr>
        <w:tc>
          <w:tcPr>
            <w:tcW w:w="532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arising during the period</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532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cash flow hedges</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w:t>
            </w: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Reclassification to net income of net realized (gain) loss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Amortization to net income of net actuarial loss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of net prior service credit</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w:t>
            </w: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w w:val="99"/>
              </w:rPr>
              <w:t>Income taxes on pension and other postretirement benefit plans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w:t>
            </w:r>
          </w:p>
        </w:tc>
        <w:tc>
          <w:tcPr>
            <w:tcW w:w="5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5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5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991</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Jun. 30,</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300" w:type="dxa"/>
            <w:vAlign w:val="bottom"/>
          </w:tcPr>
          <w:p>
            <w:pPr>
              <w:jc w:val="right"/>
              <w:ind w:right="531"/>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882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(2019 - $238; 2018 - $249)</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8,471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4,389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1,125</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16,333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11,359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24,950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8,485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7,329</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70,591</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9,851</w:t>
            </w:r>
          </w:p>
        </w:tc>
        <w:tc>
          <w:tcPr>
            <w:tcW w:w="3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701</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11,773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16,978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1,119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Deferred Taxes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3,118</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34,318</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13,037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Treasury stock</w:t>
            </w:r>
          </w:p>
        </w:tc>
        <w:tc>
          <w:tcPr>
            <w:tcW w:w="20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(3,827)</w:t>
            </w: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31,186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(4,544)</w:t>
            </w: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Schlumberger stockholders' equity</w:t>
            </w: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35,852</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36,273</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70,591</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 w:name="page6"/>
    <w:bookmarkEnd w:id="5"/>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9"/>
        </w:trPr>
        <w:tc>
          <w:tcPr>
            <w:tcW w:w="7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56"/>
        </w:trPr>
        <w:tc>
          <w:tcPr>
            <w:tcW w:w="78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00"/>
              <w:spacing w:after="0" w:line="155" w:lineRule="exact"/>
              <w:rPr>
                <w:sz w:val="20"/>
                <w:szCs w:val="20"/>
                <w:color w:val="auto"/>
              </w:rPr>
            </w:pPr>
            <w:r>
              <w:rPr>
                <w:rFonts w:ascii="Arial" w:cs="Arial" w:eastAsia="Arial" w:hAnsi="Arial"/>
                <w:sz w:val="14"/>
                <w:szCs w:val="14"/>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8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923</w:t>
            </w:r>
          </w:p>
        </w:tc>
        <w:tc>
          <w:tcPr>
            <w:tcW w:w="28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Impairments and other charges</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20"/>
              <w:spacing w:after="0" w:line="21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1,841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in receivables</w:t>
            </w: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(581)</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Increase in inventories</w:t>
            </w: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(332)</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in other current assets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(57)</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Increase in other assets</w:t>
            </w: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(422)</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Decrease in estimated liability for taxes on income</w:t>
            </w: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(68)</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other liabilities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(39)</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1,434</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Capital expenditures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(817)</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SPM investments</w:t>
            </w: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(332)</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Multiclient seismic data costs capitalized</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(109)</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Sale of investments, net</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(USED IN) PROVIDED BY INVESTING ACTIVITIES</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(874)</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(1,385)</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Stock repurchase program</w:t>
            </w: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(199)</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2,350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Repayment of long-term debt</w:t>
            </w:r>
          </w:p>
        </w:tc>
        <w:tc>
          <w:tcPr>
            <w:tcW w:w="9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(1,413)</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decrease in short-term borrowings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(22)</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FINANCING ACTIVITIES</w:t>
            </w: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2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(531)</w:t>
            </w:r>
          </w:p>
        </w:tc>
        <w:tc>
          <w:tcPr>
            <w:tcW w:w="2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6"/>
                <w:szCs w:val="16"/>
                <w:color w:val="auto"/>
              </w:rPr>
              <w:t>Net increase (decrease) in cash before translation effect</w:t>
            </w: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1,466</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20" w:hanging="512"/>
        <w:spacing w:after="0"/>
        <w:tabs>
          <w:tab w:leader="none" w:pos="520" w:val="left"/>
        </w:tabs>
        <w:numPr>
          <w:ilvl w:val="0"/>
          <w:numId w:val="1"/>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300"/>
        </w:trPr>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2019 – June 30, 2019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In Treasury</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34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700" w:type="dxa"/>
            <w:vAlign w:val="bottom"/>
            <w:tcBorders>
              <w:top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2019</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13,132</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(4,006)</w:t>
            </w: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31,658</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(4,622)</w:t>
            </w:r>
          </w:p>
        </w:tc>
        <w:tc>
          <w:tcPr>
            <w:tcW w:w="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424</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gridSpan w:val="3"/>
            <w:shd w:val="clear" w:color="auto" w:fill="CFF0FC"/>
          </w:tcPr>
          <w:p>
            <w:pPr>
              <w:jc w:val="right"/>
              <w:ind w:right="109"/>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36,586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14"/>
                <w:szCs w:val="14"/>
                <w:color w:val="auto"/>
              </w:rPr>
            </w:pP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Pension and other postretirement benefit plans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(26)</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(126)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126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(115)</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Stock repurchase program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(199)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(199)</w:t>
            </w: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Dividends declared ($1.00 per share)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(1,385)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(1,385)</w:t>
            </w: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(22)</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w:t>
            </w:r>
          </w:p>
        </w:tc>
      </w:tr>
      <w:tr>
        <w:trPr>
          <w:trHeight w:val="156"/>
        </w:trPr>
        <w:tc>
          <w:tcPr>
            <w:tcW w:w="3700" w:type="dxa"/>
            <w:vAlign w:val="bottom"/>
            <w:gridSpan w:val="2"/>
          </w:tcPr>
          <w:p>
            <w:pPr>
              <w:spacing w:after="0" w:line="155" w:lineRule="exact"/>
              <w:rPr>
                <w:sz w:val="20"/>
                <w:szCs w:val="20"/>
                <w:color w:val="auto"/>
              </w:rPr>
            </w:pPr>
            <w:r>
              <w:rPr>
                <w:rFonts w:ascii="Arial" w:cs="Arial" w:eastAsia="Arial" w:hAnsi="Arial"/>
                <w:sz w:val="14"/>
                <w:szCs w:val="14"/>
                <w:color w:val="auto"/>
              </w:rPr>
              <w:t>Balance, June 30, 2019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13,037</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(3,827)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31,186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(4,544)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gridSpan w:val="3"/>
          </w:tcPr>
          <w:p>
            <w:pPr>
              <w:jc w:val="right"/>
              <w:ind w:right="109"/>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36,273</w:t>
            </w:r>
          </w:p>
        </w:tc>
        <w:tc>
          <w:tcPr>
            <w:tcW w:w="10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1"/>
        </w:trPr>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8"/>
              </w:rPr>
              <w:t>(Stated in millions)</w:t>
            </w:r>
          </w:p>
        </w:tc>
      </w:tr>
      <w:tr>
        <w:trPr>
          <w:trHeight w:val="300"/>
        </w:trPr>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Noncontrolling</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2018 – June 30, 2018</w:t>
            </w: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5"/>
              </w:rPr>
              <w:t>In Treasury</w:t>
            </w:r>
          </w:p>
        </w:tc>
        <w:tc>
          <w:tcPr>
            <w:tcW w:w="2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400"/>
              <w:spacing w:after="0" w:line="155"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360"/>
              <w:spacing w:after="0" w:line="155" w:lineRule="exact"/>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6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2018</w:t>
            </w: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gridSpan w:val="2"/>
            <w:shd w:val="clear" w:color="auto" w:fill="CFF0FC"/>
          </w:tcPr>
          <w:p>
            <w:pPr>
              <w:jc w:val="right"/>
              <w:ind w:right="89"/>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12,975</w:t>
            </w:r>
          </w:p>
        </w:tc>
        <w:tc>
          <w:tcPr>
            <w:tcW w:w="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(4,049)</w:t>
            </w: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32,190</w:t>
            </w: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(4,274)</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419</w:t>
            </w: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gridSpan w:val="3"/>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37,261</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4"/>
                <w:szCs w:val="14"/>
                <w:color w:val="auto"/>
              </w:rPr>
            </w:pP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(81)</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(82)</w:t>
            </w: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Changes in unrealized gain on marketable 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(15)</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w:t>
            </w: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Pension and other postretirement benefit plans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4"/>
                <w:szCs w:val="14"/>
                <w:color w:val="auto"/>
              </w:rPr>
            </w:pP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Stock repurchase program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(200)</w:t>
            </w: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gridSpan w:val="2"/>
          </w:tcPr>
          <w:p>
            <w:pPr>
              <w:spacing w:after="0"/>
              <w:rPr>
                <w:sz w:val="20"/>
                <w:szCs w:val="20"/>
                <w:color w:val="auto"/>
              </w:rPr>
            </w:pPr>
            <w:r>
              <w:rPr>
                <w:rFonts w:ascii="Arial" w:cs="Arial" w:eastAsia="Arial" w:hAnsi="Arial"/>
                <w:sz w:val="14"/>
                <w:szCs w:val="14"/>
                <w:color w:val="auto"/>
              </w:rPr>
              <w:t>Dividends declared ($1.00 per share)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(1,385)</w:t>
            </w:r>
          </w:p>
        </w:tc>
      </w:tr>
      <w:tr>
        <w:trPr>
          <w:trHeight w:val="162"/>
        </w:trPr>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(27)</w:t>
            </w:r>
          </w:p>
        </w:tc>
      </w:tr>
      <w:tr>
        <w:trPr>
          <w:trHeight w:val="156"/>
        </w:trPr>
        <w:tc>
          <w:tcPr>
            <w:tcW w:w="3700" w:type="dxa"/>
            <w:vAlign w:val="bottom"/>
            <w:gridSpan w:val="2"/>
          </w:tcPr>
          <w:p>
            <w:pPr>
              <w:spacing w:after="0" w:line="155" w:lineRule="exact"/>
              <w:rPr>
                <w:sz w:val="20"/>
                <w:szCs w:val="20"/>
                <w:color w:val="auto"/>
              </w:rPr>
            </w:pPr>
            <w:r>
              <w:rPr>
                <w:rFonts w:ascii="Arial" w:cs="Arial" w:eastAsia="Arial" w:hAnsi="Arial"/>
                <w:sz w:val="14"/>
                <w:szCs w:val="14"/>
                <w:color w:val="auto"/>
              </w:rPr>
              <w:t>Balance, June 30, 2018</w:t>
            </w:r>
          </w:p>
        </w:tc>
        <w:tc>
          <w:tcPr>
            <w:tcW w:w="100" w:type="dxa"/>
            <w:vAlign w:val="bottom"/>
          </w:tcPr>
          <w:p>
            <w:pPr>
              <w:spacing w:after="0"/>
              <w:rPr>
                <w:sz w:val="13"/>
                <w:szCs w:val="13"/>
                <w:color w:val="auto"/>
              </w:rPr>
            </w:pPr>
          </w:p>
        </w:tc>
        <w:tc>
          <w:tcPr>
            <w:tcW w:w="220" w:type="dxa"/>
            <w:vAlign w:val="bottom"/>
            <w:tcBorders>
              <w:top w:val="single" w:sz="8" w:color="auto"/>
            </w:tcBorders>
            <w:gridSpan w:val="2"/>
          </w:tcPr>
          <w:p>
            <w:pPr>
              <w:jc w:val="right"/>
              <w:ind w:right="89"/>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13,030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(4,001)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31,760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(4,305)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413</w:t>
            </w:r>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36,897</w:t>
            </w:r>
          </w:p>
        </w:tc>
        <w:tc>
          <w:tcPr>
            <w:tcW w:w="10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6"/>
          </w:tcPr>
          <w:p>
            <w:pPr>
              <w:jc w:val="right"/>
              <w:ind w:right="140"/>
              <w:spacing w:after="0"/>
              <w:rPr>
                <w:sz w:val="20"/>
                <w:szCs w:val="20"/>
                <w:color w:val="auto"/>
              </w:rPr>
            </w:pPr>
            <w:r>
              <w:rPr>
                <w:rFonts w:ascii="Arial" w:cs="Arial" w:eastAsia="Arial" w:hAnsi="Arial"/>
                <w:sz w:val="14"/>
                <w:szCs w:val="14"/>
                <w:i w:val="1"/>
                <w:iCs w:val="1"/>
                <w:color w:val="auto"/>
                <w:w w:val="97"/>
              </w:rPr>
              <w:t>(Stated in millions)</w:t>
            </w:r>
          </w:p>
        </w:tc>
      </w:tr>
      <w:tr>
        <w:trPr>
          <w:trHeight w:val="300"/>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1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Noncontrolling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b w:val="1"/>
                <w:bCs w:val="1"/>
                <w:color w:val="auto"/>
              </w:rPr>
              <w:t>April 1, 2019 – June 30, 2019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4"/>
          </w:tcPr>
          <w:p>
            <w:pPr>
              <w:jc w:val="right"/>
              <w:ind w:right="560"/>
              <w:spacing w:after="0" w:line="155" w:lineRule="exact"/>
              <w:rPr>
                <w:sz w:val="20"/>
                <w:szCs w:val="20"/>
                <w:color w:val="auto"/>
              </w:rPr>
            </w:pPr>
            <w:r>
              <w:rPr>
                <w:rFonts w:ascii="Arial" w:cs="Arial" w:eastAsia="Arial" w:hAnsi="Arial"/>
                <w:sz w:val="14"/>
                <w:szCs w:val="14"/>
                <w:b w:val="1"/>
                <w:bCs w:val="1"/>
                <w:color w:val="auto"/>
              </w:rPr>
              <w:t>Issued</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5"/>
          </w:tcPr>
          <w:p>
            <w:pPr>
              <w:jc w:val="right"/>
              <w:ind w:right="440"/>
              <w:spacing w:after="0" w:line="155" w:lineRule="exact"/>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tcPr>
          <w:p>
            <w:pPr>
              <w:jc w:val="right"/>
              <w:ind w:right="400"/>
              <w:spacing w:after="0" w:line="155" w:lineRule="exact"/>
              <w:rPr>
                <w:sz w:val="20"/>
                <w:szCs w:val="20"/>
                <w:color w:val="auto"/>
              </w:rPr>
            </w:pPr>
            <w:r>
              <w:rPr>
                <w:rFonts w:ascii="Arial" w:cs="Arial" w:eastAsia="Arial" w:hAnsi="Arial"/>
                <w:sz w:val="14"/>
                <w:szCs w:val="14"/>
                <w:b w:val="1"/>
                <w:bCs w:val="1"/>
                <w:color w:val="auto"/>
                <w:w w:val="99"/>
              </w:rPr>
              <w:t>Interests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right"/>
              <w:ind w:right="50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April 1, 2019</w:t>
            </w: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13,000</w:t>
            </w:r>
          </w:p>
        </w:tc>
        <w:tc>
          <w:tcPr>
            <w:tcW w:w="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(3,756)</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31,386</w:t>
            </w:r>
          </w:p>
        </w:tc>
        <w:tc>
          <w:tcPr>
            <w:tcW w:w="2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(4,527)</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421</w:t>
            </w:r>
          </w:p>
        </w:tc>
        <w:tc>
          <w:tcPr>
            <w:tcW w:w="1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36,524</w:t>
            </w:r>
          </w:p>
        </w:tc>
        <w:tc>
          <w:tcPr>
            <w:tcW w:w="100" w:type="dxa"/>
            <w:vAlign w:val="bottom"/>
            <w:tcBorders>
              <w:top w:val="single" w:sz="8" w:color="CFF0FC"/>
              <w:right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492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6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right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4"/>
            <w:shd w:val="clear" w:color="auto" w:fill="CFF0FC"/>
          </w:tcPr>
          <w:p>
            <w:pPr>
              <w:jc w:val="right"/>
              <w:ind w:right="200"/>
              <w:spacing w:after="0"/>
              <w:rPr>
                <w:sz w:val="20"/>
                <w:szCs w:val="20"/>
                <w:color w:val="auto"/>
              </w:rPr>
            </w:pPr>
            <w:r>
              <w:rPr>
                <w:rFonts w:ascii="Arial" w:cs="Arial" w:eastAsia="Arial" w:hAnsi="Arial"/>
                <w:sz w:val="14"/>
                <w:szCs w:val="14"/>
                <w:color w:val="auto"/>
              </w:rPr>
              <w:t>(26)</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right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declared ($0.50 per share)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5"/>
          </w:tcPr>
          <w:p>
            <w:pPr>
              <w:jc w:val="right"/>
              <w:ind w:right="160"/>
              <w:spacing w:after="0"/>
              <w:rPr>
                <w:sz w:val="20"/>
                <w:szCs w:val="20"/>
                <w:color w:val="auto"/>
              </w:rPr>
            </w:pPr>
            <w:r>
              <w:rPr>
                <w:rFonts w:ascii="Arial" w:cs="Arial" w:eastAsia="Arial" w:hAnsi="Arial"/>
                <w:sz w:val="14"/>
                <w:szCs w:val="14"/>
                <w:color w:val="auto"/>
              </w:rPr>
              <w:t>(692)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(692)</w:t>
            </w:r>
          </w:p>
        </w:tc>
        <w:tc>
          <w:tcPr>
            <w:tcW w:w="2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4"/>
            <w:shd w:val="clear" w:color="auto" w:fill="CFF0FC"/>
          </w:tcPr>
          <w:p>
            <w:pPr>
              <w:jc w:val="right"/>
              <w:ind w:right="200"/>
              <w:spacing w:after="0"/>
              <w:rPr>
                <w:sz w:val="20"/>
                <w:szCs w:val="20"/>
                <w:color w:val="auto"/>
              </w:rPr>
            </w:pPr>
            <w:r>
              <w:rPr>
                <w:rFonts w:ascii="Arial" w:cs="Arial" w:eastAsia="Arial" w:hAnsi="Arial"/>
                <w:sz w:val="14"/>
                <w:szCs w:val="14"/>
                <w:color w:val="auto"/>
              </w:rPr>
              <w:t>(22)</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4"/>
            <w:shd w:val="clear" w:color="auto" w:fill="CFF0FC"/>
          </w:tcPr>
          <w:p>
            <w:pPr>
              <w:jc w:val="right"/>
              <w:ind w:right="100"/>
              <w:spacing w:after="0"/>
              <w:rPr>
                <w:sz w:val="20"/>
                <w:szCs w:val="20"/>
                <w:color w:val="auto"/>
              </w:rPr>
            </w:pPr>
            <w:r>
              <w:rPr>
                <w:rFonts w:ascii="Arial" w:cs="Arial" w:eastAsia="Arial" w:hAnsi="Arial"/>
                <w:sz w:val="14"/>
                <w:szCs w:val="14"/>
                <w:color w:val="auto"/>
              </w:rPr>
              <w:t>(2)</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June 30, 2019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13,037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(3,827)</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color w:val="auto"/>
              </w:rPr>
              <w:t>31,186</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(4,544)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color w:val="auto"/>
              </w:rPr>
              <w:t>421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36,273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1"/>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i w:val="1"/>
                <w:iCs w:val="1"/>
                <w:color w:val="auto"/>
              </w:rPr>
              <w:t>(Stated in millions)</w:t>
            </w:r>
          </w:p>
        </w:tc>
      </w:tr>
      <w:tr>
        <w:trPr>
          <w:trHeight w:val="300"/>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Noncontrolling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b w:val="1"/>
                <w:bCs w:val="1"/>
                <w:color w:val="auto"/>
              </w:rPr>
              <w:t>April 1, 2018 – June 30, 2018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4"/>
          </w:tcPr>
          <w:p>
            <w:pPr>
              <w:jc w:val="right"/>
              <w:ind w:right="560"/>
              <w:spacing w:after="0" w:line="155" w:lineRule="exact"/>
              <w:rPr>
                <w:sz w:val="20"/>
                <w:szCs w:val="20"/>
                <w:color w:val="auto"/>
              </w:rPr>
            </w:pPr>
            <w:r>
              <w:rPr>
                <w:rFonts w:ascii="Arial" w:cs="Arial" w:eastAsia="Arial" w:hAnsi="Arial"/>
                <w:sz w:val="14"/>
                <w:szCs w:val="14"/>
                <w:b w:val="1"/>
                <w:bCs w:val="1"/>
                <w:color w:val="auto"/>
              </w:rPr>
              <w:t>Issued</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5"/>
          </w:tcPr>
          <w:p>
            <w:pPr>
              <w:jc w:val="right"/>
              <w:ind w:right="460"/>
              <w:spacing w:after="0" w:line="155" w:lineRule="exact"/>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4"/>
          </w:tcPr>
          <w:p>
            <w:pPr>
              <w:jc w:val="center"/>
              <w:ind w:right="58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April 1, 2018</w:t>
            </w:r>
          </w:p>
        </w:tc>
        <w:tc>
          <w:tcPr>
            <w:tcW w:w="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12,998</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(3,937)</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32,022</w:t>
            </w: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(4,159)</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402</w:t>
            </w:r>
          </w:p>
        </w:tc>
        <w:tc>
          <w:tcPr>
            <w:tcW w:w="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gridSpan w:val="2"/>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right w:val="single" w:sz="8" w:color="CFF0FC"/>
            </w:tcBorders>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37,326</w:t>
            </w:r>
          </w:p>
        </w:tc>
        <w:tc>
          <w:tcPr>
            <w:tcW w:w="20" w:type="dxa"/>
            <w:vAlign w:val="bottom"/>
            <w:tcBorders>
              <w:top w:val="single" w:sz="8" w:color="CFF0FC"/>
            </w:tcBorders>
            <w:shd w:val="clear" w:color="auto" w:fill="CFF0FC"/>
          </w:tcPr>
          <w:p>
            <w:pPr>
              <w:spacing w:after="0"/>
              <w:rPr>
                <w:sz w:val="13"/>
                <w:szCs w:val="13"/>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430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441</w:t>
            </w:r>
          </w:p>
        </w:tc>
        <w:tc>
          <w:tcPr>
            <w:tcW w:w="2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20" w:type="dxa"/>
            <w:vAlign w:val="bottom"/>
            <w:gridSpan w:val="5"/>
            <w:shd w:val="clear" w:color="auto" w:fill="CFF0FC"/>
          </w:tcPr>
          <w:p>
            <w:pPr>
              <w:jc w:val="right"/>
              <w:ind w:right="100"/>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(121)</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unrealized gain on marketable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(40)</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20" w:type="dxa"/>
            <w:vAlign w:val="bottom"/>
            <w:gridSpan w:val="5"/>
            <w:shd w:val="clear" w:color="auto" w:fill="CFF0FC"/>
          </w:tcPr>
          <w:p>
            <w:pPr>
              <w:jc w:val="right"/>
              <w:ind w:right="10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(16)</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Pension and other postretirement benefit plans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4"/>
            <w:shd w:val="clear" w:color="auto" w:fill="CFF0FC"/>
          </w:tcPr>
          <w:p>
            <w:pPr>
              <w:jc w:val="right"/>
              <w:ind w:right="180"/>
              <w:spacing w:after="0"/>
              <w:rPr>
                <w:sz w:val="20"/>
                <w:szCs w:val="20"/>
                <w:color w:val="auto"/>
              </w:rPr>
            </w:pPr>
            <w:r>
              <w:rPr>
                <w:rFonts w:ascii="Arial" w:cs="Arial" w:eastAsia="Arial" w:hAnsi="Arial"/>
                <w:sz w:val="14"/>
                <w:szCs w:val="14"/>
                <w:color w:val="auto"/>
              </w:rPr>
              <w:t>(7)</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w:t>
            </w:r>
          </w:p>
        </w:tc>
        <w:tc>
          <w:tcPr>
            <w:tcW w:w="2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(102)</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(102)</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87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87</w:t>
            </w:r>
          </w:p>
        </w:tc>
        <w:tc>
          <w:tcPr>
            <w:tcW w:w="2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($0.50 per share)</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5"/>
            <w:shd w:val="clear" w:color="auto" w:fill="CFF0FC"/>
          </w:tcPr>
          <w:p>
            <w:pPr>
              <w:jc w:val="right"/>
              <w:ind w:right="160"/>
              <w:spacing w:after="0"/>
              <w:rPr>
                <w:sz w:val="20"/>
                <w:szCs w:val="20"/>
                <w:color w:val="auto"/>
              </w:rPr>
            </w:pPr>
            <w:r>
              <w:rPr>
                <w:rFonts w:ascii="Arial" w:cs="Arial" w:eastAsia="Arial" w:hAnsi="Arial"/>
                <w:sz w:val="14"/>
                <w:szCs w:val="14"/>
                <w:color w:val="auto"/>
              </w:rPr>
              <w:t>(692)</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(692)</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(23)</w:t>
            </w:r>
          </w:p>
        </w:tc>
      </w:tr>
      <w:tr>
        <w:trPr>
          <w:trHeight w:val="156"/>
        </w:trPr>
        <w:tc>
          <w:tcPr>
            <w:tcW w:w="3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June 30, 2018</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13,030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(4,001)</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31,760</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(4,305)</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413</w:t>
            </w:r>
          </w:p>
        </w:tc>
        <w:tc>
          <w:tcPr>
            <w:tcW w:w="2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right w:val="single" w:sz="8" w:color="CFF0FC"/>
            </w:tcBorders>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36,897</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14"/>
          </w:tcPr>
          <w:p>
            <w:pPr>
              <w:jc w:val="right"/>
              <w:ind w:right="620"/>
              <w:spacing w:after="0"/>
              <w:rPr>
                <w:sz w:val="20"/>
                <w:szCs w:val="20"/>
                <w:color w:val="auto"/>
              </w:rPr>
            </w:pPr>
            <w:r>
              <w:rPr>
                <w:rFonts w:ascii="Arial" w:cs="Arial" w:eastAsia="Arial" w:hAnsi="Arial"/>
                <w:sz w:val="18"/>
                <w:szCs w:val="18"/>
                <w:b w:val="1"/>
                <w:bCs w:val="1"/>
                <w:color w:val="auto"/>
              </w:rPr>
              <w:t>SHARES OF COMMON STOCK</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1"/>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6"/>
          </w:tcPr>
          <w:p>
            <w:pPr>
              <w:jc w:val="right"/>
              <w:ind w:right="140"/>
              <w:spacing w:after="0"/>
              <w:rPr>
                <w:sz w:val="20"/>
                <w:szCs w:val="20"/>
                <w:color w:val="auto"/>
              </w:rPr>
            </w:pPr>
            <w:r>
              <w:rPr>
                <w:rFonts w:ascii="Arial" w:cs="Arial" w:eastAsia="Arial" w:hAnsi="Arial"/>
                <w:sz w:val="14"/>
                <w:szCs w:val="14"/>
                <w:i w:val="1"/>
                <w:iCs w:val="1"/>
                <w:color w:val="auto"/>
                <w:w w:val="97"/>
              </w:rPr>
              <w:t>(Stated in millions)</w:t>
            </w:r>
          </w:p>
        </w:tc>
      </w:tr>
      <w:tr>
        <w:trPr>
          <w:trHeight w:val="372"/>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tcPr>
          <w:p>
            <w:pPr>
              <w:ind w:left="100"/>
              <w:spacing w:after="0"/>
              <w:rPr>
                <w:sz w:val="20"/>
                <w:szCs w:val="20"/>
                <w:color w:val="auto"/>
              </w:rPr>
            </w:pPr>
            <w:r>
              <w:rPr>
                <w:rFonts w:ascii="Arial" w:cs="Arial" w:eastAsia="Arial" w:hAnsi="Arial"/>
                <w:sz w:val="18"/>
                <w:szCs w:val="18"/>
                <w:b w:val="1"/>
                <w:bCs w:val="1"/>
                <w:color w:val="auto"/>
              </w:rPr>
              <w:t>Shares</w:t>
            </w:r>
          </w:p>
        </w:tc>
      </w:tr>
      <w:tr>
        <w:trPr>
          <w:trHeight w:val="234"/>
        </w:trPr>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Issued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9"/>
          </w:tcPr>
          <w:p>
            <w:pPr>
              <w:jc w:val="center"/>
              <w:ind w:right="460"/>
              <w:spacing w:after="0"/>
              <w:rPr>
                <w:sz w:val="20"/>
                <w:szCs w:val="20"/>
                <w:color w:val="auto"/>
              </w:rPr>
            </w:pPr>
            <w:r>
              <w:rPr>
                <w:rFonts w:ascii="Arial" w:cs="Arial" w:eastAsia="Arial" w:hAnsi="Arial"/>
                <w:sz w:val="18"/>
                <w:szCs w:val="18"/>
                <w:b w:val="1"/>
                <w:bCs w:val="1"/>
                <w:color w:val="auto"/>
                <w:w w:val="94"/>
              </w:rPr>
              <w:t>In Treasury</w:t>
            </w:r>
          </w:p>
        </w:tc>
        <w:tc>
          <w:tcPr>
            <w:tcW w:w="130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88"/>
              </w:rPr>
              <w:t>Outstanding</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3"/>
              </w:rPr>
              <w:t>Shares sold to optionees, less shares exchanged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89"/>
              </w:rPr>
              <w:t>Shares issued under employee stock purchase plan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Balance, June 30, 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2019 are not necessarily indicative of the results that may be expected for the full year ending December 31, 2019. The December 31, 2018 balance sheet information has been derived from the Schlumberger 2018 audited financial statements. For further information, refer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and notes thereto included in the Schlumberger Annual Report on Form 10-K for the year ended December 31, 2018, filed with the Securities and Exchange Commission on January 23, 2019.</w:t>
      </w:r>
    </w:p>
    <w:p>
      <w:pPr>
        <w:spacing w:after="0" w:line="283" w:lineRule="exact"/>
        <w:rPr>
          <w:sz w:val="20"/>
          <w:szCs w:val="20"/>
          <w:color w:val="auto"/>
        </w:rPr>
      </w:pPr>
    </w:p>
    <w:p>
      <w:pPr>
        <w:ind w:right="9560" w:firstLine="8"/>
        <w:spacing w:after="0" w:line="378" w:lineRule="auto"/>
        <w:tabs>
          <w:tab w:leader="none" w:pos="2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Charges and Credits </w:t>
      </w:r>
      <w:r>
        <w:rPr>
          <w:rFonts w:ascii="Arial" w:cs="Arial" w:eastAsia="Arial" w:hAnsi="Arial"/>
          <w:sz w:val="18"/>
          <w:szCs w:val="18"/>
          <w:b w:val="1"/>
          <w:bCs w:val="1"/>
          <w:color w:val="auto"/>
        </w:rPr>
        <w:t>2019</w:t>
      </w:r>
    </w:p>
    <w:p>
      <w:pPr>
        <w:spacing w:after="0"/>
        <w:rPr>
          <w:sz w:val="20"/>
          <w:szCs w:val="20"/>
          <w:color w:val="auto"/>
        </w:rPr>
      </w:pPr>
      <w:r>
        <w:rPr>
          <w:rFonts w:ascii="Arial" w:cs="Arial" w:eastAsia="Arial" w:hAnsi="Arial"/>
          <w:sz w:val="18"/>
          <w:szCs w:val="18"/>
          <w:color w:val="auto"/>
        </w:rPr>
        <w:t>There were no charges or credits recorded during the first six months of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During the second quarter of 2018, Schlumberger recorded a $184 million pretax charge ($164 million after-tax) associated with headcount reductions, primarily to further streamline its support cost structure. This charge is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2018.</w:t>
      </w:r>
    </w:p>
    <w:p>
      <w:pPr>
        <w:spacing w:after="0" w:line="329"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8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6"/>
              </w:rPr>
              <w:t>(Stated in millions, except per share amounts)</w:t>
            </w:r>
          </w:p>
        </w:tc>
      </w:tr>
      <w:tr>
        <w:trPr>
          <w:trHeight w:val="42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color w:val="auto"/>
                <w:w w:val="89"/>
              </w:rPr>
              <w:t>2018</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87"/>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Schlumberger</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Earnings per</w:t>
            </w:r>
          </w:p>
        </w:tc>
        <w:tc>
          <w:tcPr>
            <w:tcW w:w="100" w:type="dxa"/>
            <w:vAlign w:val="bottom"/>
          </w:tcPr>
          <w:p>
            <w:pPr>
              <w:spacing w:after="0"/>
              <w:rPr>
                <w:sz w:val="17"/>
                <w:szCs w:val="17"/>
                <w:color w:val="auto"/>
              </w:rPr>
            </w:pPr>
          </w:p>
        </w:tc>
        <w:tc>
          <w:tcPr>
            <w:tcW w:w="1040" w:type="dxa"/>
            <w:vAlign w:val="bottom"/>
          </w:tcPr>
          <w:p>
            <w:pPr>
              <w:jc w:val="center"/>
              <w:ind w:right="33"/>
              <w:spacing w:after="0"/>
              <w:rPr>
                <w:sz w:val="20"/>
                <w:szCs w:val="20"/>
                <w:color w:val="auto"/>
              </w:rPr>
            </w:pPr>
            <w:r>
              <w:rPr>
                <w:rFonts w:ascii="Arial" w:cs="Arial" w:eastAsia="Arial" w:hAnsi="Arial"/>
                <w:sz w:val="16"/>
                <w:szCs w:val="16"/>
                <w:color w:val="auto"/>
                <w:w w:val="92"/>
              </w:rPr>
              <w:t>Schlumberger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86"/>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Earnings per</w:t>
            </w:r>
          </w:p>
        </w:tc>
      </w:tr>
      <w:tr>
        <w:trPr>
          <w:trHeight w:val="213"/>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Net Income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Pr>
          <w:p>
            <w:pPr>
              <w:spacing w:after="0"/>
              <w:rPr>
                <w:sz w:val="18"/>
                <w:szCs w:val="18"/>
                <w:color w:val="auto"/>
              </w:rPr>
            </w:pPr>
          </w:p>
        </w:tc>
        <w:tc>
          <w:tcPr>
            <w:tcW w:w="1040" w:type="dxa"/>
            <w:vAlign w:val="bottom"/>
          </w:tcPr>
          <w:p>
            <w:pPr>
              <w:jc w:val="center"/>
              <w:ind w:right="33"/>
              <w:spacing w:after="0"/>
              <w:rPr>
                <w:sz w:val="20"/>
                <w:szCs w:val="20"/>
                <w:color w:val="auto"/>
              </w:rPr>
            </w:pPr>
            <w:r>
              <w:rPr>
                <w:rFonts w:ascii="Arial" w:cs="Arial" w:eastAsia="Arial" w:hAnsi="Arial"/>
                <w:sz w:val="16"/>
                <w:szCs w:val="16"/>
                <w:color w:val="auto"/>
                <w:w w:val="92"/>
              </w:rPr>
              <w:t>Net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92"/>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r>
      <w:tr>
        <w:trPr>
          <w:trHeight w:val="206"/>
        </w:trPr>
        <w:tc>
          <w:tcPr>
            <w:tcW w:w="20" w:type="dxa"/>
            <w:vAlign w:val="bottom"/>
          </w:tcPr>
          <w:p>
            <w:pPr>
              <w:spacing w:after="0"/>
              <w:rPr>
                <w:sz w:val="17"/>
                <w:szCs w:val="17"/>
                <w:color w:val="auto"/>
              </w:rPr>
            </w:pPr>
          </w:p>
        </w:tc>
        <w:tc>
          <w:tcPr>
            <w:tcW w:w="1220" w:type="dxa"/>
            <w:vAlign w:val="bottom"/>
            <w:tcBorders>
              <w:top w:val="single" w:sz="8" w:color="CFF0FC"/>
              <w:bottom w:val="single" w:sz="8" w:color="auto"/>
            </w:tcBorders>
            <w:gridSpan w:val="2"/>
            <w:shd w:val="clear" w:color="auto" w:fill="CFF0FC"/>
          </w:tcPr>
          <w:p>
            <w:pPr>
              <w:spacing w:after="0" w:line="186" w:lineRule="exact"/>
              <w:rPr>
                <w:sz w:val="20"/>
                <w:szCs w:val="20"/>
                <w:color w:val="auto"/>
              </w:rPr>
            </w:pPr>
            <w:r>
              <w:rPr>
                <w:rFonts w:ascii="Arial" w:cs="Arial" w:eastAsia="Arial" w:hAnsi="Arial"/>
                <w:sz w:val="18"/>
                <w:szCs w:val="18"/>
                <w:b w:val="1"/>
                <w:bCs w:val="1"/>
                <w:color w:val="auto"/>
                <w:w w:val="88"/>
              </w:rPr>
              <w:t>Second Quarter</w:t>
            </w:r>
          </w:p>
        </w:tc>
        <w:tc>
          <w:tcPr>
            <w:tcW w:w="20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1,384</w:t>
            </w:r>
          </w:p>
        </w:tc>
        <w:tc>
          <w:tcPr>
            <w:tcW w:w="2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2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color w:val="auto"/>
                <w:w w:val="89"/>
              </w:rPr>
              <w:t>2018</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87"/>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Schlumberger</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Earnings per</w:t>
            </w:r>
          </w:p>
        </w:tc>
        <w:tc>
          <w:tcPr>
            <w:tcW w:w="100" w:type="dxa"/>
            <w:vAlign w:val="bottom"/>
          </w:tcPr>
          <w:p>
            <w:pPr>
              <w:spacing w:after="0"/>
              <w:rPr>
                <w:sz w:val="17"/>
                <w:szCs w:val="17"/>
                <w:color w:val="auto"/>
              </w:rPr>
            </w:pPr>
          </w:p>
        </w:tc>
        <w:tc>
          <w:tcPr>
            <w:tcW w:w="1040" w:type="dxa"/>
            <w:vAlign w:val="bottom"/>
          </w:tcPr>
          <w:p>
            <w:pPr>
              <w:jc w:val="center"/>
              <w:ind w:right="33"/>
              <w:spacing w:after="0"/>
              <w:rPr>
                <w:sz w:val="20"/>
                <w:szCs w:val="20"/>
                <w:color w:val="auto"/>
              </w:rPr>
            </w:pPr>
            <w:r>
              <w:rPr>
                <w:rFonts w:ascii="Arial" w:cs="Arial" w:eastAsia="Arial" w:hAnsi="Arial"/>
                <w:sz w:val="16"/>
                <w:szCs w:val="16"/>
                <w:color w:val="auto"/>
                <w:w w:val="92"/>
              </w:rPr>
              <w:t>Schlumberger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86"/>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Earnings per</w:t>
            </w:r>
          </w:p>
        </w:tc>
      </w:tr>
      <w:tr>
        <w:trPr>
          <w:trHeight w:val="213"/>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Net Income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Pr>
          <w:p>
            <w:pPr>
              <w:spacing w:after="0"/>
              <w:rPr>
                <w:sz w:val="18"/>
                <w:szCs w:val="18"/>
                <w:color w:val="auto"/>
              </w:rPr>
            </w:pPr>
          </w:p>
        </w:tc>
        <w:tc>
          <w:tcPr>
            <w:tcW w:w="1040" w:type="dxa"/>
            <w:vAlign w:val="bottom"/>
          </w:tcPr>
          <w:p>
            <w:pPr>
              <w:jc w:val="center"/>
              <w:ind w:right="33"/>
              <w:spacing w:after="0"/>
              <w:rPr>
                <w:sz w:val="20"/>
                <w:szCs w:val="20"/>
                <w:color w:val="auto"/>
              </w:rPr>
            </w:pPr>
            <w:r>
              <w:rPr>
                <w:rFonts w:ascii="Arial" w:cs="Arial" w:eastAsia="Arial" w:hAnsi="Arial"/>
                <w:sz w:val="16"/>
                <w:szCs w:val="16"/>
                <w:color w:val="auto"/>
                <w:w w:val="92"/>
              </w:rPr>
              <w:t>Net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92"/>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r>
      <w:tr>
        <w:trPr>
          <w:trHeight w:val="206"/>
        </w:trPr>
        <w:tc>
          <w:tcPr>
            <w:tcW w:w="20" w:type="dxa"/>
            <w:vAlign w:val="bottom"/>
          </w:tcPr>
          <w:p>
            <w:pPr>
              <w:spacing w:after="0"/>
              <w:rPr>
                <w:sz w:val="17"/>
                <w:szCs w:val="17"/>
                <w:color w:val="auto"/>
              </w:rPr>
            </w:pPr>
          </w:p>
        </w:tc>
        <w:tc>
          <w:tcPr>
            <w:tcW w:w="3280" w:type="dxa"/>
            <w:vAlign w:val="bottom"/>
            <w:tcBorders>
              <w:top w:val="single" w:sz="8" w:color="CFF0FC"/>
            </w:tcBorders>
            <w:gridSpan w:val="3"/>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Six Months</w:t>
            </w: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2420" w:type="dxa"/>
            <w:vAlign w:val="bottom"/>
            <w:tcBorders>
              <w:top w:val="single" w:sz="8" w:color="CFF0FC"/>
            </w:tcBorders>
            <w:gridSpan w:val="2"/>
          </w:tcPr>
          <w:p>
            <w:pPr>
              <w:spacing w:after="0"/>
              <w:rPr>
                <w:sz w:val="23"/>
                <w:szCs w:val="23"/>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913</w:t>
            </w:r>
          </w:p>
        </w:tc>
        <w:tc>
          <w:tcPr>
            <w:tcW w:w="2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0.66</w:t>
            </w:r>
          </w:p>
        </w:tc>
        <w:tc>
          <w:tcPr>
            <w:tcW w:w="24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955</w:t>
            </w:r>
          </w:p>
        </w:tc>
        <w:tc>
          <w:tcPr>
            <w:tcW w:w="3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1,385</w:t>
            </w:r>
          </w:p>
        </w:tc>
        <w:tc>
          <w:tcPr>
            <w:tcW w:w="36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top w:val="single" w:sz="8" w:color="CFF0FC"/>
            </w:tcBorders>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0.65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28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860" w:type="dxa"/>
            <w:vAlign w:val="bottom"/>
            <w:tcBorders>
              <w:bottom w:val="single" w:sz="8" w:color="CFF0FC"/>
            </w:tcBorders>
          </w:tcPr>
          <w:p>
            <w:pPr>
              <w:spacing w:after="0"/>
              <w:rPr>
                <w:sz w:val="24"/>
                <w:szCs w:val="24"/>
                <w:color w:val="auto"/>
              </w:rPr>
            </w:pPr>
          </w:p>
        </w:tc>
        <w:tc>
          <w:tcPr>
            <w:tcW w:w="17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00" w:type="dxa"/>
            <w:vAlign w:val="bottom"/>
            <w:gridSpan w:val="4"/>
          </w:tcPr>
          <w:p>
            <w:pPr>
              <w:spacing w:after="0"/>
              <w:rPr>
                <w:sz w:val="20"/>
                <w:szCs w:val="20"/>
                <w:color w:val="auto"/>
              </w:rPr>
            </w:pPr>
            <w:r>
              <w:rPr>
                <w:rFonts w:ascii="Arial" w:cs="Arial" w:eastAsia="Arial" w:hAnsi="Arial"/>
                <w:sz w:val="18"/>
                <w:szCs w:val="18"/>
                <w:color w:val="auto"/>
              </w:rPr>
              <w:t>Six Months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Inventories</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20" w:type="dxa"/>
            <w:vAlign w:val="bottom"/>
            <w:gridSpan w:val="7"/>
          </w:tcPr>
          <w:p>
            <w:pPr>
              <w:spacing w:after="0"/>
              <w:rPr>
                <w:sz w:val="20"/>
                <w:szCs w:val="20"/>
                <w:color w:val="auto"/>
              </w:rPr>
            </w:pPr>
            <w:r>
              <w:rPr>
                <w:rFonts w:ascii="Arial" w:cs="Arial" w:eastAsia="Arial" w:hAnsi="Arial"/>
                <w:sz w:val="18"/>
                <w:szCs w:val="18"/>
                <w:color w:val="auto"/>
                <w:w w:val="93"/>
              </w:rPr>
              <w:t>A summary of inventories, which are stated at the lower of average cost or net realizable value, is as follows: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Jun. 30,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4860" w:type="dxa"/>
            <w:vAlign w:val="bottom"/>
            <w:tcBorders>
              <w:bottom w:val="single" w:sz="8" w:color="CFF0FC"/>
            </w:tcBorders>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1,995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4"/>
          </w:tcPr>
          <w:p>
            <w:pPr>
              <w:spacing w:after="0"/>
              <w:rPr>
                <w:sz w:val="20"/>
                <w:szCs w:val="20"/>
                <w:color w:val="auto"/>
              </w:rPr>
            </w:pPr>
            <w:r>
              <w:rPr>
                <w:rFonts w:ascii="Arial" w:cs="Arial" w:eastAsia="Arial" w:hAnsi="Arial"/>
                <w:sz w:val="18"/>
                <w:szCs w:val="18"/>
                <w:color w:val="auto"/>
              </w:rPr>
              <w:t>Work in progress</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1,818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4,389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4"/>
              </w:rPr>
              <w:t>Fixed Assets</w:t>
            </w:r>
          </w:p>
        </w:tc>
        <w:tc>
          <w:tcPr>
            <w:tcW w:w="486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80" w:type="dxa"/>
            <w:vAlign w:val="bottom"/>
            <w:vMerge w:val="continue"/>
          </w:tcPr>
          <w:p>
            <w:pPr>
              <w:spacing w:after="0"/>
              <w:rPr>
                <w:sz w:val="24"/>
                <w:szCs w:val="24"/>
                <w:color w:val="auto"/>
              </w:rPr>
            </w:pPr>
          </w:p>
        </w:tc>
        <w:tc>
          <w:tcPr>
            <w:tcW w:w="960" w:type="dxa"/>
            <w:vAlign w:val="bottom"/>
            <w:tcBorders>
              <w:bottom w:val="single" w:sz="8" w:color="auto"/>
            </w:tcBorders>
            <w:gridSpan w:val="2"/>
            <w:vMerge w:val="continue"/>
          </w:tcPr>
          <w:p>
            <w:pPr>
              <w:spacing w:after="0"/>
              <w:rPr>
                <w:sz w:val="24"/>
                <w:szCs w:val="24"/>
                <w:color w:val="auto"/>
              </w:rPr>
            </w:pPr>
          </w:p>
        </w:tc>
        <w:tc>
          <w:tcPr>
            <w:tcW w:w="48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10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Jun. 30,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4860" w:type="dxa"/>
            <w:vAlign w:val="bottom"/>
            <w:tcBorders>
              <w:bottom w:val="single" w:sz="8" w:color="CFF0FC"/>
            </w:tcBorders>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38,822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Less: Accumulated depreciation</w:t>
            </w:r>
          </w:p>
        </w:tc>
        <w:tc>
          <w:tcPr>
            <w:tcW w:w="17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27,463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26,985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86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11,359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11,679</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4"/>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0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28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860" w:type="dxa"/>
            <w:vAlign w:val="bottom"/>
            <w:tcBorders>
              <w:bottom w:val="single" w:sz="8" w:color="CFF0FC"/>
            </w:tcBorders>
          </w:tcPr>
          <w:p>
            <w:pPr>
              <w:spacing w:after="0"/>
              <w:rPr>
                <w:sz w:val="24"/>
                <w:szCs w:val="24"/>
                <w:color w:val="auto"/>
              </w:rPr>
            </w:pPr>
          </w:p>
        </w:tc>
        <w:tc>
          <w:tcPr>
            <w:tcW w:w="17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7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00" w:type="dxa"/>
            <w:vAlign w:val="bottom"/>
            <w:gridSpan w:val="4"/>
          </w:tcPr>
          <w:p>
            <w:pPr>
              <w:spacing w:after="0"/>
              <w:rPr>
                <w:sz w:val="20"/>
                <w:szCs w:val="20"/>
                <w:color w:val="auto"/>
              </w:rPr>
            </w:pPr>
            <w:r>
              <w:rPr>
                <w:rFonts w:ascii="Arial" w:cs="Arial" w:eastAsia="Arial" w:hAnsi="Arial"/>
                <w:sz w:val="18"/>
                <w:szCs w:val="18"/>
                <w:color w:val="auto"/>
              </w:rPr>
              <w:t>Six Months</w:t>
            </w:r>
          </w:p>
        </w:tc>
        <w:tc>
          <w:tcPr>
            <w:tcW w:w="2020" w:type="dxa"/>
            <w:vAlign w:val="bottom"/>
            <w:gridSpan w:val="3"/>
          </w:tcPr>
          <w:p>
            <w:pPr>
              <w:jc w:val="right"/>
              <w:ind w:right="145"/>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1,026</w:t>
            </w:r>
          </w:p>
        </w:tc>
        <w:tc>
          <w:tcPr>
            <w:tcW w:w="20" w:type="dxa"/>
            <w:vAlign w:val="bottom"/>
          </w:tcPr>
          <w:p>
            <w:pPr>
              <w:spacing w:after="0"/>
              <w:rPr>
                <w:sz w:val="20"/>
                <w:szCs w:val="20"/>
                <w:color w:val="auto"/>
              </w:rPr>
            </w:pPr>
          </w:p>
        </w:tc>
        <w:tc>
          <w:tcPr>
            <w:tcW w:w="5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six months ended June 30, 2019 was as follows:</w:t>
      </w:r>
    </w:p>
    <w:p>
      <w:pPr>
        <w:spacing w:after="0" w:line="234" w:lineRule="exact"/>
        <w:rPr>
          <w:sz w:val="20"/>
          <w:szCs w:val="20"/>
          <w:color w:val="auto"/>
        </w:rPr>
      </w:pPr>
    </w:p>
    <w:p>
      <w:pPr>
        <w:ind w:left="1018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420"/>
          </w:cols>
          <w:pgMar w:left="240" w:top="166"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2019</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100" w:hanging="1099"/>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601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109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875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5" w:lineRule="exact"/>
        <w:rPr>
          <w:sz w:val="20"/>
          <w:szCs w:val="20"/>
          <w:color w:val="auto"/>
        </w:rPr>
      </w:pPr>
    </w:p>
    <w:p>
      <w:pPr>
        <w:ind w:left="1100" w:hanging="1099"/>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875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875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0" w:space="720"/>
            <w:col w:w="1500"/>
          </w:cols>
          <w:pgMar w:left="240" w:top="166" w:right="2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type w:val="continuous"/>
        </w:sectPr>
      </w:pPr>
    </w:p>
    <w:bookmarkStart w:id="10" w:name="page11"/>
    <w:bookmarkEnd w:id="10"/>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302" w:lineRule="exact"/>
        <w:rPr>
          <w:sz w:val="20"/>
          <w:szCs w:val="20"/>
          <w:color w:val="auto"/>
        </w:rPr>
      </w:pPr>
    </w:p>
    <w:tbl>
      <w:tblPr>
        <w:tblLayout w:type="fixed"/>
        <w:tblInd w:w="3300" w:type="dxa"/>
        <w:tblCellMar>
          <w:top w:w="0" w:type="dxa"/>
          <w:left w:w="0" w:type="dxa"/>
          <w:bottom w:w="0" w:type="dxa"/>
          <w:right w:w="0" w:type="dxa"/>
        </w:tblCellMar>
      </w:tblPr>
      <w:tr>
        <w:trPr>
          <w:trHeight w:val="182"/>
        </w:trPr>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i w:val="1"/>
                <w:iCs w:val="1"/>
                <w:color w:val="auto"/>
                <w:w w:val="95"/>
              </w:rPr>
              <w:t>(Stated in millions)</w:t>
            </w:r>
          </w:p>
        </w:tc>
      </w:tr>
      <w:tr>
        <w:trPr>
          <w:trHeight w:val="441"/>
        </w:trPr>
        <w:tc>
          <w:tcPr>
            <w:tcW w:w="1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Jun. 30, 2019</w:t>
            </w:r>
          </w:p>
        </w:tc>
        <w:tc>
          <w:tcPr>
            <w:tcW w:w="1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Dec. 31, 2018</w:t>
            </w:r>
          </w:p>
        </w:tc>
        <w:tc>
          <w:tcPr>
            <w:tcW w:w="1320" w:type="dxa"/>
            <w:vAlign w:val="bottom"/>
            <w:tcBorders>
              <w:bottom w:val="single" w:sz="8" w:color="auto"/>
            </w:tcBorders>
          </w:tcPr>
          <w:p>
            <w:pPr>
              <w:spacing w:after="0"/>
              <w:rPr>
                <w:sz w:val="24"/>
                <w:szCs w:val="24"/>
                <w:color w:val="auto"/>
              </w:rPr>
            </w:pPr>
          </w:p>
        </w:tc>
      </w:tr>
      <w:tr>
        <w:trPr>
          <w:trHeight w:val="207"/>
        </w:trPr>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86"/>
              </w:rPr>
              <w:t>Gross</w:t>
            </w:r>
          </w:p>
        </w:tc>
        <w:tc>
          <w:tcPr>
            <w:tcW w:w="1460" w:type="dxa"/>
            <w:vAlign w:val="bottom"/>
          </w:tcPr>
          <w:p>
            <w:pPr>
              <w:ind w:left="240"/>
              <w:spacing w:after="0"/>
              <w:rPr>
                <w:sz w:val="20"/>
                <w:szCs w:val="20"/>
                <w:color w:val="auto"/>
              </w:rPr>
            </w:pPr>
            <w:r>
              <w:rPr>
                <w:rFonts w:ascii="Arial" w:cs="Arial" w:eastAsia="Arial" w:hAnsi="Arial"/>
                <w:sz w:val="16"/>
                <w:szCs w:val="16"/>
                <w:b w:val="1"/>
                <w:bCs w:val="1"/>
                <w:color w:val="auto"/>
              </w:rPr>
              <w:t>Accumulated</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Net Book</w:t>
            </w: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Gross</w:t>
            </w:r>
          </w:p>
        </w:tc>
        <w:tc>
          <w:tcPr>
            <w:tcW w:w="1380" w:type="dxa"/>
            <w:vAlign w:val="bottom"/>
          </w:tcPr>
          <w:p>
            <w:pPr>
              <w:ind w:left="280"/>
              <w:spacing w:after="0"/>
              <w:rPr>
                <w:sz w:val="20"/>
                <w:szCs w:val="20"/>
                <w:color w:val="auto"/>
              </w:rPr>
            </w:pPr>
            <w:r>
              <w:rPr>
                <w:rFonts w:ascii="Arial" w:cs="Arial" w:eastAsia="Arial" w:hAnsi="Arial"/>
                <w:sz w:val="16"/>
                <w:szCs w:val="16"/>
                <w:color w:val="auto"/>
              </w:rPr>
              <w:t>Accumulated</w:t>
            </w:r>
          </w:p>
        </w:tc>
        <w:tc>
          <w:tcPr>
            <w:tcW w:w="1320" w:type="dxa"/>
            <w:vAlign w:val="bottom"/>
          </w:tcPr>
          <w:p>
            <w:pPr>
              <w:jc w:val="center"/>
              <w:ind w:left="62"/>
              <w:spacing w:after="0"/>
              <w:rPr>
                <w:sz w:val="20"/>
                <w:szCs w:val="20"/>
                <w:color w:val="auto"/>
              </w:rPr>
            </w:pPr>
            <w:r>
              <w:rPr>
                <w:rFonts w:ascii="Arial" w:cs="Arial" w:eastAsia="Arial" w:hAnsi="Arial"/>
                <w:sz w:val="16"/>
                <w:szCs w:val="16"/>
                <w:color w:val="auto"/>
                <w:w w:val="94"/>
              </w:rPr>
              <w:t>Net Book</w:t>
            </w:r>
          </w:p>
        </w:tc>
      </w:tr>
      <w:tr>
        <w:trPr>
          <w:trHeight w:val="243"/>
        </w:trPr>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Book Value</w:t>
            </w:r>
          </w:p>
        </w:tc>
        <w:tc>
          <w:tcPr>
            <w:tcW w:w="1460" w:type="dxa"/>
            <w:vAlign w:val="bottom"/>
          </w:tcPr>
          <w:p>
            <w:pPr>
              <w:ind w:left="240"/>
              <w:spacing w:after="0"/>
              <w:rPr>
                <w:sz w:val="20"/>
                <w:szCs w:val="20"/>
                <w:color w:val="auto"/>
              </w:rPr>
            </w:pPr>
            <w:r>
              <w:rPr>
                <w:rFonts w:ascii="Arial" w:cs="Arial" w:eastAsia="Arial" w:hAnsi="Arial"/>
                <w:sz w:val="16"/>
                <w:szCs w:val="16"/>
                <w:b w:val="1"/>
                <w:bCs w:val="1"/>
                <w:color w:val="auto"/>
              </w:rPr>
              <w:t>Amortization</w:t>
            </w: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Value</w:t>
            </w:r>
          </w:p>
        </w:tc>
        <w:tc>
          <w:tcPr>
            <w:tcW w:w="1220" w:type="dxa"/>
            <w:vAlign w:val="bottom"/>
          </w:tcPr>
          <w:p>
            <w:pPr>
              <w:jc w:val="center"/>
              <w:ind w:right="19"/>
              <w:spacing w:after="0"/>
              <w:rPr>
                <w:sz w:val="20"/>
                <w:szCs w:val="20"/>
                <w:color w:val="auto"/>
              </w:rPr>
            </w:pPr>
            <w:r>
              <w:rPr>
                <w:rFonts w:ascii="Arial" w:cs="Arial" w:eastAsia="Arial" w:hAnsi="Arial"/>
                <w:sz w:val="16"/>
                <w:szCs w:val="16"/>
                <w:color w:val="auto"/>
                <w:w w:val="92"/>
              </w:rPr>
              <w:t>Book Value</w:t>
            </w:r>
          </w:p>
        </w:tc>
        <w:tc>
          <w:tcPr>
            <w:tcW w:w="138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1320" w:type="dxa"/>
            <w:vAlign w:val="bottom"/>
          </w:tcPr>
          <w:p>
            <w:pPr>
              <w:jc w:val="center"/>
              <w:ind w:left="42"/>
              <w:spacing w:after="0"/>
              <w:rPr>
                <w:sz w:val="20"/>
                <w:szCs w:val="20"/>
                <w:color w:val="auto"/>
              </w:rPr>
            </w:pPr>
            <w:r>
              <w:rPr>
                <w:rFonts w:ascii="Arial" w:cs="Arial" w:eastAsia="Arial" w:hAnsi="Arial"/>
                <w:sz w:val="16"/>
                <w:szCs w:val="16"/>
                <w:color w:val="auto"/>
                <w:w w:val="87"/>
              </w:rPr>
              <w:t>Value</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4,750</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3,435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64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FF0FC"/>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3,452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1,325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2,127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2,799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FF0FC"/>
          </w:tcPr>
          <w:p>
            <w:pPr>
              <w:spacing w:after="0"/>
              <w:rPr>
                <w:sz w:val="19"/>
                <w:szCs w:val="19"/>
                <w:color w:val="auto"/>
              </w:rPr>
            </w:pPr>
          </w:p>
        </w:tc>
      </w:tr>
      <w:tr>
        <w:trPr>
          <w:trHeight w:val="230"/>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1,394</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12,395</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3,910</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8,485</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3,738</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480" w:type="dxa"/>
            <w:vAlign w:val="bottom"/>
            <w:tcBorders>
              <w:bottom w:val="single" w:sz="8" w:color="CFF0FC"/>
            </w:tcBorders>
          </w:tcPr>
          <w:p>
            <w:pPr>
              <w:spacing w:after="0"/>
              <w:rPr>
                <w:sz w:val="24"/>
                <w:szCs w:val="24"/>
                <w:color w:val="auto"/>
              </w:rPr>
            </w:pPr>
          </w:p>
        </w:tc>
        <w:tc>
          <w:tcPr>
            <w:tcW w:w="334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4"/>
                <w:szCs w:val="24"/>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3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r>
      <w:tr>
        <w:trPr>
          <w:trHeight w:val="234"/>
        </w:trPr>
        <w:tc>
          <w:tcPr>
            <w:tcW w:w="4480" w:type="dxa"/>
            <w:vAlign w:val="bottom"/>
          </w:tcPr>
          <w:p>
            <w:pPr>
              <w:spacing w:after="0"/>
              <w:rPr>
                <w:sz w:val="20"/>
                <w:szCs w:val="20"/>
                <w:color w:val="auto"/>
              </w:rPr>
            </w:pPr>
            <w:r>
              <w:rPr>
                <w:rFonts w:ascii="Arial" w:cs="Arial" w:eastAsia="Arial" w:hAnsi="Arial"/>
                <w:sz w:val="18"/>
                <w:szCs w:val="18"/>
                <w:color w:val="auto"/>
              </w:rPr>
              <w:t>Six Months</w:t>
            </w:r>
          </w:p>
        </w:tc>
        <w:tc>
          <w:tcPr>
            <w:tcW w:w="368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r>
    </w:tbl>
    <w:p>
      <w:pPr>
        <w:spacing w:after="0" w:line="2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Based on the net book value of intangible assets at June 30, 2019, amortization charged to income for the subsequent five years is estimated to be: remaining two quarters of 2019—$347 million; 2020—$663 million; 2021—$633 million; 2022—$623 million; 2023—$612 million; and 2024—$569 million.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 30,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Dec. 31,</w:t>
            </w:r>
          </w:p>
        </w:tc>
      </w:tr>
      <w:tr>
        <w:trPr>
          <w:trHeight w:val="234"/>
        </w:trPr>
        <w:tc>
          <w:tcPr>
            <w:tcW w:w="50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6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3.30%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1,494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3.90%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2028</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3.00%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2020</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1,196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4.20%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998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4.30%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2024</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1.00%</w:t>
            </w:r>
          </w:p>
        </w:tc>
        <w:tc>
          <w:tcPr>
            <w:tcW w:w="4660" w:type="dxa"/>
            <w:vAlign w:val="bottom"/>
          </w:tcPr>
          <w:p>
            <w:pPr>
              <w:ind w:left="20"/>
              <w:spacing w:after="0"/>
              <w:rPr>
                <w:sz w:val="20"/>
                <w:szCs w:val="20"/>
                <w:color w:val="auto"/>
              </w:rPr>
            </w:pPr>
            <w:r>
              <w:rPr>
                <w:rFonts w:ascii="Arial" w:cs="Arial" w:eastAsia="Arial" w:hAnsi="Arial"/>
                <w:sz w:val="18"/>
                <w:szCs w:val="18"/>
                <w:color w:val="auto"/>
              </w:rPr>
              <w:t>Guaranteed Notes due 2026</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677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3.63%</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2.20%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7.00%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4.50%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2021</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5.95%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2041</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2022</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5.13%</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2023</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3.70%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3,193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660" w:type="dxa"/>
            <w:vAlign w:val="bottom"/>
            <w:tcBorders>
              <w:bottom w:val="single" w:sz="8" w:color="CFF0FC"/>
            </w:tcBorders>
          </w:tcPr>
          <w:p>
            <w:pPr>
              <w:spacing w:after="0"/>
              <w:rPr>
                <w:sz w:val="19"/>
                <w:szCs w:val="19"/>
                <w:color w:val="auto"/>
              </w:rPr>
            </w:pPr>
          </w:p>
        </w:tc>
        <w:tc>
          <w:tcPr>
            <w:tcW w:w="2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FF0FC"/>
            </w:tcBorders>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16,978</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2019, Schlumberger completed a debt exchange offer, pursuant to which it issued $1.500 billion in principal of 3.90% Senior Notes due 2028 (the “New Notes”) in exchange for $401 million of 3.00% Senior Notes due 2020, $234 million of 3.63% Senior Notes due 2022 and $817 million of 4.00% Senior Notes due 2025. In connection with the exchange of principal, Schlumberger paid a premium of $48 million, substantially all of which was in the form of New Notes. This premium is being amortized as additional interest expense over the term of the New Notes.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based on quoted market prices at June 30, 2019 and December 31, 2018, was $17.4 billion and $14.6 billion,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2019, Schlumberger had separate committed credit facility agreements aggregating $6.5 billion with commercial banks, of which $3.3 billion was available and unused. These committed facilities support commercial paper programs in the United States and Europe, of which $1.0 billion matures in February 2020, $1.5 billion matures in November 2020, $2.0 billion matures in February 2023 and $2.0 billion matures in February 2024. Interest rates and other terms of borrowing under these lines of credit vary by facility.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Borrowings under Schlumberger’s commercial paper programs at June 30, 2019 and December 31, 2018 were $3.2 billion and $2.4 billion, respectively, all of which were classified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12" w:name="page13"/>
    <w:bookmarkEnd w:id="12"/>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2017, a Canadian-dollar functional currency subsidiary of Schlumberger issued $1.1 billion of US-dollar denominated debt. Schlumberger entered into cross-currency swaps for an aggregate notional amount of $1.1 billion in order to hedge changes in the fair value of its $0.5 billion 2.20% Senior Notes due 2020 and its $0.6 billion 2.65% Senior Notes due 2022. These cross-currency swaps effectively convert the US-dollar notes to Canadian-dollar denominated debt with fixed annual interest rates of 1.97% and 2.52%,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These cross-currency swaps are designated as cash flow hedges. The changes in the fair values of the hedges are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Amounts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are reclassified to earnings in the same periods that the underlying hedged item is recognized in earnings.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2019, Schlumberger had fixed rate debt aggregating $13.5 billion and variable rate debt aggregating $3.6 billion, after taking into account the effect of interest rate swaps.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generates revenue in more than 120 countries. Schlumberger’s functional currency is primarily the US dollar. However, outside the United States, a significant portion of Schlumberger’s expenses are incurred in foreign currencies. Therefore, when the US dollar weakens (strengthens) in relation to the foreign currencies of the countries in which Schlumberger conducts business, the US dollar-reported expenses will increase (decrease).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denominated in currencies other than the functional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 reclassified</w:t>
      </w:r>
      <w:r>
        <w:rPr>
          <w:rFonts w:ascii="Arial" w:cs="Arial" w:eastAsia="Arial" w:hAnsi="Arial"/>
          <w:sz w:val="17"/>
          <w:szCs w:val="17"/>
          <w:i w:val="1"/>
          <w:iCs w:val="1"/>
          <w:color w:val="auto"/>
        </w:rPr>
        <w:t xml:space="preserve"> </w:t>
      </w:r>
      <w:r>
        <w:rPr>
          <w:rFonts w:ascii="Arial" w:cs="Arial" w:eastAsia="Arial" w:hAnsi="Arial"/>
          <w:sz w:val="17"/>
          <w:szCs w:val="17"/>
          <w:color w:val="auto"/>
        </w:rPr>
        <w:t>into earnings in the same period or periods that the hedged item is recognized in earnings.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fair value of the hedged item.</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2019, contracts were outstanding for the US dollar equivalent of $4.4 billion in various foreign currencies, of which $1.1 billion relates to hedges of debt denominated in currencies other than the functional currency.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At June 30, 2019, Schlumberger recognized a cumulative $13 million loss in </w:t>
      </w:r>
      <w:r>
        <w:rPr>
          <w:rFonts w:ascii="Arial" w:cs="Arial" w:eastAsia="Arial" w:hAnsi="Arial"/>
          <w:sz w:val="17"/>
          <w:szCs w:val="17"/>
          <w:i w:val="1"/>
          <w:iCs w:val="1"/>
          <w:color w:val="auto"/>
        </w:rPr>
        <w:t>Accumulated Other Comprehensive</w:t>
      </w:r>
      <w:r>
        <w:rPr>
          <w:rFonts w:ascii="Arial" w:cs="Arial" w:eastAsia="Arial" w:hAnsi="Arial"/>
          <w:sz w:val="17"/>
          <w:szCs w:val="17"/>
          <w:color w:val="auto"/>
        </w:rPr>
        <w:t xml:space="preserve"> Loss relating to the revaluation of foreign currency forward contracts, cross-currency swaps and changes in the fair value of interest-rate swaps designated as cash flow hedges.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 xml:space="preserve">The effect of derivative instruments designated as fair value and cash flow hedges, and those not designated as hedges, on the </w:t>
      </w:r>
      <w:r>
        <w:rPr>
          <w:rFonts w:ascii="Arial" w:cs="Arial" w:eastAsia="Arial" w:hAnsi="Arial"/>
          <w:sz w:val="16"/>
          <w:szCs w:val="16"/>
          <w:i w:val="1"/>
          <w:iCs w:val="1"/>
          <w:color w:val="auto"/>
        </w:rPr>
        <w:t>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w:t>
      </w:r>
      <w:r>
        <w:rPr>
          <w:rFonts w:ascii="Arial" w:cs="Arial" w:eastAsia="Arial" w:hAnsi="Arial"/>
          <w:sz w:val="18"/>
          <w:szCs w:val="18"/>
          <w:color w:val="auto"/>
        </w:rPr>
        <w:t>was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4"/>
                <w:szCs w:val="14"/>
                <w:i w:val="1"/>
                <w:iCs w:val="1"/>
                <w:color w:val="auto"/>
                <w:w w:val="93"/>
              </w:rPr>
              <w:t>(Stated in millions)</w:t>
            </w:r>
          </w:p>
        </w:tc>
        <w:tc>
          <w:tcPr>
            <w:tcW w:w="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6"/>
                <w:szCs w:val="16"/>
                <w:b w:val="1"/>
                <w:bCs w:val="1"/>
                <w:color w:val="auto"/>
                <w:w w:val="91"/>
              </w:rPr>
              <w:t>Gain (Loss) Recognized in Income</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6"/>
                <w:szCs w:val="16"/>
                <w:b w:val="1"/>
                <w:bCs w:val="1"/>
                <w:color w:val="auto"/>
              </w:rPr>
              <w:t>Second Quarter</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Consolidated Statement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251"/>
              <w:spacing w:after="0"/>
              <w:rPr>
                <w:sz w:val="20"/>
                <w:szCs w:val="20"/>
                <w:color w:val="auto"/>
              </w:rPr>
            </w:pPr>
            <w:r>
              <w:rPr>
                <w:rFonts w:ascii="Arial" w:cs="Arial" w:eastAsia="Arial" w:hAnsi="Arial"/>
                <w:sz w:val="16"/>
                <w:szCs w:val="16"/>
                <w:color w:val="auto"/>
                <w:w w:val="95"/>
              </w:rPr>
              <w:t>2018</w:t>
            </w:r>
          </w:p>
        </w:tc>
        <w:tc>
          <w:tcPr>
            <w:tcW w:w="140" w:type="dxa"/>
            <w:vAlign w:val="bottom"/>
          </w:tcPr>
          <w:p>
            <w:pPr>
              <w:spacing w:after="0"/>
              <w:rPr>
                <w:sz w:val="18"/>
                <w:szCs w:val="18"/>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Income Classification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6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Cross currency swaps</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280" w:type="dxa"/>
            <w:vAlign w:val="bottom"/>
            <w:gridSpan w:val="2"/>
          </w:tcPr>
          <w:p>
            <w:pPr>
              <w:ind w:left="8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Derivatives designated as cash flow hedges:</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contracts</w:t>
            </w:r>
          </w:p>
        </w:tc>
        <w:tc>
          <w:tcPr>
            <w:tcW w:w="1280" w:type="dxa"/>
            <w:vAlign w:val="bottom"/>
            <w:gridSpan w:val="2"/>
            <w:shd w:val="clear" w:color="auto" w:fill="CFF0FC"/>
          </w:tcPr>
          <w:p>
            <w:pPr>
              <w:jc w:val="right"/>
              <w:ind w:right="522"/>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w:t>
            </w:r>
          </w:p>
        </w:tc>
        <w:tc>
          <w:tcPr>
            <w:tcW w:w="820" w:type="dxa"/>
            <w:vAlign w:val="bottom"/>
            <w:gridSpan w:val="2"/>
            <w:shd w:val="clear" w:color="auto" w:fill="CFF0FC"/>
          </w:tcPr>
          <w:p>
            <w:pPr>
              <w:jc w:val="right"/>
              <w:ind w:right="54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w:t>
            </w:r>
          </w:p>
        </w:tc>
        <w:tc>
          <w:tcPr>
            <w:tcW w:w="4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ind w:left="80"/>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Cross currency swaps</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Derivatives not designated as hedges:</w:t>
            </w: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280" w:type="dxa"/>
            <w:vAlign w:val="bottom"/>
            <w:gridSpan w:val="2"/>
            <w:shd w:val="clear" w:color="auto" w:fill="CFF0FC"/>
          </w:tcPr>
          <w:p>
            <w:pPr>
              <w:jc w:val="right"/>
              <w:ind w:right="522"/>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(14)</w:t>
            </w:r>
          </w:p>
        </w:tc>
        <w:tc>
          <w:tcPr>
            <w:tcW w:w="820" w:type="dxa"/>
            <w:vAlign w:val="bottom"/>
            <w:gridSpan w:val="2"/>
            <w:shd w:val="clear" w:color="auto" w:fill="CFF0FC"/>
          </w:tcPr>
          <w:p>
            <w:pPr>
              <w:jc w:val="right"/>
              <w:ind w:right="54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(8)</w:t>
            </w:r>
          </w:p>
        </w:tc>
        <w:tc>
          <w:tcPr>
            <w:tcW w:w="4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ind w:left="80"/>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Segment Information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Second Quarter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color w:val="auto"/>
              </w:rPr>
              <w:t>Second Quarter 2018</w:t>
            </w:r>
          </w:p>
        </w:tc>
      </w:tr>
      <w:tr>
        <w:trPr>
          <w:trHeight w:val="218"/>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r>
      <w:tr>
        <w:trPr>
          <w:trHeight w:val="230"/>
        </w:trPr>
        <w:tc>
          <w:tcPr>
            <w:tcW w:w="4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Before</w:t>
            </w:r>
          </w:p>
        </w:tc>
      </w:tr>
      <w:tr>
        <w:trPr>
          <w:trHeight w:val="234"/>
        </w:trPr>
        <w:tc>
          <w:tcPr>
            <w:tcW w:w="4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0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Drilling</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Cameron</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(115)</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4280" w:type="dxa"/>
            <w:vAlign w:val="bottom"/>
          </w:tcPr>
          <w:p>
            <w:pPr>
              <w:ind w:left="260"/>
              <w:spacing w:after="0"/>
              <w:rPr>
                <w:sz w:val="20"/>
                <w:szCs w:val="20"/>
                <w:color w:val="auto"/>
              </w:rPr>
            </w:pPr>
            <w:r>
              <w:rPr>
                <w:rFonts w:ascii="Arial" w:cs="Arial" w:eastAsia="Arial" w:hAnsi="Arial"/>
                <w:sz w:val="18"/>
                <w:szCs w:val="18"/>
                <w:color w:val="auto"/>
              </w:rPr>
              <w:t>Pretax segment operating income</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r>
      <w:tr>
        <w:trPr>
          <w:trHeight w:val="223"/>
        </w:trPr>
        <w:tc>
          <w:tcPr>
            <w:tcW w:w="428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520" w:right="20" w:hanging="512"/>
        <w:spacing w:after="0" w:line="193" w:lineRule="auto"/>
        <w:tabs>
          <w:tab w:leader="none" w:pos="520" w:val="left"/>
        </w:tabs>
        <w:numPr>
          <w:ilvl w:val="0"/>
          <w:numId w:val="12"/>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 w:lineRule="exact"/>
        <w:rPr>
          <w:rFonts w:ascii="Arial" w:cs="Arial" w:eastAsia="Arial" w:hAnsi="Arial"/>
          <w:sz w:val="28"/>
          <w:szCs w:val="28"/>
          <w:color w:val="auto"/>
          <w:vertAlign w:val="superscript"/>
        </w:rPr>
      </w:pPr>
    </w:p>
    <w:p>
      <w:pPr>
        <w:ind w:left="520" w:hanging="512"/>
        <w:spacing w:after="0" w:line="231" w:lineRule="auto"/>
        <w:tabs>
          <w:tab w:leader="none" w:pos="520" w:val="left"/>
        </w:tabs>
        <w:numPr>
          <w:ilvl w:val="0"/>
          <w:numId w:val="12"/>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($2 million in 2019; $1 million in 2018).</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($10 million in 2019; $9 million in 2018).</w:t>
      </w:r>
    </w:p>
    <w:p>
      <w:pPr>
        <w:spacing w:after="0" w:line="118" w:lineRule="exact"/>
        <w:rPr>
          <w:rFonts w:ascii="Arial" w:cs="Arial" w:eastAsia="Arial" w:hAnsi="Arial"/>
          <w:sz w:val="22"/>
          <w:szCs w:val="22"/>
          <w:color w:val="auto"/>
          <w:vertAlign w:val="superscript"/>
        </w:rPr>
      </w:pPr>
    </w:p>
    <w:p>
      <w:pPr>
        <w:ind w:left="520" w:hanging="512"/>
        <w:spacing w:after="0" w:line="182" w:lineRule="auto"/>
        <w:tabs>
          <w:tab w:leader="none" w:pos="52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w:t>
      </w:r>
      <w:r>
        <w:rPr>
          <w:rFonts w:ascii="Arial" w:cs="Arial" w:eastAsia="Arial" w:hAnsi="Arial"/>
          <w:sz w:val="14"/>
          <w:szCs w:val="14"/>
          <w:i w:val="1"/>
          <w:iCs w:val="1"/>
          <w:color w:val="auto"/>
        </w:rPr>
        <w:t>– Charges and Credits.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Six Months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Six Months 2018</w:t>
            </w:r>
          </w:p>
        </w:tc>
      </w:tr>
      <w:tr>
        <w:trPr>
          <w:trHeight w:val="218"/>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4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4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0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3,192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Drilling</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5,967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Cameron</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(230)</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(96)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r>
      <w:tr>
        <w:trPr>
          <w:trHeight w:val="223"/>
        </w:trPr>
        <w:tc>
          <w:tcPr>
            <w:tcW w:w="4280" w:type="dxa"/>
            <w:vAlign w:val="bottom"/>
          </w:tcPr>
          <w:p>
            <w:pPr>
              <w:ind w:left="260"/>
              <w:spacing w:after="0"/>
              <w:rPr>
                <w:sz w:val="20"/>
                <w:szCs w:val="20"/>
                <w:color w:val="auto"/>
              </w:rPr>
            </w:pPr>
            <w:r>
              <w:rPr>
                <w:rFonts w:ascii="Arial" w:cs="Arial" w:eastAsia="Arial" w:hAnsi="Arial"/>
                <w:sz w:val="18"/>
                <w:szCs w:val="18"/>
                <w:color w:val="auto"/>
              </w:rPr>
              <w:t>Pretax segment operating income</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(511)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(464)</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(266)</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23"/>
        </w:trPr>
        <w:tc>
          <w:tcPr>
            <w:tcW w:w="428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3" w:lineRule="exact"/>
        <w:rPr>
          <w:sz w:val="20"/>
          <w:szCs w:val="20"/>
          <w:color w:val="auto"/>
        </w:rPr>
      </w:pPr>
    </w:p>
    <w:p>
      <w:pPr>
        <w:ind w:left="520" w:right="20" w:hanging="512"/>
        <w:spacing w:after="0" w:line="193" w:lineRule="auto"/>
        <w:tabs>
          <w:tab w:leader="none" w:pos="520" w:val="left"/>
        </w:tabs>
        <w:numPr>
          <w:ilvl w:val="0"/>
          <w:numId w:val="13"/>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 w:lineRule="exact"/>
        <w:rPr>
          <w:rFonts w:ascii="Arial" w:cs="Arial" w:eastAsia="Arial" w:hAnsi="Arial"/>
          <w:sz w:val="28"/>
          <w:szCs w:val="28"/>
          <w:color w:val="auto"/>
          <w:vertAlign w:val="superscript"/>
        </w:rPr>
      </w:pPr>
    </w:p>
    <w:p>
      <w:pPr>
        <w:ind w:left="520" w:hanging="512"/>
        <w:spacing w:after="0" w:line="231" w:lineRule="auto"/>
        <w:tabs>
          <w:tab w:leader="none" w:pos="520" w:val="left"/>
        </w:tabs>
        <w:numPr>
          <w:ilvl w:val="0"/>
          <w:numId w:val="13"/>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($5 million in 2019; $4 million in 2018).</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($20 million in 2019; $21 million in 2018).</w:t>
      </w:r>
    </w:p>
    <w:p>
      <w:pPr>
        <w:spacing w:after="0" w:line="118" w:lineRule="exact"/>
        <w:rPr>
          <w:rFonts w:ascii="Arial" w:cs="Arial" w:eastAsia="Arial" w:hAnsi="Arial"/>
          <w:sz w:val="22"/>
          <w:szCs w:val="22"/>
          <w:color w:val="auto"/>
          <w:vertAlign w:val="superscript"/>
        </w:rPr>
      </w:pPr>
    </w:p>
    <w:p>
      <w:pPr>
        <w:ind w:left="520" w:hanging="512"/>
        <w:spacing w:after="0" w:line="182" w:lineRule="auto"/>
        <w:tabs>
          <w:tab w:leader="none" w:pos="52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3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tcPr>
          <w:p>
            <w:pPr>
              <w:spacing w:after="0"/>
              <w:rPr>
                <w:sz w:val="19"/>
                <w:szCs w:val="19"/>
                <w:color w:val="auto"/>
              </w:rPr>
            </w:pPr>
          </w:p>
        </w:tc>
        <w:tc>
          <w:tcPr>
            <w:tcW w:w="2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5,539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Latin America</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2,107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3,602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Middle East &amp; Asia</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2,452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4,790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16,149</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3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91"/>
              </w:rPr>
              <w:t>Second Quarter 2019</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Eliminations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America</w:t>
            </w: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International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&amp;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2,421</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3,077</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1,237</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(115)</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8,269</w:t>
            </w:r>
          </w:p>
        </w:tc>
        <w:tc>
          <w:tcPr>
            <w:tcW w:w="1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69"/>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color w:val="auto"/>
                <w:w w:val="88"/>
              </w:rPr>
              <w:t>Second Quarter 2018</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North</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America</w:t>
            </w:r>
          </w:p>
        </w:tc>
        <w:tc>
          <w:tcPr>
            <w:tcW w:w="12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International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&amp;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8,303</w:t>
            </w:r>
          </w:p>
        </w:tc>
        <w:tc>
          <w:tcPr>
            <w:tcW w:w="1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1"/>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90"/>
              </w:rPr>
              <w:t>Six Months 2019</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Eliminations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America</w:t>
            </w: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International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&amp;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2,568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4,808</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5,967</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2,412</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(186)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(230)</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16,149</w:t>
            </w:r>
          </w:p>
        </w:tc>
        <w:tc>
          <w:tcPr>
            <w:tcW w:w="1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69"/>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color w:val="auto"/>
                <w:w w:val="92"/>
              </w:rPr>
              <w:t>Six Months 2018</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North</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America</w:t>
            </w:r>
          </w:p>
        </w:tc>
        <w:tc>
          <w:tcPr>
            <w:tcW w:w="12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International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&amp;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16,131</w:t>
            </w:r>
          </w:p>
        </w:tc>
        <w:tc>
          <w:tcPr>
            <w:tcW w:w="1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$0.2 billion at June 30, 2019 and December 31, 2018.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nature of its business, Schlumberger does not have significant backlog. Total backlog was $3.0 billion at June 30, 2019, of which approximately 60% is expected to be recognized as revenue over the next 12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 xml:space="preserve">Billings and cash collections in excess of revenue was $1.0 billion at June 30, 2019 and $0.9 billion at December 31, 2018. Such amounts are included within </w:t>
      </w: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275"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(credit) for the Schlumberger pension plans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2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Second Quarter</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Six Months</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2018</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2018</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rPr>
              <w:t>Int'l</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US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Int'l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Int'l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19"/>
                <w:szCs w:val="19"/>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Int'l</w:t>
            </w:r>
          </w:p>
        </w:tc>
        <w:tc>
          <w:tcPr>
            <w:tcW w:w="80" w:type="dxa"/>
            <w:vAlign w:val="bottom"/>
          </w:tcPr>
          <w:p>
            <w:pPr>
              <w:spacing w:after="0"/>
              <w:rPr>
                <w:sz w:val="19"/>
                <w:szCs w:val="19"/>
                <w:color w:val="auto"/>
              </w:rPr>
            </w:pPr>
          </w:p>
        </w:tc>
      </w:tr>
      <w:tr>
        <w:trPr>
          <w:trHeight w:val="223"/>
        </w:trPr>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5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3"/>
              </w:rPr>
              <w:t>(57)</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(148)</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3"/>
              </w:rPr>
              <w:t>(61)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(115)</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5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r>
      <w:tr>
        <w:trPr>
          <w:trHeight w:val="223"/>
        </w:trPr>
        <w:tc>
          <w:tcPr>
            <w:tcW w:w="2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credit for the Schlumberger US postretirement medical plan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4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Second Quarter</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7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Interest cost</w:t>
            </w: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w:t>
            </w: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8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178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shd w:val="clear" w:color="auto" w:fill="CFF0FC"/>
          </w:tcPr>
          <w:p>
            <w:pPr>
              <w:spacing w:after="0"/>
              <w:rPr>
                <w:sz w:val="19"/>
                <w:szCs w:val="19"/>
                <w:color w:val="auto"/>
              </w:rPr>
            </w:pPr>
          </w:p>
        </w:tc>
        <w:tc>
          <w:tcPr>
            <w:tcW w:w="178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w:t>
            </w: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w:t>
            </w:r>
          </w:p>
        </w:tc>
        <w:tc>
          <w:tcPr>
            <w:tcW w:w="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2019 Compared to First Quarter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Second Quarter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8"/>
                <w:szCs w:val="18"/>
                <w:color w:val="auto"/>
              </w:rPr>
              <w:t>First Quarter 2019</w:t>
            </w:r>
          </w:p>
        </w:tc>
      </w:tr>
      <w:tr>
        <w:trPr>
          <w:trHeight w:val="218"/>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4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4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0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Drilling</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Cameron</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(115)</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w:t>
            </w:r>
          </w:p>
        </w:tc>
      </w:tr>
      <w:tr>
        <w:trPr>
          <w:trHeight w:val="223"/>
        </w:trPr>
        <w:tc>
          <w:tcPr>
            <w:tcW w:w="4280" w:type="dxa"/>
            <w:vAlign w:val="bottom"/>
          </w:tcPr>
          <w:p>
            <w:pPr>
              <w:ind w:left="260"/>
              <w:spacing w:after="0"/>
              <w:rPr>
                <w:sz w:val="20"/>
                <w:szCs w:val="20"/>
                <w:color w:val="auto"/>
              </w:rPr>
            </w:pPr>
            <w:r>
              <w:rPr>
                <w:rFonts w:ascii="Arial" w:cs="Arial" w:eastAsia="Arial" w:hAnsi="Arial"/>
                <w:sz w:val="18"/>
                <w:szCs w:val="18"/>
                <w:color w:val="auto"/>
              </w:rPr>
              <w:t>Pretax segment operating income</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w:t>
            </w:r>
          </w:p>
        </w:tc>
      </w:tr>
      <w:tr>
        <w:trPr>
          <w:trHeight w:val="223"/>
        </w:trPr>
        <w:tc>
          <w:tcPr>
            <w:tcW w:w="4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right="20" w:hanging="512"/>
        <w:spacing w:after="0" w:line="193" w:lineRule="auto"/>
        <w:tabs>
          <w:tab w:leader="none" w:pos="520" w:val="left"/>
        </w:tabs>
        <w:numPr>
          <w:ilvl w:val="0"/>
          <w:numId w:val="15"/>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 w:lineRule="exact"/>
        <w:rPr>
          <w:rFonts w:ascii="Arial" w:cs="Arial" w:eastAsia="Arial" w:hAnsi="Arial"/>
          <w:sz w:val="28"/>
          <w:szCs w:val="28"/>
          <w:color w:val="auto"/>
          <w:vertAlign w:val="superscript"/>
        </w:rPr>
      </w:pPr>
    </w:p>
    <w:p>
      <w:pPr>
        <w:ind w:left="520" w:hanging="512"/>
        <w:spacing w:after="0" w:line="231" w:lineRule="auto"/>
        <w:tabs>
          <w:tab w:leader="none" w:pos="520" w:val="left"/>
        </w:tabs>
        <w:numPr>
          <w:ilvl w:val="0"/>
          <w:numId w:val="15"/>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($2 million in Q2 2019; $2 million in Q1 2019).</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($10 million in Q2 2019; $11 million in Q1 2019).</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revenue of $8.3 billion increased 5% sequentially with North America revenue of $2.8 billion increasing 2% while international revenue of $5.5 billion increased 8%.</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revenue growth of 8% sequentially, was led by the Europe/CIS/Africa area, where revenue increased sequentially by 11% driven by activity that strengthened beyond the seasonal recovery in the Russia &amp; Central Asia and United Kingdom &amp; Continental Europe GeoMarkets. Sequential international growth was also driven by a 19% improvement in the Far East Asia &amp; Australia GeoMarket and a 12% increase in the Latin America area, while revenue in the Middle East region grew 3%.</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North America revenue improved 2% sequentially, driven by a 10% sequential increase in offshore revenue from stronger exploration-led activity driven mainly by WesternGeco</w:t>
      </w:r>
      <w:r>
        <w:rPr>
          <w:rFonts w:ascii="Arial" w:cs="Arial" w:eastAsia="Arial" w:hAnsi="Arial"/>
          <w:sz w:val="14"/>
          <w:szCs w:val="14"/>
          <w:color w:val="auto"/>
        </w:rPr>
        <w:t>®</w:t>
      </w:r>
      <w:r>
        <w:rPr>
          <w:rFonts w:ascii="Arial" w:cs="Arial" w:eastAsia="Arial" w:hAnsi="Arial"/>
          <w:sz w:val="17"/>
          <w:szCs w:val="17"/>
          <w:color w:val="auto"/>
        </w:rPr>
        <w:t xml:space="preserve"> multiclient seismic license sales. North America land revenue increased 1% sequentially despite the impact of the spring breakup in Canada, as OneStim</w:t>
      </w:r>
      <w:r>
        <w:rPr>
          <w:rFonts w:ascii="Arial" w:cs="Arial" w:eastAsia="Arial" w:hAnsi="Arial"/>
          <w:sz w:val="14"/>
          <w:szCs w:val="14"/>
          <w:color w:val="auto"/>
        </w:rPr>
        <w:t>®</w:t>
      </w:r>
      <w:r>
        <w:rPr>
          <w:rFonts w:ascii="Arial" w:cs="Arial" w:eastAsia="Arial" w:hAnsi="Arial"/>
          <w:sz w:val="17"/>
          <w:szCs w:val="17"/>
          <w:color w:val="auto"/>
        </w:rPr>
        <w:t xml:space="preserve"> activity was higher offset by weak hydraulic fracturing pricing and a general decrease in drilling activity.</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a macro perspective, Schlumberger expects oil market sentiments to remain balanced. The oil demand forecast for 2019 has been reduced slightly on trade war fears and current global geopolitical tensions, but Schlumberger does not anticipate a change in the structural demand outlook for the mid-term. On the supply side, Schlumberger continues to see US shale oil as the only near- to medium-term source of global production growth, albeit at a slowing growth rate, as exploration &amp; production (E&amp;P) operators continue to transition from an emphasis on growth to a focus on cash and returns, with consequent restraining effects on investment levels. These effects, combined with the decision by OPEC and Russia to extend production cuts through the first quarter of 2020, are likely to keep oil prices range bound around present levels. Although the markets are well supplied from production added by projects that were sanctioned before 2015, this added supply will begin to fall in 2020 and create risk for the future as the decline rates in many mature production basins become an increasingly significant challenge. In addition, while the number of new projects Schlumberger expects to receive final investment decision approval in 2019 is likely to increase again for the fourth consecutive year, their size and number account for supply additions far below the required global annual production replacement rates. Schlumberger therefore maintains its view that international E&amp;P investment will grow 7% to 8% in 2019, further supported by the increase in international rig count. In contrast, spending in North America land is tracking Schlumberger's expectations of a 10% decline this year.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Reservoir Characterization revenue of $1.6 billion increased 7% sequentially due to higher activity beyond the seasonal rebounds from winter in the Northern Hemisphere. Growth was driven by higher offshore exploration activity internationally benefiting Wireline and Testing Services. The increase in Reservoir Characterization revenue was also driven by higher WesternGeco multiclient seismic license sales in the Mexico Bay of Campeche and the US Gulf of Mexico.</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Reservoir Characterization pretax operating margin of 20% was 81 basis points (bps) higher sequentially due to the seasonal recovery in higher-margin Wireline activity and stronger WesternGeco multiclient seismic license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Drilling revenue of $2.4 billion increased 1% sequentially. Stronger international activity beyond the seasonal rebounds in the Northern Hemisphere was supported by the international rig count increase of 6%, but growth was offset by reduced shale drilling activity in North America land as the US land rig count declined 5%. International growth was driven by higher activity benefiting M-I SWACO and Drilling &amp; Measurements.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Drilling pretax operating margin of 12% declined 45 bps sequentially as margin improvements internationally for Drilling &amp; Measurements and M-I SWACO were more than offset by lower margins from Integrated Drilling Services (IDS) projects in the Middle East region.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Production revenue of $3.1 billion increased 6% sequentially driven primarily by higher international activity for Well Services. Increased artificial lift sales across the international areas, higher intelligent completions activity in Saudi Arabia, and increased Schlumberger Production Management (SPM) project activity mainly in Ecuador, all contributed to the increase in Production revenue. In North America land, despite the impact of the spring breakup in Canada, Production revenue was up 3% sequentially driven by higher cementing activity and improved OneStim hydraulic fracturing fleet utilization on increased market demand. These effects, however, were partially offset by softer hydraulic fracturing pricing.</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Production pretax operating margin of 8% was essentially flat sequentially as the improvement in international margin from higher activity was offset by the effects of pricing pressure in North America 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Cameron revenue of $1.2 billion increased 5% sequentially driven by higher international revenue for OneSubsea, Surface Systems, and Drilling Systems. By geography, international revenue grew 24% sequentially while North America revenue was essentially flat.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Cameron pretax operating margin of 13% increased 94 bps sequentially primarily due to improved profitability in OneSubsea and Surface Systems.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Second Quarter 2019 Compared to Second Quarter 2018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Second Quarter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color w:val="auto"/>
              </w:rPr>
              <w:t>Second Quarter 2018</w:t>
            </w:r>
          </w:p>
        </w:tc>
      </w:tr>
      <w:tr>
        <w:trPr>
          <w:trHeight w:val="218"/>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r>
      <w:tr>
        <w:trPr>
          <w:trHeight w:val="230"/>
        </w:trPr>
        <w:tc>
          <w:tcPr>
            <w:tcW w:w="4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Before</w:t>
            </w:r>
          </w:p>
        </w:tc>
      </w:tr>
      <w:tr>
        <w:trPr>
          <w:trHeight w:val="234"/>
        </w:trPr>
        <w:tc>
          <w:tcPr>
            <w:tcW w:w="4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0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Drilling</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Cameron</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(115)</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4280" w:type="dxa"/>
            <w:vAlign w:val="bottom"/>
          </w:tcPr>
          <w:p>
            <w:pPr>
              <w:ind w:left="260"/>
              <w:spacing w:after="0"/>
              <w:rPr>
                <w:sz w:val="20"/>
                <w:szCs w:val="20"/>
                <w:color w:val="auto"/>
              </w:rPr>
            </w:pPr>
            <w:r>
              <w:rPr>
                <w:rFonts w:ascii="Arial" w:cs="Arial" w:eastAsia="Arial" w:hAnsi="Arial"/>
                <w:sz w:val="18"/>
                <w:szCs w:val="18"/>
                <w:color w:val="auto"/>
              </w:rPr>
              <w:t>Pretax segment operating income</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r>
      <w:tr>
        <w:trPr>
          <w:trHeight w:val="223"/>
        </w:trPr>
        <w:tc>
          <w:tcPr>
            <w:tcW w:w="428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right="20" w:hanging="512"/>
        <w:spacing w:after="0" w:line="193" w:lineRule="auto"/>
        <w:tabs>
          <w:tab w:leader="none" w:pos="520"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 w:lineRule="exact"/>
        <w:rPr>
          <w:rFonts w:ascii="Arial" w:cs="Arial" w:eastAsia="Arial" w:hAnsi="Arial"/>
          <w:sz w:val="28"/>
          <w:szCs w:val="28"/>
          <w:color w:val="auto"/>
          <w:vertAlign w:val="superscript"/>
        </w:rPr>
      </w:pPr>
    </w:p>
    <w:p>
      <w:pPr>
        <w:ind w:left="520" w:hanging="512"/>
        <w:spacing w:after="0" w:line="231" w:lineRule="auto"/>
        <w:tabs>
          <w:tab w:leader="none" w:pos="520"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($2 million in 2019; $1 million in 2018).</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($10 million in 2019; $9 million in 2018).</w:t>
      </w:r>
    </w:p>
    <w:p>
      <w:pPr>
        <w:spacing w:after="0" w:line="118" w:lineRule="exact"/>
        <w:rPr>
          <w:rFonts w:ascii="Arial" w:cs="Arial" w:eastAsia="Arial" w:hAnsi="Arial"/>
          <w:sz w:val="22"/>
          <w:szCs w:val="22"/>
          <w:color w:val="auto"/>
          <w:vertAlign w:val="superscript"/>
        </w:rPr>
      </w:pPr>
    </w:p>
    <w:p>
      <w:pPr>
        <w:ind w:left="520" w:hanging="512"/>
        <w:spacing w:after="0" w:line="182" w:lineRule="auto"/>
        <w:tabs>
          <w:tab w:leader="none" w:pos="52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described in detail in Note 2 to the </w:t>
      </w:r>
      <w:r>
        <w:rPr>
          <w:rFonts w:ascii="Arial" w:cs="Arial" w:eastAsia="Arial" w:hAnsi="Arial"/>
          <w:sz w:val="14"/>
          <w:szCs w:val="14"/>
          <w:i w:val="1"/>
          <w:iCs w:val="1"/>
          <w:color w:val="auto"/>
        </w:rPr>
        <w:t>Consolidated Financial Statements.</w:t>
      </w:r>
    </w:p>
    <w:p>
      <w:pPr>
        <w:spacing w:after="0" w:line="2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Second-quarter 2019 revenue of $8.3 billion was essentially flat year-on-year as North America revenue declined 11% year-on-year, while international revenue increased by 8%. These results reflect the normalization in global E&amp;P spend that Schlumberger anticipated as international investment increased in response to the accelerating decline in the mature production base, and North America land investment decreased due to E&amp;P operator cash flow constraints.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Second-quarter 2019 revenue of $1.6 billion was essentially flat year-on-year. Higher Wireline, Testing, and Software Integrated Solutions revenue from increased international activity was offset by reduced OneSurface project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decreased 153 bps to 20% primarily due to reduced profitability from OneSurface as projects wound down at the end of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2019 revenue of $2.4 billion increased 8% year-on-year primarily due to higher demand for drilling services, largely in the international markets that benefited M-I SWACO, IDS, and Drilling &amp; Measurements.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decreased 53 bps to 12% despite higher revenue as margins were affected by competitive pricing, and start-up costs from a number of integrated contracts internationally.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Second-quarter 2019 revenue of $3.1 billion decreased 5% year-on-year with most of the revenue decline attributable to lower OneStim activity in North America as customers reduced spending due to higher cost of capital, lower borrowing capacity and expectation of better returns from their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207 bps to 8% primarily due to reduced profitability in OneStim in North America.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Second-quarter 2019 revenue of $1.2 billion decreased 4% year-on-year due to lower revenue for OneSubsea, Drilling Systems, and Valves &amp; Measurement.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was essentially flat at 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 Months 2019 Compared to Six Months 2018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Six Months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Six Months 2018</w:t>
            </w:r>
          </w:p>
        </w:tc>
      </w:tr>
      <w:tr>
        <w:trPr>
          <w:trHeight w:val="218"/>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4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4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0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3,192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Drilling</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5,967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Cameron</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(230)</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(96)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r>
      <w:tr>
        <w:trPr>
          <w:trHeight w:val="223"/>
        </w:trPr>
        <w:tc>
          <w:tcPr>
            <w:tcW w:w="4280" w:type="dxa"/>
            <w:vAlign w:val="bottom"/>
          </w:tcPr>
          <w:p>
            <w:pPr>
              <w:ind w:left="260"/>
              <w:spacing w:after="0"/>
              <w:rPr>
                <w:sz w:val="20"/>
                <w:szCs w:val="20"/>
                <w:color w:val="auto"/>
              </w:rPr>
            </w:pPr>
            <w:r>
              <w:rPr>
                <w:rFonts w:ascii="Arial" w:cs="Arial" w:eastAsia="Arial" w:hAnsi="Arial"/>
                <w:sz w:val="18"/>
                <w:szCs w:val="18"/>
                <w:color w:val="auto"/>
              </w:rPr>
              <w:t>Pretax segment operating income</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(511)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(464)</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(266)</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23"/>
        </w:trPr>
        <w:tc>
          <w:tcPr>
            <w:tcW w:w="428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4" w:lineRule="exact"/>
        <w:rPr>
          <w:sz w:val="20"/>
          <w:szCs w:val="20"/>
          <w:color w:val="auto"/>
        </w:rPr>
      </w:pPr>
    </w:p>
    <w:p>
      <w:pPr>
        <w:ind w:left="520" w:right="20" w:hanging="512"/>
        <w:spacing w:after="0" w:line="193" w:lineRule="auto"/>
        <w:tabs>
          <w:tab w:leader="none" w:pos="52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4" w:lineRule="exact"/>
        <w:rPr>
          <w:rFonts w:ascii="Arial" w:cs="Arial" w:eastAsia="Arial" w:hAnsi="Arial"/>
          <w:sz w:val="28"/>
          <w:szCs w:val="28"/>
          <w:color w:val="auto"/>
          <w:vertAlign w:val="superscript"/>
        </w:rPr>
      </w:pPr>
    </w:p>
    <w:p>
      <w:pPr>
        <w:ind w:left="520" w:hanging="512"/>
        <w:spacing w:after="0"/>
        <w:tabs>
          <w:tab w:leader="none" w:pos="52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($5 million in 2019; $4 million in 2018).</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($20 million in 2019; $21 million in 2018).</w:t>
      </w:r>
    </w:p>
    <w:p>
      <w:pPr>
        <w:spacing w:after="0" w:line="118" w:lineRule="exact"/>
        <w:rPr>
          <w:rFonts w:ascii="Arial" w:cs="Arial" w:eastAsia="Arial" w:hAnsi="Arial"/>
          <w:sz w:val="22"/>
          <w:szCs w:val="22"/>
          <w:color w:val="auto"/>
          <w:vertAlign w:val="superscript"/>
        </w:rPr>
      </w:pPr>
    </w:p>
    <w:p>
      <w:pPr>
        <w:ind w:left="520" w:hanging="512"/>
        <w:spacing w:after="0" w:line="182" w:lineRule="auto"/>
        <w:tabs>
          <w:tab w:leader="none" w:pos="52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described in detail in Note 2 to the </w:t>
      </w:r>
      <w:r>
        <w:rPr>
          <w:rFonts w:ascii="Arial" w:cs="Arial" w:eastAsia="Arial" w:hAnsi="Arial"/>
          <w:sz w:val="14"/>
          <w:szCs w:val="14"/>
          <w:i w:val="1"/>
          <w:iCs w:val="1"/>
          <w:color w:val="auto"/>
        </w:rPr>
        <w:t>Consolidated Financial Statements.</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Six-month 2019 revenue of $16.1 billion was essentially flat year-on-year as international revenue increased 6% while North America land revenue declined 12%. These results reflect the normalization in global E&amp;P spend that Schlumberger anticipated as international investment increases in response to the accelerating decline in the mature production base, and North America land investment decreases due to E&amp;P operator cash flow constraints.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Six-month 2019 revenue of $3.2 billion was essentially flat year-on-year, driven primarily by higher Wireline and Testing from increased international activity that was offset by reduced OneSurface project revenue and the absence of WesternGeco marine seismic acquisition revenue following the divestiture of this business during the fourth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Year-on-year, pretax operating margin decreased 112 bps to 19% due to lower profitability from OneSurface as projects wound down at the end of 2018.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Six-month 2019 revenue of $4.8 billion increased 10% year-on-year primarily due to higher demand for drilling services, largely in the international markets that benefited M-I SWACO, IDS, and Drilling &amp; Measurements.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Year-on-year, pretax operating margin decreased 71 bps to 13% despite higher revenue as margins were affected by competitive pricing, and start-up costs from a number of integrated contracts internationally.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Six-month 2019 revenue of $6.0 billion decreased 4% year-on-year with most of the revenue decline attributable to lower OneStim activity in North America as customers reduced spending due to higher cost of capital, lower borrowing capacity, and expectation of better returns from their shareholders. This decline was partially offset by higher production revenue internationally, which benefited all other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100 bps to 8% primarily due to reduced profitability in OneStim in North America.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Six-month 2019 revenue of $2.4 billion decreased 7% year-on-year primarily due to lower revenue for OneSubsea.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63 bps to 12% primarily due to the reduced profitability in OneSubsea.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4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8"/>
                <w:szCs w:val="18"/>
                <w:b w:val="1"/>
                <w:bCs w:val="1"/>
                <w:color w:val="auto"/>
              </w:rPr>
              <w:t>Second Quarter</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1120" w:type="dxa"/>
            <w:vAlign w:val="bottom"/>
            <w:gridSpan w:val="2"/>
          </w:tcPr>
          <w:p>
            <w:pPr>
              <w:jc w:val="right"/>
              <w:ind w:right="45"/>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19"/>
                <w:szCs w:val="19"/>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0"/>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0"/>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six months ended June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3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Second Quarter</w:t>
            </w:r>
          </w:p>
        </w:tc>
        <w:tc>
          <w:tcPr>
            <w:tcW w:w="3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5"/>
              </w:rPr>
              <w:t>Six Months</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6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2018</w:t>
            </w:r>
          </w:p>
        </w:tc>
        <w:tc>
          <w:tcPr>
            <w:tcW w:w="18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2.2%</w:t>
            </w:r>
          </w:p>
        </w:tc>
        <w:tc>
          <w:tcPr>
            <w:tcW w:w="8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2.2%</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34"/>
        </w:trPr>
        <w:tc>
          <w:tcPr>
            <w:tcW w:w="646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8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effective tax rate for the second quarter of 2019 was 17% compared to 19% for the same period of 2018 as charges described in Note 2 </w:t>
      </w:r>
      <w:r>
        <w:rPr>
          <w:rFonts w:ascii="Arial" w:cs="Arial" w:eastAsia="Arial" w:hAnsi="Arial"/>
          <w:sz w:val="18"/>
          <w:szCs w:val="18"/>
          <w:i w:val="1"/>
          <w:iCs w:val="1"/>
          <w:color w:val="auto"/>
        </w:rPr>
        <w:t>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increased the effective tax rate for the second quarter of 2018 by two percentage points.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effective tax rate for the first six months of 2019 was 16% as compared to 18% for the same period of 2018. The charges described in Note 2 </w:t>
      </w:r>
      <w:r>
        <w:rPr>
          <w:rFonts w:ascii="Arial" w:cs="Arial" w:eastAsia="Arial" w:hAnsi="Arial"/>
          <w:sz w:val="18"/>
          <w:szCs w:val="18"/>
          <w:i w:val="1"/>
          <w:iCs w:val="1"/>
          <w:color w:val="auto"/>
        </w:rPr>
        <w:t>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increased the effective tax rate for the first six months of 2018 by one percentage point while the remaining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the geographic mix of earnings.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six months of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During the second quarter of 2018, Schlumberger recorded a $184 million pretax charge ($164 million after-tax) associated with headcount reductions, primarily to further streamline its support cost structure. This charge is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components of liquidity as well as changes in liquidity follow: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Jun.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Jun.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Dec. 31,</w:t>
            </w:r>
          </w:p>
        </w:tc>
      </w:tr>
      <w:tr>
        <w:trPr>
          <w:trHeight w:val="234"/>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Liquidity:</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882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50"/>
              <w:spacing w:after="0"/>
              <w:rPr>
                <w:sz w:val="20"/>
                <w:szCs w:val="20"/>
                <w:color w:val="auto"/>
              </w:rPr>
            </w:pPr>
            <w:r>
              <w:rPr>
                <w:rFonts w:ascii="Arial" w:cs="Arial" w:eastAsia="Arial" w:hAnsi="Arial"/>
                <w:sz w:val="18"/>
                <w:szCs w:val="18"/>
                <w:color w:val="auto"/>
              </w:rPr>
              <w:t>(3,736)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(1,407)</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(16,978)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tcPr>
          <w:p>
            <w:pPr>
              <w:jc w:val="right"/>
              <w:ind w:right="50"/>
              <w:spacing w:after="0"/>
              <w:rPr>
                <w:sz w:val="20"/>
                <w:szCs w:val="20"/>
                <w:color w:val="auto"/>
              </w:rPr>
            </w:pPr>
            <w:r>
              <w:rPr>
                <w:rFonts w:ascii="Arial" w:cs="Arial" w:eastAsia="Arial" w:hAnsi="Arial"/>
                <w:sz w:val="18"/>
                <w:szCs w:val="18"/>
                <w:color w:val="auto"/>
              </w:rPr>
              <w:t>(13,865)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(14,644)</w:t>
            </w:r>
          </w:p>
        </w:tc>
      </w:tr>
      <w:tr>
        <w:trPr>
          <w:trHeight w:val="223"/>
        </w:trPr>
        <w:tc>
          <w:tcPr>
            <w:tcW w:w="6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(14,728)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(14,552)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6720" w:type="dxa"/>
            <w:vAlign w:val="bottom"/>
          </w:tcPr>
          <w:p>
            <w:pPr>
              <w:spacing w:after="0"/>
              <w:rPr>
                <w:sz w:val="20"/>
                <w:szCs w:val="20"/>
                <w:color w:val="auto"/>
              </w:rPr>
            </w:pPr>
            <w:r>
              <w:rPr>
                <w:rFonts w:ascii="Arial" w:cs="Arial" w:eastAsia="Arial" w:hAnsi="Arial"/>
                <w:sz w:val="18"/>
                <w:szCs w:val="18"/>
                <w:b w:val="1"/>
                <w:bCs w:val="1"/>
                <w:color w:val="auto"/>
              </w:rPr>
              <w:t>Changes in Liquidity: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9"/>
          </w:tcPr>
          <w:p>
            <w:pPr>
              <w:jc w:val="right"/>
              <w:ind w:right="840"/>
              <w:spacing w:after="0"/>
              <w:rPr>
                <w:sz w:val="20"/>
                <w:szCs w:val="20"/>
                <w:color w:val="auto"/>
              </w:rPr>
            </w:pPr>
            <w:r>
              <w:rPr>
                <w:rFonts w:ascii="Arial" w:cs="Arial" w:eastAsia="Arial" w:hAnsi="Arial"/>
                <w:sz w:val="18"/>
                <w:szCs w:val="18"/>
                <w:b w:val="1"/>
                <w:bCs w:val="1"/>
                <w:color w:val="auto"/>
                <w:w w:val="93"/>
              </w:rPr>
              <w:t>Six Months Ended Jun. 30,</w:t>
            </w:r>
          </w:p>
        </w:tc>
      </w:tr>
      <w:tr>
        <w:trPr>
          <w:trHeight w:val="223"/>
        </w:trPr>
        <w:tc>
          <w:tcPr>
            <w:tcW w:w="67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2019</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(1,460)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(1,338)</w:t>
            </w: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(64)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(162)</w:t>
            </w:r>
          </w:p>
        </w:tc>
      </w:tr>
      <w:tr>
        <w:trPr>
          <w:trHeight w:val="223"/>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20" w:type="dxa"/>
            <w:vAlign w:val="bottom"/>
            <w:gridSpan w:val="2"/>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SPM investments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(434)</w:t>
            </w: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costs capitalized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(109)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r>
      <w:tr>
        <w:trPr>
          <w:trHeight w:val="223"/>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20" w:type="dxa"/>
            <w:vAlign w:val="bottom"/>
            <w:gridSpan w:val="2"/>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(199)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(200)</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(135)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Increase in net debt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20" w:type="dxa"/>
            <w:vAlign w:val="bottom"/>
            <w:gridSpan w:val="2"/>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(13,274)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(13,110)</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debt, end of period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(14,552)</w:t>
            </w:r>
          </w:p>
        </w:tc>
        <w:tc>
          <w:tcPr>
            <w:tcW w:w="120" w:type="dxa"/>
            <w:vAlign w:val="bottom"/>
            <w:gridSpan w:val="2"/>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520" w:hanging="512"/>
        <w:spacing w:after="0" w:line="213" w:lineRule="auto"/>
        <w:tabs>
          <w:tab w:leader="none" w:pos="520" w:val="left"/>
        </w:tabs>
        <w:numPr>
          <w:ilvl w:val="0"/>
          <w:numId w:val="18"/>
        </w:numPr>
        <w:rPr>
          <w:rFonts w:ascii="Arial" w:cs="Arial" w:eastAsia="Arial" w:hAnsi="Arial"/>
          <w:sz w:val="28"/>
          <w:szCs w:val="28"/>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28"/>
          <w:szCs w:val="28"/>
          <w:color w:val="auto"/>
          <w:vertAlign w:val="superscript"/>
        </w:rPr>
      </w:pPr>
    </w:p>
    <w:p>
      <w:pPr>
        <w:ind w:left="520" w:hanging="512"/>
        <w:spacing w:after="0" w:line="181" w:lineRule="auto"/>
        <w:tabs>
          <w:tab w:leader="none" w:pos="520" w:val="left"/>
        </w:tabs>
        <w:numPr>
          <w:ilvl w:val="0"/>
          <w:numId w:val="18"/>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50"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Includes severance payments of approximately $71 million and $160 million during the six months ended June 30, 2019 and 2018, respectively.</w:t>
      </w:r>
    </w:p>
    <w:p>
      <w:pPr>
        <w:spacing w:after="0" w:line="51" w:lineRule="exact"/>
        <w:rPr>
          <w:rFonts w:ascii="Arial" w:cs="Arial" w:eastAsia="Arial" w:hAnsi="Arial"/>
          <w:sz w:val="22"/>
          <w:szCs w:val="22"/>
          <w:color w:val="auto"/>
          <w:vertAlign w:val="superscript"/>
        </w:rPr>
      </w:pPr>
    </w:p>
    <w:p>
      <w:pPr>
        <w:jc w:val="both"/>
        <w:ind w:left="520" w:hanging="512"/>
        <w:spacing w:after="0" w:line="247" w:lineRule="auto"/>
        <w:tabs>
          <w:tab w:leader="none" w:pos="520"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2019 and 2018 included:</w:t>
      </w:r>
    </w:p>
    <w:p>
      <w:pPr>
        <w:spacing w:after="0" w:line="225" w:lineRule="exact"/>
        <w:rPr>
          <w:sz w:val="20"/>
          <w:szCs w:val="20"/>
          <w:color w:val="auto"/>
        </w:rPr>
      </w:pPr>
    </w:p>
    <w:p>
      <w:pPr>
        <w:ind w:left="760" w:hanging="374"/>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21, 2016, the Board approved a $10 billion share repurchase program for Schlumberger common stock. Schlumberger had repurchased $922 million of Schlumberger common stock under this program as of June 30,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summarizes the activity under the share repurchase program: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25"/>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6"/>
                <w:szCs w:val="16"/>
                <w:color w:val="auto"/>
                <w:w w:val="89"/>
              </w:rPr>
              <w:t>Total cost</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Total number</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Average price</w:t>
            </w:r>
          </w:p>
        </w:tc>
      </w:tr>
      <w:tr>
        <w:trPr>
          <w:trHeight w:val="216"/>
        </w:trPr>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6"/>
                <w:szCs w:val="16"/>
                <w:color w:val="auto"/>
                <w:w w:val="88"/>
              </w:rPr>
              <w:t>of shares</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of shares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paid per</w:t>
            </w:r>
          </w:p>
        </w:tc>
      </w:tr>
      <w:tr>
        <w:trPr>
          <w:trHeight w:val="219"/>
        </w:trPr>
        <w:tc>
          <w:tcPr>
            <w:tcW w:w="6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6"/>
                <w:szCs w:val="16"/>
                <w:color w:val="auto"/>
                <w:w w:val="88"/>
              </w:rPr>
              <w:t>purchased</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purchased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r>
      <w:tr>
        <w:trPr>
          <w:trHeight w:val="22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2019</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199</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Six months ended June 30, 2018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760" w:hanging="374"/>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Capital expenditures were $0.8 billion during the first six months of 2019 compared to $1.0 billion during the first six months of 2018. Capital expenditures for full-year 2019 are expected to be approximately $1.5 billion to $1.7 billion as compared to $2.2 billion in 2018.</w:t>
      </w:r>
    </w:p>
    <w:p>
      <w:pPr>
        <w:spacing w:after="0" w:line="38" w:lineRule="exact"/>
        <w:rPr>
          <w:rFonts w:ascii="Arial" w:cs="Arial" w:eastAsia="Arial" w:hAnsi="Arial"/>
          <w:sz w:val="17"/>
          <w:szCs w:val="17"/>
          <w:color w:val="auto"/>
        </w:rPr>
      </w:pPr>
    </w:p>
    <w:p>
      <w:pPr>
        <w:ind w:left="76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first quarter of 2019, Schlumberger issued $750 million of 3.75% Senior Notes due 2024 and $850 million of 4.30% Senior Notes due 2029.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generates revenue in more than 120 countries. As of June 30, 2019, four of those countries individually accounted for greater than 5% of Schlumberger’s net receivables balance, of which only the United States accounted for greater than 10% of such receivables.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June 30, 2019, Schlumberger had $2.3 billion of cash and short-term investments on hand. Schlumberger had separate committed debt facility agreements aggregating $6.5 billion that support commercial paper programs, of which $3.3 billion was available and unused. Schlumberger believes these amounts are sufficient to meet future business requirements for at least the next 12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June 30, 2019 were $3.2 billion.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second-quarter 2019 Form 10-Q,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our effective tax rate;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second-quarter 2019 Form 10-Q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2018. Schlumberger’s exposure to market risk has not changed materially since December 31,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10—</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disclosed in Part 1, Item 1A, of Schlumberger’s Annual Report on Form 10-K for the fiscal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2019, Schlumberger had repurchased $922 million of Schlumberger common stock under its $10 billion share repurchase program.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activity for the three months ended June 30, 2019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9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3"/>
              </w:rPr>
              <w:t>(Stated in thousands, except per share amounts)</w:t>
            </w:r>
          </w:p>
        </w:tc>
        <w:tc>
          <w:tcPr>
            <w:tcW w:w="0" w:type="dxa"/>
            <w:vAlign w:val="bottom"/>
          </w:tcPr>
          <w:p>
            <w:pPr>
              <w:spacing w:after="0"/>
              <w:rPr>
                <w:sz w:val="1"/>
                <w:szCs w:val="1"/>
                <w:color w:val="auto"/>
              </w:rPr>
            </w:pPr>
          </w:p>
        </w:tc>
      </w:tr>
      <w:tr>
        <w:trPr>
          <w:trHeight w:val="421"/>
        </w:trPr>
        <w:tc>
          <w:tcPr>
            <w:tcW w:w="3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Total number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Maximum</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of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value of shares</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7"/>
              </w:rPr>
              <w:t>purchased as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that may yet be</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Total number</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part of publicly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purchased</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of shares</w:t>
            </w:r>
          </w:p>
        </w:tc>
        <w:tc>
          <w:tcPr>
            <w:tcW w:w="120" w:type="dxa"/>
            <w:vAlign w:val="bottom"/>
          </w:tcPr>
          <w:p>
            <w:pPr>
              <w:spacing w:after="0"/>
              <w:rPr>
                <w:sz w:val="17"/>
                <w:szCs w:val="17"/>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announced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under the</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purchased</w:t>
            </w:r>
          </w:p>
        </w:tc>
        <w:tc>
          <w:tcPr>
            <w:tcW w:w="12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w w:val="87"/>
              </w:rPr>
              <w:t>paid per share</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programs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programs</w:t>
            </w:r>
          </w:p>
        </w:tc>
        <w:tc>
          <w:tcPr>
            <w:tcW w:w="0" w:type="dxa"/>
            <w:vAlign w:val="bottom"/>
          </w:tcPr>
          <w:p>
            <w:pPr>
              <w:spacing w:after="0"/>
              <w:rPr>
                <w:sz w:val="1"/>
                <w:szCs w:val="1"/>
                <w:color w:val="auto"/>
              </w:rPr>
            </w:pPr>
          </w:p>
        </w:tc>
      </w:tr>
      <w:tr>
        <w:trPr>
          <w:trHeight w:val="226"/>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April 2019</w:t>
            </w:r>
          </w:p>
        </w:tc>
        <w:tc>
          <w:tcPr>
            <w:tcW w:w="26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45.09</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9,144,906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May 2019</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890.7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890.7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9,109,692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June 2019</w:t>
            </w:r>
          </w:p>
        </w:tc>
        <w:tc>
          <w:tcPr>
            <w:tcW w:w="3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876.5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876.5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9,077,694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during the second quarter of 2019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9" w:lineRule="exact"/>
        <w:rPr>
          <w:sz w:val="20"/>
          <w:szCs w:val="20"/>
          <w:color w:val="auto"/>
        </w:rPr>
      </w:pPr>
    </w:p>
    <w:p>
      <w:pPr>
        <w:ind w:left="440" w:right="400"/>
        <w:spacing w:after="0" w:line="277" w:lineRule="auto"/>
        <w:rPr>
          <w:rFonts w:ascii="Arial" w:cs="Arial" w:eastAsia="Arial" w:hAnsi="Arial"/>
          <w:sz w:val="18"/>
          <w:szCs w:val="18"/>
          <w:u w:val="single" w:color="auto"/>
          <w:color w:val="0000EE"/>
        </w:rPr>
      </w:pPr>
      <w:hyperlink r:id="rId49">
        <w:r>
          <w:rPr>
            <w:rFonts w:ascii="Arial" w:cs="Arial" w:eastAsia="Arial" w:hAnsi="Arial"/>
            <w:sz w:val="18"/>
            <w:szCs w:val="18"/>
            <w:color w:val="auto"/>
          </w:rPr>
          <w:t>Exhibit 3.1—</w:t>
        </w:r>
        <w:r>
          <w:rPr>
            <w:rFonts w:ascii="Arial" w:cs="Arial" w:eastAsia="Arial" w:hAnsi="Arial"/>
            <w:sz w:val="18"/>
            <w:szCs w:val="18"/>
            <w:u w:val="single" w:color="auto"/>
            <w:color w:val="0000EE"/>
          </w:rPr>
          <w:t>Articles of Incorporation of Schlumberger Limited (Schlumberger N.V.) (incorporated by reference to Exhibit 3.1 to Schlumberger’s</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Current Report on Form 8-K filed on April 6, 2016)</w:t>
        </w:r>
      </w:hyperlink>
    </w:p>
    <w:p>
      <w:pPr>
        <w:spacing w:after="0" w:line="76" w:lineRule="exact"/>
        <w:rPr>
          <w:sz w:val="20"/>
          <w:szCs w:val="20"/>
          <w:color w:val="auto"/>
        </w:rPr>
      </w:pPr>
    </w:p>
    <w:p>
      <w:pPr>
        <w:ind w:left="440"/>
        <w:spacing w:after="0" w:line="277" w:lineRule="auto"/>
        <w:rPr>
          <w:rFonts w:ascii="Arial" w:cs="Arial" w:eastAsia="Arial" w:hAnsi="Arial"/>
          <w:sz w:val="18"/>
          <w:szCs w:val="18"/>
          <w:u w:val="single" w:color="auto"/>
          <w:color w:val="0000EE"/>
        </w:rPr>
      </w:pPr>
      <w:hyperlink r:id="rId50">
        <w:r>
          <w:rPr>
            <w:rFonts w:ascii="Arial" w:cs="Arial" w:eastAsia="Arial" w:hAnsi="Arial"/>
            <w:sz w:val="18"/>
            <w:szCs w:val="18"/>
            <w:color w:val="auto"/>
          </w:rPr>
          <w:t>Exhibit 3.2—</w:t>
        </w:r>
        <w:r>
          <w:rPr>
            <w:rFonts w:ascii="Arial" w:cs="Arial" w:eastAsia="Arial" w:hAnsi="Arial"/>
            <w:sz w:val="18"/>
            <w:szCs w:val="18"/>
            <w:u w:val="single" w:color="auto"/>
            <w:color w:val="0000EE"/>
          </w:rPr>
          <w:t>Amended and Restated By-laws of Schlumberger Limited (Schlumberger N.V.) (incorporated by reference to Exhibit 3 to Schlumberger’s</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Current Report on Form 8-K filed on July 22, 2019)</w:t>
        </w:r>
      </w:hyperlink>
    </w:p>
    <w:p>
      <w:pPr>
        <w:spacing w:after="0" w:line="76" w:lineRule="exact"/>
        <w:rPr>
          <w:sz w:val="20"/>
          <w:szCs w:val="20"/>
          <w:color w:val="auto"/>
        </w:rPr>
      </w:pPr>
    </w:p>
    <w:p>
      <w:pPr>
        <w:ind w:left="440" w:right="180" w:firstLine="9"/>
        <w:spacing w:after="0" w:line="277" w:lineRule="auto"/>
        <w:tabs>
          <w:tab w:leader="none" w:pos="575" w:val="left"/>
        </w:tabs>
        <w:numPr>
          <w:ilvl w:val="0"/>
          <w:numId w:val="21"/>
        </w:numPr>
        <w:rPr>
          <w:rFonts w:ascii="Arial" w:cs="Arial" w:eastAsia="Arial" w:hAnsi="Arial"/>
          <w:sz w:val="18"/>
          <w:szCs w:val="18"/>
          <w:u w:val="single" w:color="auto"/>
          <w:color w:val="0000EE"/>
        </w:rPr>
      </w:pPr>
      <w:hyperlink w:anchor="page29">
        <w:r>
          <w:rPr>
            <w:rFonts w:ascii="Arial" w:cs="Arial" w:eastAsia="Arial" w:hAnsi="Arial"/>
            <w:sz w:val="18"/>
            <w:szCs w:val="18"/>
            <w:color w:val="auto"/>
          </w:rPr>
          <w:t>Exhibit 10.1—</w:t>
        </w:r>
        <w:r>
          <w:rPr>
            <w:rFonts w:ascii="Arial" w:cs="Arial" w:eastAsia="Arial" w:hAnsi="Arial"/>
            <w:sz w:val="18"/>
            <w:szCs w:val="18"/>
            <w:u w:val="single" w:color="auto"/>
            <w:color w:val="0000EE"/>
          </w:rPr>
          <w:t>Employment Agreement effective as of April 1, 2019, by and between Schlumberger Limited, Schlumberger Global Resources, Ltd.</w:t>
        </w:r>
      </w:hyperlink>
      <w:r>
        <w:rPr>
          <w:rFonts w:ascii="Arial" w:cs="Arial" w:eastAsia="Arial" w:hAnsi="Arial"/>
          <w:sz w:val="18"/>
          <w:szCs w:val="18"/>
          <w:color w:val="auto"/>
        </w:rPr>
        <w:t xml:space="preserve"> </w:t>
      </w:r>
      <w:hyperlink w:anchor="page29">
        <w:r>
          <w:rPr>
            <w:rFonts w:ascii="Arial" w:cs="Arial" w:eastAsia="Arial" w:hAnsi="Arial"/>
            <w:sz w:val="18"/>
            <w:szCs w:val="18"/>
            <w:u w:val="single" w:color="auto"/>
            <w:color w:val="0000EE"/>
          </w:rPr>
          <w:t>and Aaron Gatt Floridia (+)</w:t>
        </w:r>
      </w:hyperlink>
    </w:p>
    <w:p>
      <w:pPr>
        <w:spacing w:after="0" w:line="76" w:lineRule="exact"/>
        <w:rPr>
          <w:rFonts w:ascii="Arial" w:cs="Arial" w:eastAsia="Arial" w:hAnsi="Arial"/>
          <w:sz w:val="18"/>
          <w:szCs w:val="18"/>
          <w:color w:val="auto"/>
        </w:rPr>
      </w:pPr>
    </w:p>
    <w:p>
      <w:pPr>
        <w:ind w:left="440" w:right="80"/>
        <w:spacing w:after="0" w:line="277" w:lineRule="auto"/>
        <w:rPr>
          <w:rFonts w:ascii="Arial" w:cs="Arial" w:eastAsia="Arial" w:hAnsi="Arial"/>
          <w:sz w:val="18"/>
          <w:szCs w:val="18"/>
          <w:color w:val="0000EE"/>
        </w:rPr>
      </w:pPr>
      <w:hyperlink r:id="rId51">
        <w:r>
          <w:rPr>
            <w:rFonts w:ascii="Arial" w:cs="Arial" w:eastAsia="Arial" w:hAnsi="Arial"/>
            <w:sz w:val="18"/>
            <w:szCs w:val="18"/>
            <w:color w:val="auto"/>
          </w:rPr>
          <w:t>Exhibit 10.2—</w:t>
        </w:r>
        <w:r>
          <w:rPr>
            <w:rFonts w:ascii="Arial" w:cs="Arial" w:eastAsia="Arial" w:hAnsi="Arial"/>
            <w:sz w:val="18"/>
            <w:szCs w:val="18"/>
            <w:u w:val="single" w:color="auto"/>
            <w:color w:val="0000EE"/>
          </w:rPr>
          <w:t>Amended and Restated 2004 Stock and Deferral Plan for Non-Employee Directors, as amended and restated effective January 17, 2019</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(incorporated by reference to Exhibit 10.1 to Schlumberger’s Current Report on Form 8-K filed on April 3, 2019)</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76" w:lineRule="exact"/>
        <w:rPr>
          <w:sz w:val="20"/>
          <w:szCs w:val="20"/>
          <w:color w:val="auto"/>
        </w:rPr>
      </w:pPr>
    </w:p>
    <w:p>
      <w:pPr>
        <w:ind w:left="440" w:right="180" w:firstLine="9"/>
        <w:spacing w:after="0" w:line="277" w:lineRule="auto"/>
        <w:tabs>
          <w:tab w:leader="none" w:pos="575" w:val="left"/>
        </w:tabs>
        <w:numPr>
          <w:ilvl w:val="0"/>
          <w:numId w:val="22"/>
        </w:numPr>
        <w:rPr>
          <w:rFonts w:ascii="Arial" w:cs="Arial" w:eastAsia="Arial" w:hAnsi="Arial"/>
          <w:sz w:val="18"/>
          <w:szCs w:val="18"/>
          <w:u w:val="single" w:color="auto"/>
          <w:color w:val="0000EE"/>
        </w:rPr>
      </w:pPr>
      <w:hyperlink w:anchor="page43">
        <w:r>
          <w:rPr>
            <w:rFonts w:ascii="Arial" w:cs="Arial" w:eastAsia="Arial" w:hAnsi="Arial"/>
            <w:sz w:val="18"/>
            <w:szCs w:val="18"/>
            <w:color w:val="auto"/>
          </w:rPr>
          <w:t>Exhibit 31.1—</w:t>
        </w:r>
        <w:r>
          <w:rPr>
            <w:rFonts w:ascii="Arial" w:cs="Arial" w:eastAsia="Arial" w:hAnsi="Arial"/>
            <w:sz w:val="18"/>
            <w:szCs w:val="18"/>
            <w:u w:val="single" w:color="auto"/>
            <w:color w:val="0000EE"/>
          </w:rPr>
          <w:t>Certification of Chief Executive Officer pursuant to Rule 13a-14(a) of the Securities Exchange Act of 1934, as amended, as adopted</w:t>
        </w:r>
      </w:hyperlink>
      <w:r>
        <w:rPr>
          <w:rFonts w:ascii="Arial" w:cs="Arial" w:eastAsia="Arial" w:hAnsi="Arial"/>
          <w:sz w:val="18"/>
          <w:szCs w:val="18"/>
          <w:color w:val="auto"/>
        </w:rPr>
        <w:t xml:space="preserve"> </w:t>
      </w:r>
      <w:hyperlink w:anchor="page43">
        <w:r>
          <w:rPr>
            <w:rFonts w:ascii="Arial" w:cs="Arial" w:eastAsia="Arial" w:hAnsi="Arial"/>
            <w:sz w:val="18"/>
            <w:szCs w:val="18"/>
            <w:u w:val="single" w:color="auto"/>
            <w:color w:val="0000EE"/>
          </w:rPr>
          <w:t>pursuant to Section 302 of the Sarbanes-Oxley Act of 2002</w:t>
        </w:r>
      </w:hyperlink>
    </w:p>
    <w:p>
      <w:pPr>
        <w:spacing w:after="0" w:line="75" w:lineRule="exact"/>
        <w:rPr>
          <w:rFonts w:ascii="Arial" w:cs="Arial" w:eastAsia="Arial" w:hAnsi="Arial"/>
          <w:sz w:val="18"/>
          <w:szCs w:val="18"/>
          <w:u w:val="single" w:color="auto"/>
          <w:color w:val="0000EE"/>
        </w:rPr>
      </w:pPr>
    </w:p>
    <w:p>
      <w:pPr>
        <w:ind w:left="440" w:right="240" w:firstLine="9"/>
        <w:spacing w:after="0" w:line="277" w:lineRule="auto"/>
        <w:tabs>
          <w:tab w:leader="none" w:pos="575" w:val="left"/>
        </w:tabs>
        <w:numPr>
          <w:ilvl w:val="0"/>
          <w:numId w:val="22"/>
        </w:numPr>
        <w:rPr>
          <w:rFonts w:ascii="Arial" w:cs="Arial" w:eastAsia="Arial" w:hAnsi="Arial"/>
          <w:sz w:val="18"/>
          <w:szCs w:val="18"/>
          <w:u w:val="single" w:color="auto"/>
          <w:color w:val="0000EE"/>
        </w:rPr>
      </w:pPr>
      <w:hyperlink w:anchor="page44">
        <w:r>
          <w:rPr>
            <w:rFonts w:ascii="Arial" w:cs="Arial" w:eastAsia="Arial" w:hAnsi="Arial"/>
            <w:sz w:val="18"/>
            <w:szCs w:val="18"/>
            <w:color w:val="auto"/>
          </w:rPr>
          <w:t>Exhibit 31.2—</w:t>
        </w:r>
        <w:r>
          <w:rPr>
            <w:rFonts w:ascii="Arial" w:cs="Arial" w:eastAsia="Arial" w:hAnsi="Arial"/>
            <w:sz w:val="18"/>
            <w:szCs w:val="18"/>
            <w:u w:val="single" w:color="auto"/>
            <w:color w:val="0000EE"/>
          </w:rPr>
          <w:t>Certification of Chief Financial Officer pursuant to Rule 13a-14(a) of the Securities Exchange Act of 1934, as amended, as adopted</w:t>
        </w:r>
      </w:hyperlink>
      <w:r>
        <w:rPr>
          <w:rFonts w:ascii="Arial" w:cs="Arial" w:eastAsia="Arial" w:hAnsi="Arial"/>
          <w:sz w:val="18"/>
          <w:szCs w:val="18"/>
          <w:color w:val="auto"/>
        </w:rPr>
        <w:t xml:space="preserve"> </w:t>
      </w:r>
      <w:hyperlink w:anchor="page44">
        <w:r>
          <w:rPr>
            <w:rFonts w:ascii="Arial" w:cs="Arial" w:eastAsia="Arial" w:hAnsi="Arial"/>
            <w:sz w:val="18"/>
            <w:szCs w:val="18"/>
            <w:u w:val="single" w:color="auto"/>
            <w:color w:val="0000EE"/>
          </w:rPr>
          <w:t>pursuant to Section 302 of the Sarbanes-Oxley Act of 2002</w:t>
        </w:r>
      </w:hyperlink>
    </w:p>
    <w:p>
      <w:pPr>
        <w:spacing w:after="0" w:line="76" w:lineRule="exact"/>
        <w:rPr>
          <w:rFonts w:ascii="Arial" w:cs="Arial" w:eastAsia="Arial" w:hAnsi="Arial"/>
          <w:sz w:val="18"/>
          <w:szCs w:val="18"/>
          <w:color w:val="auto"/>
        </w:rPr>
      </w:pPr>
    </w:p>
    <w:p>
      <w:pPr>
        <w:ind w:left="440" w:right="320" w:firstLine="9"/>
        <w:spacing w:after="0" w:line="277" w:lineRule="auto"/>
        <w:tabs>
          <w:tab w:leader="none" w:pos="665" w:val="left"/>
        </w:tabs>
        <w:numPr>
          <w:ilvl w:val="0"/>
          <w:numId w:val="23"/>
        </w:numPr>
        <w:rPr>
          <w:rFonts w:ascii="Arial" w:cs="Arial" w:eastAsia="Arial" w:hAnsi="Arial"/>
          <w:sz w:val="18"/>
          <w:szCs w:val="18"/>
          <w:u w:val="single" w:color="auto"/>
          <w:color w:val="0000EE"/>
        </w:rPr>
      </w:pPr>
      <w:hyperlink w:anchor="page45">
        <w:r>
          <w:rPr>
            <w:rFonts w:ascii="Arial" w:cs="Arial" w:eastAsia="Arial" w:hAnsi="Arial"/>
            <w:sz w:val="18"/>
            <w:szCs w:val="18"/>
            <w:color w:val="auto"/>
          </w:rPr>
          <w:t>Exhibit 32.1—</w:t>
        </w:r>
        <w:r>
          <w:rPr>
            <w:rFonts w:ascii="Arial" w:cs="Arial" w:eastAsia="Arial" w:hAnsi="Arial"/>
            <w:sz w:val="18"/>
            <w:szCs w:val="18"/>
            <w:u w:val="single" w:color="auto"/>
            <w:color w:val="0000EE"/>
          </w:rPr>
          <w:t>Certification of Chief Executive Officer pursuant to 18 U.S.C. Section 1350, as adopted pursuant to Section 906 of the Sarbanes-</w:t>
        </w:r>
      </w:hyperlink>
      <w:hyperlink w:anchor="page45">
        <w:r>
          <w:rPr>
            <w:rFonts w:ascii="Arial" w:cs="Arial" w:eastAsia="Arial" w:hAnsi="Arial"/>
            <w:sz w:val="18"/>
            <w:szCs w:val="18"/>
            <w:u w:val="single" w:color="auto"/>
            <w:color w:val="0000EE"/>
          </w:rPr>
          <w:t>Oxley Act of 2002</w:t>
        </w:r>
      </w:hyperlink>
    </w:p>
    <w:p>
      <w:pPr>
        <w:spacing w:after="0" w:line="75" w:lineRule="exact"/>
        <w:rPr>
          <w:rFonts w:ascii="Arial" w:cs="Arial" w:eastAsia="Arial" w:hAnsi="Arial"/>
          <w:sz w:val="18"/>
          <w:szCs w:val="18"/>
          <w:u w:val="single" w:color="auto"/>
          <w:color w:val="0000EE"/>
        </w:rPr>
      </w:pPr>
    </w:p>
    <w:p>
      <w:pPr>
        <w:ind w:left="440" w:right="380" w:firstLine="9"/>
        <w:spacing w:after="0" w:line="277" w:lineRule="auto"/>
        <w:tabs>
          <w:tab w:leader="none" w:pos="665" w:val="left"/>
        </w:tabs>
        <w:numPr>
          <w:ilvl w:val="0"/>
          <w:numId w:val="23"/>
        </w:numPr>
        <w:rPr>
          <w:rFonts w:ascii="Arial" w:cs="Arial" w:eastAsia="Arial" w:hAnsi="Arial"/>
          <w:sz w:val="18"/>
          <w:szCs w:val="18"/>
          <w:u w:val="single" w:color="auto"/>
          <w:color w:val="0000EE"/>
        </w:rPr>
      </w:pPr>
      <w:hyperlink w:anchor="page46">
        <w:r>
          <w:rPr>
            <w:rFonts w:ascii="Arial" w:cs="Arial" w:eastAsia="Arial" w:hAnsi="Arial"/>
            <w:sz w:val="18"/>
            <w:szCs w:val="18"/>
            <w:color w:val="auto"/>
          </w:rPr>
          <w:t>Exhibit 32.2—</w:t>
        </w:r>
        <w:r>
          <w:rPr>
            <w:rFonts w:ascii="Arial" w:cs="Arial" w:eastAsia="Arial" w:hAnsi="Arial"/>
            <w:sz w:val="18"/>
            <w:szCs w:val="18"/>
            <w:u w:val="single" w:color="auto"/>
            <w:color w:val="0000EE"/>
          </w:rPr>
          <w:t>Certification of Chief Financial Officer pursuant to 18 U.S.C. Section 1350, as adopted pursuant to Section 906 of the Sarbanes-</w:t>
        </w:r>
      </w:hyperlink>
      <w:hyperlink w:anchor="page46">
        <w:r>
          <w:rPr>
            <w:rFonts w:ascii="Arial" w:cs="Arial" w:eastAsia="Arial" w:hAnsi="Arial"/>
            <w:sz w:val="18"/>
            <w:szCs w:val="18"/>
            <w:u w:val="single" w:color="auto"/>
            <w:color w:val="0000EE"/>
          </w:rPr>
          <w:t>Oxley Act of 2002</w:t>
        </w:r>
      </w:hyperlink>
    </w:p>
    <w:p>
      <w:pPr>
        <w:spacing w:after="0" w:line="76" w:lineRule="exact"/>
        <w:rPr>
          <w:rFonts w:ascii="Arial" w:cs="Arial" w:eastAsia="Arial" w:hAnsi="Arial"/>
          <w:sz w:val="18"/>
          <w:szCs w:val="18"/>
          <w:color w:val="auto"/>
        </w:rPr>
      </w:pPr>
    </w:p>
    <w:p>
      <w:pPr>
        <w:ind w:left="580" w:hanging="131"/>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95—</w:t>
      </w:r>
      <w:hyperlink w:anchor="page47">
        <w:r>
          <w:rPr>
            <w:rFonts w:ascii="Arial" w:cs="Arial" w:eastAsia="Arial" w:hAnsi="Arial"/>
            <w:sz w:val="18"/>
            <w:szCs w:val="18"/>
            <w:u w:val="single" w:color="auto"/>
            <w:color w:val="0000EE"/>
          </w:rPr>
          <w:t>Mine Safety Disclosures</w:t>
        </w:r>
      </w:hyperlink>
    </w:p>
    <w:p>
      <w:pPr>
        <w:spacing w:after="0" w:line="130" w:lineRule="exact"/>
        <w:rPr>
          <w:rFonts w:ascii="Arial" w:cs="Arial" w:eastAsia="Arial" w:hAnsi="Arial"/>
          <w:sz w:val="18"/>
          <w:szCs w:val="18"/>
          <w:color w:val="auto"/>
        </w:rPr>
      </w:pPr>
    </w:p>
    <w:p>
      <w:pPr>
        <w:ind w:left="440" w:right="660" w:firstLine="9"/>
        <w:spacing w:after="0" w:line="277" w:lineRule="auto"/>
        <w:tabs>
          <w:tab w:leader="none" w:pos="5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101.INS—XBRL Instance Document - The instance document does not appear in the interactive data file because its XBRL tags are embedded within the inline XBRL document</w:t>
      </w:r>
    </w:p>
    <w:p>
      <w:pPr>
        <w:spacing w:after="0" w:line="75" w:lineRule="exact"/>
        <w:rPr>
          <w:rFonts w:ascii="Arial" w:cs="Arial" w:eastAsia="Arial" w:hAnsi="Arial"/>
          <w:sz w:val="18"/>
          <w:szCs w:val="18"/>
          <w:color w:val="auto"/>
        </w:rPr>
      </w:pPr>
    </w:p>
    <w:p>
      <w:pPr>
        <w:ind w:left="580" w:hanging="131"/>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101.SCH—XBRL Taxonomy Extension Schema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101.CAL—XBRL Taxonomy Extension Calculation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101.DEF—XBRL Taxonomy Extension Definition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101.LAB—XBRL Taxonomy Extension Label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101.PRE—XBRL Taxonomy Extension Presentation Linkbase Document</w:t>
      </w:r>
    </w:p>
    <w:p>
      <w:pPr>
        <w:spacing w:after="0" w:line="225" w:lineRule="exact"/>
        <w:rPr>
          <w:rFonts w:ascii="Arial" w:cs="Arial" w:eastAsia="Arial" w:hAnsi="Arial"/>
          <w:sz w:val="18"/>
          <w:szCs w:val="18"/>
          <w:color w:val="auto"/>
        </w:rPr>
      </w:pPr>
    </w:p>
    <w:p>
      <w:pPr>
        <w:ind w:left="580" w:hanging="131"/>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23"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Furnished with this Form 10-Q.</w:t>
      </w:r>
    </w:p>
    <w:p>
      <w:pPr>
        <w:spacing w:after="0" w:line="9"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Compensatory plans or arrangements.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80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24, 2019</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Howard Guild</w:t>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color w:val="auto"/>
        </w:rPr>
        <w:t>Exhibit 10.1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0" w:lineRule="exact"/>
        <w:rPr>
          <w:sz w:val="20"/>
          <w:szCs w:val="20"/>
          <w:color w:val="auto"/>
        </w:rPr>
      </w:pPr>
    </w:p>
    <w:p>
      <w:pPr>
        <w:spacing w:after="0" w:line="22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THIS EMPLOYMENT AGREEMENT (“Agreement”) is effective as of the 1</w:t>
      </w:r>
      <w:r>
        <w:rPr>
          <w:rFonts w:ascii="Arial" w:cs="Arial" w:eastAsia="Arial" w:hAnsi="Arial"/>
          <w:sz w:val="18"/>
          <w:szCs w:val="18"/>
          <w:color w:val="auto"/>
        </w:rPr>
        <w:t>st</w:t>
      </w:r>
      <w:r>
        <w:rPr>
          <w:rFonts w:ascii="Arial" w:cs="Arial" w:eastAsia="Arial" w:hAnsi="Arial"/>
          <w:sz w:val="22"/>
          <w:szCs w:val="22"/>
          <w:color w:val="auto"/>
        </w:rPr>
        <w:t xml:space="preserve"> of April 2019, by and between Schlumberger Limited, a Netherlands Antilles corporation (the “Company”), Schlumberger Global Resources, Ltd (“SGRL”) and Aaron Gatt Floridia, an individual currently residing in Houston, TX (“Executive”).</w:t>
      </w:r>
    </w:p>
    <w:p>
      <w:pPr>
        <w:spacing w:after="0" w:line="186" w:lineRule="exact"/>
        <w:rPr>
          <w:sz w:val="20"/>
          <w:szCs w:val="20"/>
          <w:color w:val="auto"/>
        </w:rPr>
      </w:pPr>
    </w:p>
    <w:p>
      <w:pPr>
        <w:jc w:val="both"/>
        <w:ind w:firstLine="885"/>
        <w:spacing w:after="0" w:line="252" w:lineRule="auto"/>
        <w:tabs>
          <w:tab w:leader="none" w:pos="167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Employment of Executive</w:t>
      </w:r>
      <w:r>
        <w:rPr>
          <w:rFonts w:ascii="Arial" w:cs="Arial" w:eastAsia="Arial" w:hAnsi="Arial"/>
          <w:sz w:val="21"/>
          <w:szCs w:val="21"/>
          <w:color w:val="auto"/>
        </w:rPr>
        <w:t>: In consideration of the mutual covenants and agreements herein contained, including Executive’s agreement to sign a release of claims as provided in Section 15, the Company and Executive wish to enter into this Agreement retaining Executive’s services as described herein, establishing certain incentive, tenure and performance criteria related to such employment and otherwise fixing Executive’s benefits and compensation.</w:t>
      </w:r>
    </w:p>
    <w:p>
      <w:pPr>
        <w:spacing w:after="0" w:line="174" w:lineRule="exact"/>
        <w:rPr>
          <w:rFonts w:ascii="Arial" w:cs="Arial" w:eastAsia="Arial" w:hAnsi="Arial"/>
          <w:sz w:val="21"/>
          <w:szCs w:val="21"/>
          <w:color w:val="auto"/>
        </w:rPr>
      </w:pPr>
    </w:p>
    <w:p>
      <w:pPr>
        <w:jc w:val="both"/>
        <w:ind w:firstLine="885"/>
        <w:spacing w:after="0" w:line="271" w:lineRule="auto"/>
        <w:tabs>
          <w:tab w:leader="none" w:pos="167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Term and Extent of Services</w:t>
      </w:r>
      <w:r>
        <w:rPr>
          <w:rFonts w:ascii="Arial" w:cs="Arial" w:eastAsia="Arial" w:hAnsi="Arial"/>
          <w:sz w:val="19"/>
          <w:szCs w:val="19"/>
          <w:color w:val="auto"/>
        </w:rPr>
        <w:t>: During the Term, as defined below, Executive shall be employed as Senior Advisor reporting to the Chief Operating Officer. The term hereof shall commence April 1, 2019 (the “Effective Date”) and shall continue until the close of business on March 31, 2021 (the “Term”). It is expected that as of, or as soon as practicable following, the beginning of the Term, Executive’s employment shall be transferred to SGRL in its offices in Dubai, and Executive agrees and consents to such relocation and transfer of employment. Unless the context requires otherwise, following Executive’s transfer to SGRL, references to the Company shall be deemed to be references to SGRL. During the Term, Executive agrees to provide advisory services as reasonably requested and the parties currently expect that he will perform services at a mutually agreed level over the course of the Term. At the expiration of the Term, Executive’s employment with the Company and all Affiliates (as defined in Section 4(e) hereof) shall terminate. For purposes of clarity and the avoidance of doubt, the parties acknowledge and agree that Executive is permitted to commence employment with another employer during the Term and such employment shall not cause the Term to end or otherwise cause or result in the compensation and benefits payable to Executive under this Agreement to cease or otherwise be diminished, nor shall it cause Executive’s employment to be deemed terminated under this Agreement, provided that (i) such employer is not one of the “Restricted Companies” as defined in Section 6 hereof, (ii) Executive complies with the notice requirements in Section 6(b), and (iii) such employment does not interfere with Executive’s ability to provide the services during the Term as provided in this Section 2.</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1740" w:hanging="855"/>
        <w:spacing w:after="0"/>
        <w:tabs>
          <w:tab w:leader="none" w:pos="174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620" w:hanging="870"/>
        <w:spacing w:after="0" w:line="238" w:lineRule="auto"/>
        <w:tabs>
          <w:tab w:leader="none" w:pos="262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Salary</w:t>
      </w:r>
      <w:r>
        <w:rPr>
          <w:rFonts w:ascii="Arial" w:cs="Arial" w:eastAsia="Arial" w:hAnsi="Arial"/>
          <w:sz w:val="22"/>
          <w:szCs w:val="22"/>
          <w:color w:val="auto"/>
        </w:rPr>
        <w:t>: During the Term, Executive’s annual base salary shall be $840,000, paid on a monthly basis, in accordance with the Company’s normal payroll practices. The base salary amount shall be inclusive of any perquisite allowance, such that no additional amount will be paid to Executive for any perquisite allowance.</w:t>
      </w:r>
    </w:p>
    <w:p>
      <w:pPr>
        <w:spacing w:after="0" w:line="185" w:lineRule="exact"/>
        <w:rPr>
          <w:rFonts w:ascii="Arial" w:cs="Arial" w:eastAsia="Arial" w:hAnsi="Arial"/>
          <w:sz w:val="22"/>
          <w:szCs w:val="22"/>
          <w:color w:val="auto"/>
        </w:rPr>
      </w:pPr>
    </w:p>
    <w:p>
      <w:pPr>
        <w:jc w:val="both"/>
        <w:ind w:left="2620" w:hanging="870"/>
        <w:spacing w:after="0"/>
        <w:tabs>
          <w:tab w:leader="none" w:pos="262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Welfare Benefits</w:t>
      </w:r>
      <w:r>
        <w:rPr>
          <w:rFonts w:ascii="Arial" w:cs="Arial" w:eastAsia="Arial" w:hAnsi="Arial"/>
          <w:sz w:val="22"/>
          <w:szCs w:val="22"/>
          <w:color w:val="auto"/>
        </w:rPr>
        <w:t>: During the Term, Executive and his eligible dependents shall be eligible to participate in the Company’s medical plans applicable to employees in Dubai on a basis comparable to that of other employees consistent with the plan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jc w:val="both"/>
        <w:ind w:left="2640" w:right="20"/>
        <w:spacing w:after="0" w:line="258" w:lineRule="auto"/>
        <w:rPr>
          <w:sz w:val="20"/>
          <w:szCs w:val="20"/>
          <w:color w:val="auto"/>
        </w:rPr>
      </w:pPr>
      <w:r>
        <w:rPr>
          <w:rFonts w:ascii="Arial" w:cs="Arial" w:eastAsia="Arial" w:hAnsi="Arial"/>
          <w:sz w:val="21"/>
          <w:szCs w:val="21"/>
          <w:color w:val="auto"/>
        </w:rPr>
        <w:t>Following Executive’s voluntary termination at the end of the Term, Executive and his eligible dependents will be eligible to elect coverage under the Deferred Medical Program Free Cover subject to the terms of the Company’s Plan as such plan may be amended from time to time</w:t>
      </w:r>
    </w:p>
    <w:p>
      <w:pPr>
        <w:spacing w:after="0" w:line="167" w:lineRule="exact"/>
        <w:rPr>
          <w:sz w:val="20"/>
          <w:szCs w:val="20"/>
          <w:color w:val="auto"/>
        </w:rPr>
      </w:pPr>
    </w:p>
    <w:p>
      <w:pPr>
        <w:jc w:val="both"/>
        <w:ind w:left="2620" w:right="20" w:hanging="870"/>
        <w:spacing w:after="0" w:line="249" w:lineRule="auto"/>
        <w:tabs>
          <w:tab w:leader="none" w:pos="2620"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Pension and Profit Sharing</w:t>
      </w:r>
      <w:r>
        <w:rPr>
          <w:rFonts w:ascii="Arial" w:cs="Arial" w:eastAsia="Arial" w:hAnsi="Arial"/>
          <w:sz w:val="21"/>
          <w:szCs w:val="21"/>
          <w:color w:val="auto"/>
        </w:rPr>
        <w:t>: During the Term, Executive will continue to accrue additional benefits under the Company’s qualified and non-qualified pension and profit sharing plans and retiree medical plans, in each case for which Executive is otherwise eligible. Payments under the Company’s non-qualified pension and profit sharing plans will be made in accordance with the terms of the relevant plan upon a separation from service with the Company.</w:t>
      </w:r>
    </w:p>
    <w:p>
      <w:pPr>
        <w:spacing w:after="0" w:line="178" w:lineRule="exact"/>
        <w:rPr>
          <w:rFonts w:ascii="Arial" w:cs="Arial" w:eastAsia="Arial" w:hAnsi="Arial"/>
          <w:sz w:val="21"/>
          <w:szCs w:val="21"/>
          <w:color w:val="auto"/>
        </w:rPr>
      </w:pPr>
    </w:p>
    <w:p>
      <w:pPr>
        <w:jc w:val="both"/>
        <w:ind w:left="2620" w:right="20" w:hanging="870"/>
        <w:spacing w:after="0" w:line="238" w:lineRule="auto"/>
        <w:tabs>
          <w:tab w:leader="none" w:pos="262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Incentive Plans</w:t>
      </w:r>
      <w:r>
        <w:rPr>
          <w:rFonts w:ascii="Arial" w:cs="Arial" w:eastAsia="Arial" w:hAnsi="Arial"/>
          <w:sz w:val="22"/>
          <w:szCs w:val="22"/>
          <w:color w:val="auto"/>
        </w:rPr>
        <w:t>: Beginning April 1, 2019 and for the remainder of the Term, Executive will not participate in the Company’s Performance Incentive Plan, or any other bonus program. Executive will be eligible to receive a prorated payout for service through March 31, 2019, to be calculated and paid in March of 2020.</w:t>
      </w:r>
    </w:p>
    <w:p>
      <w:pPr>
        <w:spacing w:after="0" w:line="185" w:lineRule="exact"/>
        <w:rPr>
          <w:sz w:val="20"/>
          <w:szCs w:val="20"/>
          <w:color w:val="auto"/>
        </w:rPr>
      </w:pPr>
    </w:p>
    <w:p>
      <w:pPr>
        <w:jc w:val="both"/>
        <w:ind w:left="2640" w:right="20"/>
        <w:spacing w:after="0" w:line="282" w:lineRule="auto"/>
        <w:rPr>
          <w:sz w:val="20"/>
          <w:szCs w:val="20"/>
          <w:color w:val="auto"/>
        </w:rPr>
      </w:pPr>
      <w:r>
        <w:rPr>
          <w:rFonts w:ascii="Arial" w:cs="Arial" w:eastAsia="Arial" w:hAnsi="Arial"/>
          <w:sz w:val="19"/>
          <w:szCs w:val="19"/>
          <w:color w:val="auto"/>
        </w:rPr>
        <w:t>During the Term, Executive will not receive any new grants of long-term incentive awards. During the Term, or if Executive’s employment is terminated sooner pursuant to Section 4, until such termination, Executive will qualify for special retirement under the company’s long-term incentive award agreements. The long-term incentive awards will continue to vest under the Company’s stock incentive plans in accordance with the terms of those plans and any applicable agreements.</w:t>
      </w:r>
    </w:p>
    <w:p>
      <w:pPr>
        <w:spacing w:after="0" w:line="107" w:lineRule="exact"/>
        <w:rPr>
          <w:sz w:val="20"/>
          <w:szCs w:val="20"/>
          <w:color w:val="auto"/>
        </w:rPr>
      </w:pPr>
    </w:p>
    <w:p>
      <w:pPr>
        <w:jc w:val="both"/>
        <w:ind w:left="2640" w:right="20"/>
        <w:spacing w:after="0" w:line="235" w:lineRule="auto"/>
        <w:rPr>
          <w:sz w:val="20"/>
          <w:szCs w:val="20"/>
          <w:color w:val="auto"/>
        </w:rPr>
      </w:pPr>
      <w:r>
        <w:rPr>
          <w:rFonts w:ascii="Arial" w:cs="Arial" w:eastAsia="Arial" w:hAnsi="Arial"/>
          <w:sz w:val="22"/>
          <w:szCs w:val="22"/>
          <w:u w:val="single" w:color="auto"/>
          <w:color w:val="auto"/>
        </w:rPr>
        <w:t>Outstanding Stock Options:</w:t>
      </w:r>
      <w:r>
        <w:rPr>
          <w:rFonts w:ascii="Arial" w:cs="Arial" w:eastAsia="Arial" w:hAnsi="Arial"/>
          <w:sz w:val="22"/>
          <w:szCs w:val="22"/>
          <w:color w:val="auto"/>
        </w:rPr>
        <w:t xml:space="preserve"> Options previously issued to Executive and outstanding as of the Effective Date, which for clarity are set forth below, will continue to vest through Executive’s termination of employment and thereafter, subject to the terms of the applicable agreements. Such options will remain exercisable upon the earlier of five years after Executive’s termination of employment or upon the stock option expiration date, subject to earlier termination pursuant to the terms of the applicable agreements.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20" w:type="dxa"/>
            <w:vAlign w:val="bottom"/>
            <w:tcBorders>
              <w:right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spacing w:after="0"/>
              <w:rPr>
                <w:sz w:val="20"/>
                <w:szCs w:val="20"/>
                <w:color w:val="auto"/>
              </w:rPr>
            </w:pP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4"/>
              </w:rPr>
              <w:t>Vested</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Unvested</w:t>
            </w:r>
          </w:p>
        </w:tc>
        <w:tc>
          <w:tcPr>
            <w:tcW w:w="1080" w:type="dxa"/>
            <w:vAlign w:val="bottom"/>
            <w:tcBorders>
              <w:top w:val="single" w:sz="8" w:color="auto"/>
              <w:right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2"/>
              </w:rPr>
              <w:t>Option</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ind w:left="40"/>
              <w:spacing w:after="0" w:line="210" w:lineRule="exact"/>
              <w:rPr>
                <w:sz w:val="20"/>
                <w:szCs w:val="20"/>
                <w:color w:val="auto"/>
              </w:rPr>
            </w:pPr>
            <w:r>
              <w:rPr>
                <w:rFonts w:ascii="Arial" w:cs="Arial" w:eastAsia="Arial" w:hAnsi="Arial"/>
                <w:sz w:val="22"/>
                <w:szCs w:val="22"/>
                <w:color w:val="auto"/>
                <w:w w:val="91"/>
              </w:rPr>
              <w:t>Grant Date</w:t>
            </w:r>
          </w:p>
        </w:tc>
        <w:tc>
          <w:tcPr>
            <w:tcW w:w="1080" w:type="dxa"/>
            <w:vAlign w:val="bottom"/>
            <w:tcBorders>
              <w:right w:val="single" w:sz="8" w:color="auto"/>
            </w:tcBorders>
            <w:vMerge w:val="continue"/>
          </w:tcPr>
          <w:p>
            <w:pPr>
              <w:spacing w:after="0"/>
              <w:rPr>
                <w:sz w:val="18"/>
                <w:szCs w:val="18"/>
                <w:color w:val="auto"/>
              </w:rPr>
            </w:pPr>
          </w:p>
        </w:tc>
        <w:tc>
          <w:tcPr>
            <w:tcW w:w="1080" w:type="dxa"/>
            <w:vAlign w:val="bottom"/>
            <w:tcBorders>
              <w:right w:val="single" w:sz="8" w:color="auto"/>
            </w:tcBorders>
            <w:vMerge w:val="continue"/>
          </w:tcPr>
          <w:p>
            <w:pPr>
              <w:spacing w:after="0"/>
              <w:rPr>
                <w:sz w:val="18"/>
                <w:szCs w:val="18"/>
                <w:color w:val="auto"/>
              </w:rPr>
            </w:pPr>
          </w:p>
        </w:tc>
        <w:tc>
          <w:tcPr>
            <w:tcW w:w="108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2"/>
                <w:szCs w:val="22"/>
                <w:color w:val="auto"/>
                <w:w w:val="88"/>
              </w:rPr>
              <w:t>Grant Price</w:t>
            </w:r>
          </w:p>
        </w:tc>
        <w:tc>
          <w:tcPr>
            <w:tcW w:w="108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2"/>
                <w:szCs w:val="22"/>
                <w:color w:val="auto"/>
                <w:w w:val="91"/>
              </w:rPr>
              <w:t>Expiration</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Options</w:t>
            </w:r>
          </w:p>
        </w:tc>
        <w:tc>
          <w:tcPr>
            <w:tcW w:w="10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Options</w:t>
            </w:r>
          </w:p>
        </w:tc>
        <w:tc>
          <w:tcPr>
            <w:tcW w:w="108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Date</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620" w:type="dxa"/>
            <w:vAlign w:val="bottom"/>
            <w:tcBorders>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vMerge w:val="continue"/>
          </w:tcPr>
          <w:p>
            <w:pPr>
              <w:spacing w:after="0"/>
              <w:rPr>
                <w:sz w:val="4"/>
                <w:szCs w:val="4"/>
                <w:color w:val="auto"/>
              </w:rPr>
            </w:pPr>
          </w:p>
        </w:tc>
        <w:tc>
          <w:tcPr>
            <w:tcW w:w="3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62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1/21/2010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30,000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1"/>
              </w:rPr>
              <w:t>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$68.51</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1/21/2020</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2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1/20/2011</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30,000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1"/>
              </w:rPr>
              <w:t>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$83.89</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1/20/2021</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2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7/21/2011</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20,000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1"/>
              </w:rPr>
              <w:t>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$90.00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7/21/2021</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2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1/19/2012</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62,000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1"/>
              </w:rPr>
              <w:t>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$72.11</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1/19/2022</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2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1/17/2013</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50,000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1"/>
              </w:rPr>
              <w:t>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$73.25</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1/17/2023</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2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1/16/2014</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53,000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1"/>
              </w:rPr>
              <w:t>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$88.77</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1/16/2024</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2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1/15/2015</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56,800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14,200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$77.80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1/15/2025</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2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1/21/2016</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68,400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45,600</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$61.92</w:t>
            </w:r>
          </w:p>
        </w:tc>
        <w:tc>
          <w:tcPr>
            <w:tcW w:w="1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1/21/2026</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6"/>
        </w:trPr>
        <w:tc>
          <w:tcPr>
            <w:tcW w:w="2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6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30" w:name="page31"/>
    <w:bookmarkEnd w:id="30"/>
    <w:p>
      <w:pPr>
        <w:jc w:val="both"/>
        <w:ind w:left="1440"/>
        <w:spacing w:after="0" w:line="238" w:lineRule="auto"/>
        <w:rPr>
          <w:sz w:val="20"/>
          <w:szCs w:val="20"/>
          <w:color w:val="auto"/>
        </w:rPr>
      </w:pPr>
      <w:r>
        <w:rPr>
          <w:rFonts w:ascii="Arial" w:cs="Arial" w:eastAsia="Arial" w:hAnsi="Arial"/>
          <w:sz w:val="22"/>
          <w:szCs w:val="22"/>
          <w:u w:val="single" w:color="auto"/>
          <w:color w:val="auto"/>
        </w:rPr>
        <w:t>Unvested Restricted Stock Units:</w:t>
      </w:r>
      <w:r>
        <w:rPr>
          <w:rFonts w:ascii="Arial" w:cs="Arial" w:eastAsia="Arial" w:hAnsi="Arial"/>
          <w:sz w:val="22"/>
          <w:szCs w:val="22"/>
          <w:color w:val="auto"/>
        </w:rPr>
        <w:t xml:space="preserve"> RSUs previously issued to Executive and outstanding as of the Effective Date, which for clarity are set forth below, will continue to vest until Executive’s termination of employment and thereafter subject to the terms and conditions of the applicable agreement.</w:t>
      </w:r>
    </w:p>
    <w:p>
      <w:pPr>
        <w:spacing w:after="0" w:line="186" w:lineRule="exact"/>
        <w:rPr>
          <w:sz w:val="20"/>
          <w:szCs w:val="20"/>
          <w:color w:val="auto"/>
        </w:rPr>
      </w:pPr>
    </w:p>
    <w:tbl>
      <w:tblPr>
        <w:tblLayout w:type="fixed"/>
        <w:tblInd w:w="1410" w:type="dxa"/>
        <w:tblCellMar>
          <w:top w:w="0" w:type="dxa"/>
          <w:left w:w="0" w:type="dxa"/>
          <w:bottom w:w="0" w:type="dxa"/>
          <w:right w:w="0" w:type="dxa"/>
        </w:tblCellMar>
      </w:tblPr>
      <w:tr>
        <w:trPr>
          <w:trHeight w:val="257"/>
        </w:trPr>
        <w:tc>
          <w:tcPr>
            <w:tcW w:w="180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22"/>
                <w:szCs w:val="22"/>
                <w:color w:val="auto"/>
              </w:rPr>
              <w:t>Grant Date</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RSUs Granted</w:t>
            </w:r>
          </w:p>
        </w:tc>
        <w:tc>
          <w:tcPr>
            <w:tcW w:w="174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22"/>
                <w:szCs w:val="22"/>
                <w:color w:val="auto"/>
              </w:rPr>
              <w:t>Vest Date</w:t>
            </w:r>
          </w:p>
        </w:tc>
      </w:tr>
      <w:tr>
        <w:trPr>
          <w:trHeight w:val="237"/>
        </w:trPr>
        <w:tc>
          <w:tcPr>
            <w:tcW w:w="1800" w:type="dxa"/>
            <w:vAlign w:val="bottom"/>
            <w:tcBorders>
              <w:left w:val="single" w:sz="8" w:color="auto"/>
              <w:bottom w:val="single" w:sz="8" w:color="auto"/>
              <w:right w:val="single" w:sz="8" w:color="auto"/>
            </w:tcBorders>
          </w:tcPr>
          <w:p>
            <w:pPr>
              <w:jc w:val="right"/>
              <w:ind w:right="352"/>
              <w:spacing w:after="0" w:line="237" w:lineRule="exact"/>
              <w:rPr>
                <w:sz w:val="20"/>
                <w:szCs w:val="20"/>
                <w:color w:val="auto"/>
              </w:rPr>
            </w:pPr>
            <w:r>
              <w:rPr>
                <w:rFonts w:ascii="Arial" w:cs="Arial" w:eastAsia="Arial" w:hAnsi="Arial"/>
                <w:sz w:val="22"/>
                <w:szCs w:val="22"/>
                <w:color w:val="auto"/>
              </w:rPr>
              <w:t>7/20/2016</w:t>
            </w:r>
          </w:p>
        </w:tc>
        <w:tc>
          <w:tcPr>
            <w:tcW w:w="18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15,000</w:t>
            </w:r>
          </w:p>
        </w:tc>
        <w:tc>
          <w:tcPr>
            <w:tcW w:w="174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Arial" w:cs="Arial" w:eastAsia="Arial" w:hAnsi="Arial"/>
                <w:sz w:val="22"/>
                <w:szCs w:val="22"/>
                <w:color w:val="auto"/>
              </w:rPr>
              <w:t>7/20/2019</w:t>
            </w:r>
          </w:p>
        </w:tc>
      </w:tr>
      <w:tr>
        <w:trPr>
          <w:trHeight w:val="237"/>
        </w:trPr>
        <w:tc>
          <w:tcPr>
            <w:tcW w:w="1800" w:type="dxa"/>
            <w:vAlign w:val="bottom"/>
            <w:tcBorders>
              <w:left w:val="single" w:sz="8" w:color="auto"/>
              <w:bottom w:val="single" w:sz="8" w:color="auto"/>
              <w:right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rPr>
              <w:t>10/18/2017</w:t>
            </w:r>
          </w:p>
        </w:tc>
        <w:tc>
          <w:tcPr>
            <w:tcW w:w="18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20,000</w:t>
            </w:r>
          </w:p>
        </w:tc>
        <w:tc>
          <w:tcPr>
            <w:tcW w:w="1740" w:type="dxa"/>
            <w:vAlign w:val="bottom"/>
            <w:tcBorders>
              <w:bottom w:val="single" w:sz="8" w:color="auto"/>
              <w:right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rPr>
              <w:t>10/18/2020</w:t>
            </w:r>
          </w:p>
        </w:tc>
      </w:tr>
    </w:tbl>
    <w:p>
      <w:pPr>
        <w:spacing w:after="0" w:line="222" w:lineRule="exact"/>
        <w:rPr>
          <w:sz w:val="20"/>
          <w:szCs w:val="20"/>
          <w:color w:val="auto"/>
        </w:rPr>
      </w:pPr>
    </w:p>
    <w:p>
      <w:pPr>
        <w:jc w:val="both"/>
        <w:ind w:left="1440"/>
        <w:spacing w:after="0" w:line="238" w:lineRule="auto"/>
        <w:rPr>
          <w:sz w:val="20"/>
          <w:szCs w:val="20"/>
          <w:color w:val="auto"/>
        </w:rPr>
      </w:pPr>
      <w:r>
        <w:rPr>
          <w:rFonts w:ascii="Arial" w:cs="Arial" w:eastAsia="Arial" w:hAnsi="Arial"/>
          <w:sz w:val="22"/>
          <w:szCs w:val="22"/>
          <w:u w:val="single" w:color="auto"/>
          <w:color w:val="auto"/>
        </w:rPr>
        <w:t>Performance Stock Units:</w:t>
      </w:r>
      <w:r>
        <w:rPr>
          <w:rFonts w:ascii="Arial" w:cs="Arial" w:eastAsia="Arial" w:hAnsi="Arial"/>
          <w:sz w:val="22"/>
          <w:szCs w:val="22"/>
          <w:color w:val="auto"/>
        </w:rPr>
        <w:t xml:space="preserve"> PSUs previously issued to Executive and outstanding as of the Effective Date, which for clarify are set forth below, will continue to vest until Executive’s termination of employment and thereafter subject to the terms and conditions of the applicable agreement, including the applicable performance conditions.</w:t>
      </w:r>
    </w:p>
    <w:p>
      <w:pPr>
        <w:spacing w:after="0" w:line="186" w:lineRule="exact"/>
        <w:rPr>
          <w:sz w:val="20"/>
          <w:szCs w:val="20"/>
          <w:color w:val="auto"/>
        </w:rPr>
      </w:pPr>
    </w:p>
    <w:tbl>
      <w:tblPr>
        <w:tblLayout w:type="fixed"/>
        <w:tblInd w:w="1410" w:type="dxa"/>
        <w:tblCellMar>
          <w:top w:w="0" w:type="dxa"/>
          <w:left w:w="0" w:type="dxa"/>
          <w:bottom w:w="0" w:type="dxa"/>
          <w:right w:w="0" w:type="dxa"/>
        </w:tblCellMar>
      </w:tblPr>
      <w:tr>
        <w:trPr>
          <w:trHeight w:val="257"/>
        </w:trPr>
        <w:tc>
          <w:tcPr>
            <w:tcW w:w="1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Grant Date</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PSUs Granted</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Vest Date</w:t>
            </w: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1/19/2017</w:t>
            </w:r>
          </w:p>
        </w:tc>
        <w:tc>
          <w:tcPr>
            <w:tcW w:w="14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19,600</w:t>
            </w: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January 2020</w:t>
            </w:r>
          </w:p>
        </w:tc>
        <w:tc>
          <w:tcPr>
            <w:tcW w:w="0" w:type="dxa"/>
            <w:vAlign w:val="bottom"/>
          </w:tcPr>
          <w:p>
            <w:pPr>
              <w:spacing w:after="0"/>
              <w:rPr>
                <w:sz w:val="1"/>
                <w:szCs w:val="1"/>
                <w:color w:val="auto"/>
              </w:rPr>
            </w:pPr>
          </w:p>
        </w:tc>
      </w:tr>
      <w:tr>
        <w:trPr>
          <w:trHeight w:val="215"/>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1/19/2017</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48,000 Earned</w:t>
            </w:r>
          </w:p>
        </w:tc>
        <w:tc>
          <w:tcPr>
            <w:tcW w:w="23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January 2019 Earned</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Borders>
              <w:right w:val="single" w:sz="8" w:color="auto"/>
            </w:tcBorders>
            <w:vMerge w:val="continue"/>
          </w:tcPr>
          <w:p>
            <w:pPr>
              <w:spacing w:after="0"/>
              <w:rPr>
                <w:sz w:val="13"/>
                <w:szCs w:val="13"/>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January 2020 Released</w:t>
            </w: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1/17/2018</w:t>
            </w:r>
          </w:p>
        </w:tc>
        <w:tc>
          <w:tcPr>
            <w:tcW w:w="14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22,400</w:t>
            </w: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January 2021</w:t>
            </w:r>
          </w:p>
        </w:tc>
        <w:tc>
          <w:tcPr>
            <w:tcW w:w="0" w:type="dxa"/>
            <w:vAlign w:val="bottom"/>
          </w:tcPr>
          <w:p>
            <w:pPr>
              <w:spacing w:after="0"/>
              <w:rPr>
                <w:sz w:val="1"/>
                <w:szCs w:val="1"/>
                <w:color w:val="auto"/>
              </w:rPr>
            </w:pPr>
          </w:p>
        </w:tc>
      </w:tr>
      <w:tr>
        <w:trPr>
          <w:trHeight w:val="215"/>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1/17/2018</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21,900</w:t>
            </w:r>
          </w:p>
        </w:tc>
        <w:tc>
          <w:tcPr>
            <w:tcW w:w="23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January 2020 Earned</w:t>
            </w: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Borders>
              <w:right w:val="single" w:sz="8" w:color="auto"/>
            </w:tcBorders>
            <w:vMerge w:val="continue"/>
          </w:tcPr>
          <w:p>
            <w:pPr>
              <w:spacing w:after="0"/>
              <w:rPr>
                <w:sz w:val="13"/>
                <w:szCs w:val="13"/>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January 2021 Released</w:t>
            </w: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1/16/2019</w:t>
            </w:r>
          </w:p>
        </w:tc>
        <w:tc>
          <w:tcPr>
            <w:tcW w:w="14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44,800</w:t>
            </w: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January 2022</w:t>
            </w: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1/16/2019</w:t>
            </w:r>
          </w:p>
        </w:tc>
        <w:tc>
          <w:tcPr>
            <w:tcW w:w="14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44,800</w:t>
            </w: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January 2022</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1420" w:hanging="870"/>
        <w:spacing w:after="0"/>
        <w:tabs>
          <w:tab w:leader="none" w:pos="142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Term, Executive shall not be eligible to accrue vacation pay. Within 30 days after the Effective Date, Executive shall be paid a cash amount representing his accrued and unused vacation accumulated as of March 31, 2019.</w:t>
      </w:r>
    </w:p>
    <w:p>
      <w:pPr>
        <w:spacing w:after="0" w:line="186" w:lineRule="exact"/>
        <w:rPr>
          <w:rFonts w:ascii="Arial" w:cs="Arial" w:eastAsia="Arial" w:hAnsi="Arial"/>
          <w:sz w:val="22"/>
          <w:szCs w:val="22"/>
          <w:color w:val="auto"/>
        </w:rPr>
      </w:pPr>
    </w:p>
    <w:p>
      <w:pPr>
        <w:ind w:left="1420" w:hanging="870"/>
        <w:spacing w:after="0" w:line="251" w:lineRule="auto"/>
        <w:tabs>
          <w:tab w:leader="none" w:pos="142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Repatriation Assistance:</w:t>
      </w:r>
      <w:r>
        <w:rPr>
          <w:rFonts w:ascii="Arial" w:cs="Arial" w:eastAsia="Arial" w:hAnsi="Arial"/>
          <w:sz w:val="22"/>
          <w:szCs w:val="22"/>
          <w:color w:val="auto"/>
        </w:rPr>
        <w:t xml:space="preserve"> The Company will provide repatriation assistance, which includes economy flights reimbursement and movement of household goods.</w:t>
      </w:r>
    </w:p>
    <w:p>
      <w:pPr>
        <w:spacing w:after="0" w:line="173" w:lineRule="exact"/>
        <w:rPr>
          <w:rFonts w:ascii="Arial" w:cs="Arial" w:eastAsia="Arial" w:hAnsi="Arial"/>
          <w:sz w:val="22"/>
          <w:szCs w:val="22"/>
          <w:color w:val="auto"/>
        </w:rPr>
      </w:pPr>
    </w:p>
    <w:p>
      <w:pPr>
        <w:jc w:val="both"/>
        <w:ind w:left="1420" w:hanging="870"/>
        <w:spacing w:after="0" w:line="236" w:lineRule="auto"/>
        <w:tabs>
          <w:tab w:leader="none" w:pos="14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Expense Reimbursement: Executive shall be reimbursed for any previously authorized expenses incurred in the normal course of performing his duties hereunder, including any travel expenditures necessary to satisfactorily perform his duties. Executive shall submit all written invoices for such incurred costs to the Company no later than 30 days prior to the end of the taxable year following the taxable year in which they were incurred.</w:t>
      </w:r>
    </w:p>
    <w:p>
      <w:pPr>
        <w:spacing w:after="0" w:line="147" w:lineRule="exact"/>
        <w:rPr>
          <w:rFonts w:ascii="Arial" w:cs="Arial" w:eastAsia="Arial" w:hAnsi="Arial"/>
          <w:sz w:val="22"/>
          <w:szCs w:val="22"/>
          <w:color w:val="auto"/>
        </w:rPr>
      </w:pPr>
    </w:p>
    <w:p>
      <w:pPr>
        <w:jc w:val="both"/>
        <w:ind w:left="1420" w:hanging="870"/>
        <w:spacing w:after="0" w:line="238" w:lineRule="auto"/>
        <w:tabs>
          <w:tab w:leader="none" w:pos="142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Tax Preparation Expenses</w:t>
      </w:r>
      <w:r>
        <w:rPr>
          <w:rFonts w:ascii="Arial" w:cs="Arial" w:eastAsia="Arial" w:hAnsi="Arial"/>
          <w:sz w:val="22"/>
          <w:szCs w:val="22"/>
          <w:color w:val="auto"/>
        </w:rPr>
        <w:t>: During the Term, the Company will provide for tax preparation assistance for the 2019 tax jurisdiction filings. The Company will directly pay as incurred, fees associated with the 2019 tax preparation assistance and tax advisory services incurred by Executive through the end of the Term for these filings.</w:t>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31" w:name="page32"/>
    <w:bookmarkEnd w:id="31"/>
    <w:p>
      <w:pPr>
        <w:ind w:firstLine="885"/>
        <w:spacing w:after="0" w:line="251" w:lineRule="auto"/>
        <w:tabs>
          <w:tab w:leader="none" w:pos="167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The following provisions of this Section 4 shall govern the rights of Executive under this Agreement in connection with a termination of employment:</w:t>
      </w:r>
    </w:p>
    <w:p>
      <w:pPr>
        <w:spacing w:after="0" w:line="173" w:lineRule="exact"/>
        <w:rPr>
          <w:rFonts w:ascii="Arial" w:cs="Arial" w:eastAsia="Arial" w:hAnsi="Arial"/>
          <w:sz w:val="22"/>
          <w:szCs w:val="22"/>
          <w:color w:val="auto"/>
        </w:rPr>
      </w:pPr>
    </w:p>
    <w:p>
      <w:pPr>
        <w:ind w:left="2620" w:hanging="870"/>
        <w:spacing w:after="0" w:line="251" w:lineRule="auto"/>
        <w:tabs>
          <w:tab w:leader="none" w:pos="262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w:t>
      </w:r>
      <w:r>
        <w:rPr>
          <w:rFonts w:ascii="Arial" w:cs="Arial" w:eastAsia="Arial" w:hAnsi="Arial"/>
          <w:sz w:val="22"/>
          <w:szCs w:val="22"/>
          <w:color w:val="auto"/>
        </w:rPr>
        <w:t>: In the event the Company terminates Executive’s employment during the Term for Cause, as defined below, he shall be entitled to:</w:t>
      </w:r>
    </w:p>
    <w:p>
      <w:pPr>
        <w:spacing w:after="0" w:line="173" w:lineRule="exact"/>
        <w:rPr>
          <w:rFonts w:ascii="Arial" w:cs="Arial" w:eastAsia="Arial" w:hAnsi="Arial"/>
          <w:sz w:val="22"/>
          <w:szCs w:val="22"/>
          <w:color w:val="auto"/>
        </w:rPr>
      </w:pPr>
    </w:p>
    <w:p>
      <w:pPr>
        <w:ind w:left="3500" w:hanging="858"/>
        <w:spacing w:after="0"/>
        <w:tabs>
          <w:tab w:leader="none" w:pos="3500" w:val="left"/>
        </w:tabs>
        <w:numPr>
          <w:ilvl w:val="2"/>
          <w:numId w:val="28"/>
        </w:numPr>
        <w:rPr>
          <w:rFonts w:ascii="Arial" w:cs="Arial" w:eastAsia="Arial" w:hAnsi="Arial"/>
          <w:sz w:val="21"/>
          <w:szCs w:val="21"/>
          <w:color w:val="auto"/>
        </w:rPr>
      </w:pPr>
      <w:r>
        <w:rPr>
          <w:rFonts w:ascii="Arial" w:cs="Arial" w:eastAsia="Arial" w:hAnsi="Arial"/>
          <w:sz w:val="21"/>
          <w:szCs w:val="21"/>
          <w:color w:val="auto"/>
        </w:rPr>
        <w:t>His base salary through the date of the termination of his employment for Cause; and</w:t>
      </w:r>
    </w:p>
    <w:p>
      <w:pPr>
        <w:spacing w:after="0" w:line="217" w:lineRule="exact"/>
        <w:rPr>
          <w:rFonts w:ascii="Arial" w:cs="Arial" w:eastAsia="Arial" w:hAnsi="Arial"/>
          <w:sz w:val="21"/>
          <w:szCs w:val="21"/>
          <w:color w:val="auto"/>
        </w:rPr>
      </w:pPr>
    </w:p>
    <w:p>
      <w:pPr>
        <w:jc w:val="both"/>
        <w:ind w:left="3500" w:hanging="858"/>
        <w:spacing w:after="0" w:line="235" w:lineRule="auto"/>
        <w:tabs>
          <w:tab w:leader="none" w:pos="3500" w:val="left"/>
        </w:tabs>
        <w:numPr>
          <w:ilvl w:val="2"/>
          <w:numId w:val="28"/>
        </w:numPr>
        <w:rPr>
          <w:rFonts w:ascii="Arial" w:cs="Arial" w:eastAsia="Arial" w:hAnsi="Arial"/>
          <w:sz w:val="22"/>
          <w:szCs w:val="22"/>
          <w:color w:val="auto"/>
        </w:rPr>
      </w:pPr>
      <w:r>
        <w:rPr>
          <w:rFonts w:ascii="Arial" w:cs="Arial" w:eastAsia="Arial" w:hAnsi="Arial"/>
          <w:sz w:val="22"/>
          <w:szCs w:val="22"/>
          <w:color w:val="auto"/>
        </w:rPr>
        <w:t>Any other amounts earned, accrued or owing for previously vested benefits as of the date of termination of employment under the applicable employee benefit plans or programs of the Company; provided, however, that any options not exercised as of the date of termination will be forfeited, and any prior option or restricted stock unit exercises may be rescinded as a result of “detrimental activity” within the meaning of the governing plan or award agreement.</w:t>
      </w:r>
    </w:p>
    <w:p>
      <w:pPr>
        <w:spacing w:after="0" w:line="188" w:lineRule="exact"/>
        <w:rPr>
          <w:rFonts w:ascii="Arial" w:cs="Arial" w:eastAsia="Arial" w:hAnsi="Arial"/>
          <w:sz w:val="22"/>
          <w:szCs w:val="22"/>
          <w:color w:val="auto"/>
        </w:rPr>
      </w:pPr>
    </w:p>
    <w:p>
      <w:pPr>
        <w:ind w:left="3500" w:hanging="858"/>
        <w:spacing w:after="0" w:line="251" w:lineRule="auto"/>
        <w:tabs>
          <w:tab w:leader="none" w:pos="3500" w:val="left"/>
        </w:tabs>
        <w:numPr>
          <w:ilvl w:val="2"/>
          <w:numId w:val="28"/>
        </w:numPr>
        <w:rPr>
          <w:rFonts w:ascii="Arial" w:cs="Arial" w:eastAsia="Arial" w:hAnsi="Arial"/>
          <w:sz w:val="22"/>
          <w:szCs w:val="22"/>
          <w:color w:val="auto"/>
        </w:rPr>
      </w:pPr>
      <w:r>
        <w:rPr>
          <w:rFonts w:ascii="Arial" w:cs="Arial" w:eastAsia="Arial" w:hAnsi="Arial"/>
          <w:sz w:val="22"/>
          <w:szCs w:val="22"/>
          <w:color w:val="auto"/>
        </w:rPr>
        <w:t>Executive will also forfeit as of the date of termination of employment any rights to the benefits described in Section 3 above.</w:t>
      </w:r>
    </w:p>
    <w:p>
      <w:pPr>
        <w:spacing w:after="0" w:line="173" w:lineRule="exact"/>
        <w:rPr>
          <w:sz w:val="20"/>
          <w:szCs w:val="20"/>
          <w:color w:val="auto"/>
        </w:rPr>
      </w:pPr>
    </w:p>
    <w:p>
      <w:pPr>
        <w:jc w:val="both"/>
        <w:ind w:left="2640"/>
        <w:spacing w:after="0" w:line="238" w:lineRule="auto"/>
        <w:rPr>
          <w:sz w:val="20"/>
          <w:szCs w:val="20"/>
          <w:color w:val="auto"/>
        </w:rPr>
      </w:pPr>
      <w:r>
        <w:rPr>
          <w:rFonts w:ascii="Arial" w:cs="Arial" w:eastAsia="Arial" w:hAnsi="Arial"/>
          <w:sz w:val="22"/>
          <w:szCs w:val="22"/>
          <w:color w:val="auto"/>
        </w:rPr>
        <w:t>“Cause” means Executive’s dishonesty in connection with Company business, conviction of a felony, violation of Company policies or code of conduct, or any breach of this Agreement, specifically including the Non-compete, Non-solicitation, Non-disparagement, Confidentiality and Return of Company Property provisions of this Agreement.</w:t>
      </w:r>
    </w:p>
    <w:p>
      <w:pPr>
        <w:spacing w:after="0" w:line="185" w:lineRule="exact"/>
        <w:rPr>
          <w:sz w:val="20"/>
          <w:szCs w:val="20"/>
          <w:color w:val="auto"/>
        </w:rPr>
      </w:pPr>
    </w:p>
    <w:p>
      <w:pPr>
        <w:jc w:val="both"/>
        <w:ind w:left="2620" w:hanging="870"/>
        <w:spacing w:after="0" w:line="252" w:lineRule="auto"/>
        <w:tabs>
          <w:tab w:leader="none" w:pos="2620"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In the event Executive’s employment terminates during the Term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174" w:lineRule="exact"/>
        <w:rPr>
          <w:rFonts w:ascii="Arial" w:cs="Arial" w:eastAsia="Arial" w:hAnsi="Arial"/>
          <w:sz w:val="21"/>
          <w:szCs w:val="21"/>
          <w:color w:val="auto"/>
        </w:rPr>
      </w:pPr>
    </w:p>
    <w:p>
      <w:pPr>
        <w:jc w:val="both"/>
        <w:ind w:left="2620" w:hanging="870"/>
        <w:spacing w:after="0" w:line="282" w:lineRule="auto"/>
        <w:tabs>
          <w:tab w:leader="none" w:pos="262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In the event Executive’s employment terminates during the Term due to his disability within the meaning of any long-term disability plan maintained by 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147" w:lineRule="exact"/>
        <w:rPr>
          <w:rFonts w:ascii="Arial" w:cs="Arial" w:eastAsia="Arial" w:hAnsi="Arial"/>
          <w:sz w:val="19"/>
          <w:szCs w:val="19"/>
          <w:color w:val="auto"/>
        </w:rPr>
      </w:pPr>
    </w:p>
    <w:p>
      <w:pPr>
        <w:jc w:val="both"/>
        <w:ind w:left="2620" w:hanging="870"/>
        <w:spacing w:after="0" w:line="236" w:lineRule="auto"/>
        <w:tabs>
          <w:tab w:leader="none" w:pos="262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Voluntary Termination at End of Term</w:t>
      </w:r>
      <w:r>
        <w:rPr>
          <w:rFonts w:ascii="Arial" w:cs="Arial" w:eastAsia="Arial" w:hAnsi="Arial"/>
          <w:sz w:val="22"/>
          <w:szCs w:val="22"/>
          <w:color w:val="auto"/>
        </w:rPr>
        <w:t>. In the event Executive remains employed until the end of the Term, the parties agree he shall voluntarily terminate employment as of such date. Executive acknowledges and agrees that he shall not be entitled to any severance or termination indemnity payment of any kind other than as specifically provided above and under the terms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32" w:name="page33"/>
    <w:bookmarkEnd w:id="32"/>
    <w:p>
      <w:pPr>
        <w:jc w:val="both"/>
        <w:ind w:left="1735" w:hanging="870"/>
        <w:spacing w:after="0" w:line="233" w:lineRule="auto"/>
        <w:tabs>
          <w:tab w:leader="none" w:pos="1735"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Employment by Affiliates</w:t>
      </w:r>
      <w:r>
        <w:rPr>
          <w:rFonts w:ascii="Arial" w:cs="Arial" w:eastAsia="Arial" w:hAnsi="Arial"/>
          <w:sz w:val="22"/>
          <w:szCs w:val="22"/>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Curaçao corporation, (ii) any entity in which the equity interests owned or controlled directly or indirectly by Schlumberger Limited shall represent 40% or more of the voting power of the issued and outstanding equity interests of such entity, and (iii) any other entity controlled by, controlling or under common control with the Company within the meaning of Section 414 of the Internal Revenue Code of 1986, as amended (the “Code”).</w:t>
      </w:r>
    </w:p>
    <w:p>
      <w:pPr>
        <w:spacing w:after="0" w:line="193" w:lineRule="exact"/>
        <w:rPr>
          <w:rFonts w:ascii="Arial" w:cs="Arial" w:eastAsia="Arial" w:hAnsi="Arial"/>
          <w:sz w:val="22"/>
          <w:szCs w:val="22"/>
          <w:color w:val="auto"/>
        </w:rPr>
      </w:pPr>
    </w:p>
    <w:p>
      <w:pPr>
        <w:ind w:left="795" w:hanging="795"/>
        <w:spacing w:after="0"/>
        <w:tabs>
          <w:tab w:leader="none" w:pos="795"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Confidentiality and Return of Property</w:t>
      </w:r>
    </w:p>
    <w:p>
      <w:pPr>
        <w:spacing w:after="0" w:line="206" w:lineRule="exact"/>
        <w:rPr>
          <w:rFonts w:ascii="Arial" w:cs="Arial" w:eastAsia="Arial" w:hAnsi="Arial"/>
          <w:sz w:val="22"/>
          <w:szCs w:val="22"/>
          <w:color w:val="auto"/>
        </w:rPr>
      </w:pPr>
    </w:p>
    <w:p>
      <w:pPr>
        <w:jc w:val="both"/>
        <w:ind w:left="1735" w:hanging="870"/>
        <w:spacing w:after="0" w:line="271" w:lineRule="auto"/>
        <w:tabs>
          <w:tab w:leader="none" w:pos="1735"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Executive acknowledges that the Company has provided and will provide Executive with Confidential Information. Executive agrees that in return for this and other consideration provided under this Agreement he will not disclose or make available to any other person or entity, or use for his own personal gain, any Confidential Information, except for such disclosures as required in the performance of his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58" w:lineRule="exact"/>
        <w:rPr>
          <w:rFonts w:ascii="Arial" w:cs="Arial" w:eastAsia="Arial" w:hAnsi="Arial"/>
          <w:sz w:val="19"/>
          <w:szCs w:val="19"/>
          <w:color w:val="auto"/>
        </w:rPr>
      </w:pPr>
    </w:p>
    <w:p>
      <w:pPr>
        <w:ind w:left="1735" w:hanging="870"/>
        <w:spacing w:after="0" w:line="251" w:lineRule="auto"/>
        <w:tabs>
          <w:tab w:leader="none" w:pos="1735"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Return of Property</w:t>
      </w:r>
      <w:r>
        <w:rPr>
          <w:rFonts w:ascii="Arial" w:cs="Arial" w:eastAsia="Arial" w:hAnsi="Arial"/>
          <w:sz w:val="22"/>
          <w:szCs w:val="22"/>
          <w:color w:val="auto"/>
        </w:rPr>
        <w:t>: Within ten (10) days after the end of the Term or upon request of the Company at any time prior to the end of the Term, Executive agrees the following:</w:t>
      </w:r>
    </w:p>
    <w:p>
      <w:pPr>
        <w:spacing w:after="0" w:line="173" w:lineRule="exact"/>
        <w:rPr>
          <w:rFonts w:ascii="Arial" w:cs="Arial" w:eastAsia="Arial" w:hAnsi="Arial"/>
          <w:sz w:val="22"/>
          <w:szCs w:val="22"/>
          <w:color w:val="auto"/>
        </w:rPr>
      </w:pPr>
    </w:p>
    <w:p>
      <w:pPr>
        <w:jc w:val="both"/>
        <w:ind w:left="2615" w:hanging="858"/>
        <w:spacing w:after="0" w:line="252" w:lineRule="auto"/>
        <w:tabs>
          <w:tab w:leader="none" w:pos="2615" w:val="left"/>
        </w:tabs>
        <w:numPr>
          <w:ilvl w:val="2"/>
          <w:numId w:val="31"/>
        </w:numPr>
        <w:rPr>
          <w:rFonts w:ascii="Arial" w:cs="Arial" w:eastAsia="Arial" w:hAnsi="Arial"/>
          <w:sz w:val="21"/>
          <w:szCs w:val="21"/>
          <w:color w:val="auto"/>
        </w:rPr>
      </w:pPr>
      <w:r>
        <w:rPr>
          <w:rFonts w:ascii="Arial" w:cs="Arial" w:eastAsia="Arial" w:hAnsi="Arial"/>
          <w:sz w:val="21"/>
          <w:szCs w:val="21"/>
          <w:color w:val="auto"/>
        </w:rPr>
        <w:t>He will deliver to the Company all (and will not keep in his possession, recreate or deliver to anyone else, any) Confidential Information, as well as all other devices, records, data, notes, reports, proposals, lists, correspondence, specifications, drawings, blueprints, sketches, materials, equipment, customer or client lists</w:t>
      </w:r>
    </w:p>
    <w:p>
      <w:pPr>
        <w:spacing w:after="0" w:line="390" w:lineRule="exact"/>
        <w:rPr>
          <w:sz w:val="20"/>
          <w:szCs w:val="20"/>
          <w:color w:val="auto"/>
        </w:rPr>
      </w:pPr>
    </w:p>
    <w:p>
      <w:pPr>
        <w:ind w:left="4775"/>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48" w:right="239" w:bottom="1440" w:gutter="0" w:footer="0" w:header="0"/>
        </w:sectPr>
      </w:pPr>
    </w:p>
    <w:bookmarkStart w:id="33" w:name="page34"/>
    <w:bookmarkEnd w:id="33"/>
    <w:p>
      <w:pPr>
        <w:jc w:val="both"/>
        <w:ind w:left="3500"/>
        <w:spacing w:after="0"/>
        <w:rPr>
          <w:sz w:val="20"/>
          <w:szCs w:val="20"/>
          <w:color w:val="auto"/>
        </w:rPr>
      </w:pPr>
      <w:r>
        <w:rPr>
          <w:rFonts w:ascii="Arial" w:cs="Arial" w:eastAsia="Arial" w:hAnsi="Arial"/>
          <w:sz w:val="22"/>
          <w:szCs w:val="22"/>
          <w:color w:val="auto"/>
        </w:rPr>
        <w:t>or information, or any other documents or property (including all reproductions of the aforementioned items) belonging to the Company or any of its Affiliates or ventures, regardless of whether such items were prepared by Executive; and</w:t>
      </w:r>
    </w:p>
    <w:p>
      <w:pPr>
        <w:spacing w:after="0" w:line="186" w:lineRule="exact"/>
        <w:rPr>
          <w:sz w:val="20"/>
          <w:szCs w:val="20"/>
          <w:color w:val="auto"/>
        </w:rPr>
      </w:pPr>
    </w:p>
    <w:p>
      <w:pPr>
        <w:jc w:val="both"/>
        <w:ind w:left="3500" w:hanging="858"/>
        <w:spacing w:after="0" w:line="273" w:lineRule="auto"/>
        <w:tabs>
          <w:tab w:leader="none" w:pos="3500" w:val="left"/>
        </w:tabs>
        <w:numPr>
          <w:ilvl w:val="2"/>
          <w:numId w:val="32"/>
        </w:numPr>
        <w:rPr>
          <w:rFonts w:ascii="Arial" w:cs="Arial" w:eastAsia="Arial" w:hAnsi="Arial"/>
          <w:sz w:val="19"/>
          <w:szCs w:val="19"/>
          <w:color w:val="auto"/>
        </w:rPr>
      </w:pPr>
      <w:r>
        <w:rPr>
          <w:rFonts w:ascii="Arial" w:cs="Arial" w:eastAsia="Arial" w:hAnsi="Arial"/>
          <w:sz w:val="19"/>
          <w:szCs w:val="19"/>
          <w:color w:val="auto"/>
        </w:rPr>
        <w:t>Executive will return to a Company representative all computers and electronic storage devices including thumb drives, back-up devices, etc. that contain Company information. To the extent that Executive owns electronic devices that contain Company information (e.g. personal computers, phones or home computers), Executive agrees to allow access to such devices to Company IT personnel to remove the Company information. To the extent Company-owned electronic devices contain Executive personal information, Executive and Company agree to cooperate in the removal or copying of the personal information to a separate device for Executive. Executive agrees to sign an inventory of the devices returned and steps taken to remove Company information from Executive personal computers and devices.</w:t>
      </w:r>
    </w:p>
    <w:p>
      <w:pPr>
        <w:spacing w:after="0" w:line="161" w:lineRule="exact"/>
        <w:rPr>
          <w:rFonts w:ascii="Arial" w:cs="Arial" w:eastAsia="Arial" w:hAnsi="Arial"/>
          <w:sz w:val="19"/>
          <w:szCs w:val="19"/>
          <w:color w:val="auto"/>
        </w:rPr>
      </w:pPr>
    </w:p>
    <w:p>
      <w:pPr>
        <w:jc w:val="both"/>
        <w:ind w:firstLine="885"/>
        <w:spacing w:after="0" w:line="234" w:lineRule="auto"/>
        <w:tabs>
          <w:tab w:leader="none" w:pos="167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Covenant Not to Compete, Non-solicitation and Non-disparagement</w:t>
      </w:r>
      <w:r>
        <w:rPr>
          <w:rFonts w:ascii="Arial" w:cs="Arial" w:eastAsia="Arial" w:hAnsi="Arial"/>
          <w:sz w:val="22"/>
          <w:szCs w:val="22"/>
          <w:color w:val="auto"/>
        </w:rPr>
        <w:t>: Executive acknowledges that the skills, processes and information developed at the Company are highly proprietary and global in nature and could be utilized directly and to the Company’s detriment (or the detriment of any of the Company’s Affiliates or ventures) by several other businesses. Executive also acknowledges that the nature of his duties and responsibilities under the Agreement will bring him into close contact with much of the Company’s Confidential Information, and the Company has affirmatively agreed to provide him with Confidential Information. Accordingly, for the consideration provided to Executive in this Agreement, Executive agrees to be bound by the following restrictive covenants:</w:t>
      </w:r>
    </w:p>
    <w:p>
      <w:pPr>
        <w:spacing w:after="0" w:line="191" w:lineRule="exact"/>
        <w:rPr>
          <w:rFonts w:ascii="Arial" w:cs="Arial" w:eastAsia="Arial" w:hAnsi="Arial"/>
          <w:sz w:val="22"/>
          <w:szCs w:val="22"/>
          <w:color w:val="auto"/>
        </w:rPr>
      </w:pPr>
    </w:p>
    <w:p>
      <w:pPr>
        <w:jc w:val="both"/>
        <w:ind w:left="2620" w:hanging="870"/>
        <w:spacing w:after="0" w:line="248" w:lineRule="auto"/>
        <w:tabs>
          <w:tab w:leader="none" w:pos="2620" w:val="left"/>
        </w:tabs>
        <w:numPr>
          <w:ilvl w:val="1"/>
          <w:numId w:val="33"/>
        </w:numPr>
        <w:rPr>
          <w:rFonts w:ascii="Arial" w:cs="Arial" w:eastAsia="Arial" w:hAnsi="Arial"/>
          <w:sz w:val="21"/>
          <w:szCs w:val="21"/>
          <w:color w:val="auto"/>
        </w:rPr>
      </w:pPr>
      <w:r>
        <w:rPr>
          <w:rFonts w:ascii="Arial" w:cs="Arial" w:eastAsia="Arial" w:hAnsi="Arial"/>
          <w:sz w:val="21"/>
          <w:szCs w:val="21"/>
          <w:color w:val="auto"/>
        </w:rPr>
        <w:t>During the period of the Term, herein referred to as the “Restricted Period”, Executive shall not accept employment with or render services or otherwise become involved either directly or indirectly, on his own behalf or on behalf of any other person, firm or company, in any capacity throughout the world (whether as agent, consultant, director, employee, owner, partner, shareholder or in any other capacity) in the following organizations’ operations or business, which organizations are herein referred to as the “Restricted Companies”:</w:t>
      </w:r>
    </w:p>
    <w:p>
      <w:pPr>
        <w:spacing w:after="0" w:line="177" w:lineRule="exact"/>
        <w:rPr>
          <w:rFonts w:ascii="Arial" w:cs="Arial" w:eastAsia="Arial" w:hAnsi="Arial"/>
          <w:sz w:val="21"/>
          <w:szCs w:val="21"/>
          <w:color w:val="auto"/>
        </w:rPr>
      </w:pPr>
    </w:p>
    <w:p>
      <w:pPr>
        <w:ind w:left="3500" w:hanging="426"/>
        <w:spacing w:after="0"/>
        <w:tabs>
          <w:tab w:leader="none" w:pos="3500" w:val="left"/>
        </w:tabs>
        <w:numPr>
          <w:ilvl w:val="3"/>
          <w:numId w:val="33"/>
        </w:numPr>
        <w:rPr>
          <w:rFonts w:ascii="Arial" w:cs="Arial" w:eastAsia="Arial" w:hAnsi="Arial"/>
          <w:sz w:val="22"/>
          <w:szCs w:val="22"/>
          <w:color w:val="auto"/>
        </w:rPr>
      </w:pPr>
      <w:r>
        <w:rPr>
          <w:rFonts w:ascii="Arial" w:cs="Arial" w:eastAsia="Arial" w:hAnsi="Arial"/>
          <w:sz w:val="22"/>
          <w:szCs w:val="22"/>
          <w:color w:val="auto"/>
        </w:rPr>
        <w:t>Baker Hughes, a GE company</w:t>
      </w:r>
    </w:p>
    <w:p>
      <w:pPr>
        <w:spacing w:after="0" w:line="8" w:lineRule="exact"/>
        <w:rPr>
          <w:rFonts w:ascii="Arial" w:cs="Arial" w:eastAsia="Arial" w:hAnsi="Arial"/>
          <w:sz w:val="22"/>
          <w:szCs w:val="22"/>
          <w:color w:val="auto"/>
        </w:rPr>
      </w:pPr>
    </w:p>
    <w:p>
      <w:pPr>
        <w:ind w:left="3500" w:hanging="426"/>
        <w:spacing w:after="0" w:line="230" w:lineRule="auto"/>
        <w:tabs>
          <w:tab w:leader="none" w:pos="3500" w:val="left"/>
        </w:tabs>
        <w:numPr>
          <w:ilvl w:val="3"/>
          <w:numId w:val="33"/>
        </w:numPr>
        <w:rPr>
          <w:rFonts w:ascii="Arial" w:cs="Arial" w:eastAsia="Arial" w:hAnsi="Arial"/>
          <w:sz w:val="22"/>
          <w:szCs w:val="22"/>
          <w:color w:val="auto"/>
        </w:rPr>
      </w:pPr>
      <w:r>
        <w:rPr>
          <w:rFonts w:ascii="Arial" w:cs="Arial" w:eastAsia="Arial" w:hAnsi="Arial"/>
          <w:sz w:val="22"/>
          <w:szCs w:val="22"/>
          <w:color w:val="auto"/>
        </w:rPr>
        <w:t>Halliburton Company</w:t>
      </w:r>
    </w:p>
    <w:p>
      <w:pPr>
        <w:ind w:left="3500" w:hanging="426"/>
        <w:spacing w:after="0" w:line="230" w:lineRule="auto"/>
        <w:tabs>
          <w:tab w:leader="none" w:pos="3500" w:val="left"/>
        </w:tabs>
        <w:numPr>
          <w:ilvl w:val="3"/>
          <w:numId w:val="33"/>
        </w:numPr>
        <w:rPr>
          <w:rFonts w:ascii="Arial" w:cs="Arial" w:eastAsia="Arial" w:hAnsi="Arial"/>
          <w:sz w:val="22"/>
          <w:szCs w:val="22"/>
          <w:color w:val="auto"/>
        </w:rPr>
      </w:pPr>
      <w:r>
        <w:rPr>
          <w:rFonts w:ascii="Arial" w:cs="Arial" w:eastAsia="Arial" w:hAnsi="Arial"/>
          <w:sz w:val="22"/>
          <w:szCs w:val="22"/>
          <w:color w:val="auto"/>
        </w:rPr>
        <w:t>Weatherford International Limited</w:t>
      </w:r>
    </w:p>
    <w:p>
      <w:pPr>
        <w:ind w:left="3500" w:hanging="426"/>
        <w:spacing w:after="0" w:line="230" w:lineRule="auto"/>
        <w:tabs>
          <w:tab w:leader="none" w:pos="3500" w:val="left"/>
        </w:tabs>
        <w:numPr>
          <w:ilvl w:val="3"/>
          <w:numId w:val="33"/>
        </w:numPr>
        <w:rPr>
          <w:rFonts w:ascii="Arial" w:cs="Arial" w:eastAsia="Arial" w:hAnsi="Arial"/>
          <w:sz w:val="22"/>
          <w:szCs w:val="22"/>
          <w:color w:val="auto"/>
        </w:rPr>
      </w:pPr>
      <w:r>
        <w:rPr>
          <w:rFonts w:ascii="Arial" w:cs="Arial" w:eastAsia="Arial" w:hAnsi="Arial"/>
          <w:sz w:val="22"/>
          <w:szCs w:val="22"/>
          <w:color w:val="auto"/>
        </w:rPr>
        <w:t>National Oilwell Varco (NOV)</w:t>
      </w:r>
    </w:p>
    <w:p>
      <w:pPr>
        <w:ind w:left="3500" w:hanging="426"/>
        <w:spacing w:after="0" w:line="230" w:lineRule="auto"/>
        <w:tabs>
          <w:tab w:leader="none" w:pos="3500" w:val="left"/>
        </w:tabs>
        <w:numPr>
          <w:ilvl w:val="3"/>
          <w:numId w:val="33"/>
        </w:numPr>
        <w:rPr>
          <w:rFonts w:ascii="Arial" w:cs="Arial" w:eastAsia="Arial" w:hAnsi="Arial"/>
          <w:sz w:val="22"/>
          <w:szCs w:val="22"/>
          <w:color w:val="auto"/>
        </w:rPr>
      </w:pPr>
      <w:r>
        <w:rPr>
          <w:rFonts w:ascii="Arial" w:cs="Arial" w:eastAsia="Arial" w:hAnsi="Arial"/>
          <w:sz w:val="22"/>
          <w:szCs w:val="22"/>
          <w:color w:val="auto"/>
        </w:rPr>
        <w:t>OilServ</w:t>
      </w:r>
    </w:p>
    <w:p>
      <w:pPr>
        <w:ind w:left="3500" w:hanging="426"/>
        <w:spacing w:after="0" w:line="237" w:lineRule="auto"/>
        <w:tabs>
          <w:tab w:leader="none" w:pos="3500" w:val="left"/>
        </w:tabs>
        <w:numPr>
          <w:ilvl w:val="3"/>
          <w:numId w:val="33"/>
        </w:numPr>
        <w:rPr>
          <w:rFonts w:ascii="Arial" w:cs="Arial" w:eastAsia="Arial" w:hAnsi="Arial"/>
          <w:sz w:val="22"/>
          <w:szCs w:val="22"/>
          <w:color w:val="auto"/>
        </w:rPr>
      </w:pPr>
      <w:r>
        <w:rPr>
          <w:rFonts w:ascii="Arial" w:cs="Arial" w:eastAsia="Arial" w:hAnsi="Arial"/>
          <w:sz w:val="22"/>
          <w:szCs w:val="22"/>
          <w:color w:val="auto"/>
        </w:rPr>
        <w:t>any North American land oilfield services company in which more than 50% of its gross revenue is derived from hydraulic fracturing services,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34" w:name="page35"/>
    <w:bookmarkEnd w:id="34"/>
    <w:p>
      <w:pPr>
        <w:jc w:val="both"/>
        <w:ind w:left="3500" w:right="20" w:hanging="426"/>
        <w:spacing w:after="0" w:line="236" w:lineRule="auto"/>
        <w:tabs>
          <w:tab w:leader="none" w:pos="35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of the aforementioned companies, affiliated companies of joint ventures, where that affiliated company or joint venture company is principally engaged in any oilfield-services related business, and/or</w:t>
      </w:r>
    </w:p>
    <w:p>
      <w:pPr>
        <w:spacing w:after="0" w:line="1" w:lineRule="exact"/>
        <w:rPr>
          <w:rFonts w:ascii="Arial" w:cs="Arial" w:eastAsia="Arial" w:hAnsi="Arial"/>
          <w:sz w:val="22"/>
          <w:szCs w:val="22"/>
          <w:color w:val="auto"/>
        </w:rPr>
      </w:pPr>
    </w:p>
    <w:p>
      <w:pPr>
        <w:ind w:left="3500" w:hanging="426"/>
        <w:spacing w:after="0"/>
        <w:tabs>
          <w:tab w:leader="none" w:pos="35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any entity that is acquired by or a successor to any of the aforementioned companies.</w:t>
      </w:r>
    </w:p>
    <w:p>
      <w:pPr>
        <w:spacing w:after="0" w:line="249" w:lineRule="exact"/>
        <w:rPr>
          <w:rFonts w:ascii="Arial" w:cs="Arial" w:eastAsia="Arial" w:hAnsi="Arial"/>
          <w:sz w:val="19"/>
          <w:szCs w:val="19"/>
          <w:color w:val="auto"/>
        </w:rPr>
      </w:pPr>
    </w:p>
    <w:p>
      <w:pPr>
        <w:jc w:val="both"/>
        <w:ind w:left="2620" w:right="20" w:hanging="870"/>
        <w:spacing w:after="0" w:line="245" w:lineRule="auto"/>
        <w:tabs>
          <w:tab w:leader="none" w:pos="26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In the event that, during the Restricted Period, Executive becomes engaged or employed (in any form described above) by an organization or business inside the oil &amp; gas industry that is </w:t>
      </w:r>
      <w:r>
        <w:rPr>
          <w:rFonts w:ascii="Arial" w:cs="Arial" w:eastAsia="Arial" w:hAnsi="Arial"/>
          <w:sz w:val="21"/>
          <w:szCs w:val="21"/>
          <w:b w:val="1"/>
          <w:bCs w:val="1"/>
          <w:color w:val="auto"/>
        </w:rPr>
        <w:t>not</w:t>
      </w:r>
      <w:r>
        <w:rPr>
          <w:rFonts w:ascii="Arial" w:cs="Arial" w:eastAsia="Arial" w:hAnsi="Arial"/>
          <w:sz w:val="21"/>
          <w:szCs w:val="21"/>
          <w:color w:val="auto"/>
        </w:rPr>
        <w:t xml:space="preserve"> one of the Restricted Companies listed above, Executive shall give the Company advance notice of his accepting employment in any capacity. Notice of any subsequent employment shall be in writing and must be received by the Chief Executive Officer, at 5599 San Felipe, Houston, TX 77056 on behalf of the Company at least thirty (30) days before the proposed starting date of the employment. The request must include the full name and address of the organization with which Executive is seeking employment, the department or area in which Executive proposes to work, the position or job title to be held by Executive, and a complete description of the duties Executive expects to perform for such employer.</w:t>
      </w:r>
    </w:p>
    <w:p>
      <w:pPr>
        <w:spacing w:after="0" w:line="195" w:lineRule="exact"/>
        <w:rPr>
          <w:rFonts w:ascii="Arial" w:cs="Arial" w:eastAsia="Arial" w:hAnsi="Arial"/>
          <w:sz w:val="21"/>
          <w:szCs w:val="21"/>
          <w:color w:val="auto"/>
        </w:rPr>
      </w:pPr>
    </w:p>
    <w:p>
      <w:pPr>
        <w:jc w:val="both"/>
        <w:ind w:left="2620" w:right="20" w:hanging="870"/>
        <w:spacing w:after="0" w:line="236" w:lineRule="auto"/>
        <w:tabs>
          <w:tab w:leader="none" w:pos="26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event the organization of business in which Executive is involved (in any form described above) becomes a Restricted Company during the Restricted Period, or is acquired during the Restricted Period by one of the Restricted Companies, Executive shall provide written notice of the same immediately to the Chief Executive Officer, as soon as the information is ready to be made public.</w:t>
      </w:r>
    </w:p>
    <w:p>
      <w:pPr>
        <w:spacing w:after="0" w:line="187" w:lineRule="exact"/>
        <w:rPr>
          <w:rFonts w:ascii="Arial" w:cs="Arial" w:eastAsia="Arial" w:hAnsi="Arial"/>
          <w:sz w:val="22"/>
          <w:szCs w:val="22"/>
          <w:color w:val="auto"/>
        </w:rPr>
      </w:pPr>
    </w:p>
    <w:p>
      <w:pPr>
        <w:jc w:val="both"/>
        <w:ind w:left="2620" w:right="20" w:hanging="870"/>
        <w:spacing w:after="0" w:line="245" w:lineRule="auto"/>
        <w:tabs>
          <w:tab w:leader="none" w:pos="26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Moreover, during the Restricted Period, Executive shall not directly or indirectly, on Executive’s own behalf or on behalf of any person or entity, recruit, hire, solicit, or assist others in recruiting, hiring, or soliciting any person, who is, at the time of the recruiting, hiring, or solicitation, an employee, consultant, or contractor of the Company to leave the Company, diminish their relationship with the Company, or work for a competing business. This restriction shall be limited to persons: (1) with whom Executive had contact or business dealings while employed by Company; (2) who worked in Executive’s business unit (Group); or (3) about whom Executive had access to confidential information. In the event of breach by the Executive, the specified period will be extended by the period of time of the breach.</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ind w:left="1760"/>
              <w:spacing w:after="0"/>
              <w:rPr>
                <w:sz w:val="20"/>
                <w:szCs w:val="20"/>
                <w:color w:val="auto"/>
              </w:rPr>
            </w:pPr>
            <w:r>
              <w:rPr>
                <w:rFonts w:ascii="Arial" w:cs="Arial" w:eastAsia="Arial" w:hAnsi="Arial"/>
                <w:sz w:val="22"/>
                <w:szCs w:val="22"/>
                <w:color w:val="auto"/>
              </w:rPr>
              <w:t>(e)</w:t>
            </w:r>
          </w:p>
        </w:tc>
        <w:tc>
          <w:tcPr>
            <w:tcW w:w="9140" w:type="dxa"/>
            <w:vAlign w:val="bottom"/>
          </w:tcPr>
          <w:p>
            <w:pPr>
              <w:ind w:left="320"/>
              <w:spacing w:after="0"/>
              <w:rPr>
                <w:sz w:val="20"/>
                <w:szCs w:val="20"/>
                <w:color w:val="auto"/>
              </w:rPr>
            </w:pPr>
            <w:r>
              <w:rPr>
                <w:rFonts w:ascii="Arial" w:cs="Arial" w:eastAsia="Arial" w:hAnsi="Arial"/>
                <w:sz w:val="22"/>
                <w:szCs w:val="22"/>
                <w:color w:val="auto"/>
                <w:w w:val="90"/>
              </w:rPr>
              <w:t>Executive agrees that these restrictions are reasonable in light of the  consideration given. Executive</w:t>
            </w:r>
          </w:p>
        </w:tc>
      </w:tr>
      <w:tr>
        <w:trPr>
          <w:trHeight w:val="243"/>
        </w:trPr>
        <w:tc>
          <w:tcPr>
            <w:tcW w:w="2300" w:type="dxa"/>
            <w:vAlign w:val="bottom"/>
          </w:tcPr>
          <w:p>
            <w:pPr>
              <w:spacing w:after="0"/>
              <w:rPr>
                <w:sz w:val="21"/>
                <w:szCs w:val="21"/>
                <w:color w:val="auto"/>
              </w:rPr>
            </w:pPr>
          </w:p>
        </w:tc>
        <w:tc>
          <w:tcPr>
            <w:tcW w:w="9140" w:type="dxa"/>
            <w:vAlign w:val="bottom"/>
          </w:tcPr>
          <w:p>
            <w:pPr>
              <w:ind w:left="320"/>
              <w:spacing w:after="0" w:line="243" w:lineRule="exact"/>
              <w:rPr>
                <w:sz w:val="20"/>
                <w:szCs w:val="20"/>
                <w:color w:val="auto"/>
              </w:rPr>
            </w:pPr>
            <w:r>
              <w:rPr>
                <w:rFonts w:ascii="Arial" w:cs="Arial" w:eastAsia="Arial" w:hAnsi="Arial"/>
                <w:sz w:val="22"/>
                <w:szCs w:val="22"/>
                <w:color w:val="auto"/>
                <w:w w:val="89"/>
              </w:rPr>
              <w:t>was given an opportunity to review these restrictions, advised to consult with an attorney, and agreed</w:t>
            </w:r>
          </w:p>
        </w:tc>
      </w:tr>
      <w:tr>
        <w:trPr>
          <w:trHeight w:val="243"/>
        </w:trPr>
        <w:tc>
          <w:tcPr>
            <w:tcW w:w="2300" w:type="dxa"/>
            <w:vAlign w:val="bottom"/>
          </w:tcPr>
          <w:p>
            <w:pPr>
              <w:spacing w:after="0"/>
              <w:rPr>
                <w:sz w:val="21"/>
                <w:szCs w:val="21"/>
                <w:color w:val="auto"/>
              </w:rPr>
            </w:pPr>
          </w:p>
        </w:tc>
        <w:tc>
          <w:tcPr>
            <w:tcW w:w="9140" w:type="dxa"/>
            <w:vAlign w:val="bottom"/>
          </w:tcPr>
          <w:p>
            <w:pPr>
              <w:ind w:left="320"/>
              <w:spacing w:after="0" w:line="243" w:lineRule="exact"/>
              <w:rPr>
                <w:sz w:val="20"/>
                <w:szCs w:val="20"/>
                <w:color w:val="auto"/>
              </w:rPr>
            </w:pPr>
            <w:r>
              <w:rPr>
                <w:rFonts w:ascii="Arial" w:cs="Arial" w:eastAsia="Arial" w:hAnsi="Arial"/>
                <w:sz w:val="22"/>
                <w:szCs w:val="22"/>
                <w:color w:val="auto"/>
                <w:w w:val="95"/>
              </w:rPr>
              <w:t>to these restrictions in exchange for the Company’s provision of confidential information and its</w:t>
            </w:r>
          </w:p>
        </w:tc>
      </w:tr>
      <w:tr>
        <w:trPr>
          <w:trHeight w:val="243"/>
        </w:trPr>
        <w:tc>
          <w:tcPr>
            <w:tcW w:w="2300" w:type="dxa"/>
            <w:vAlign w:val="bottom"/>
          </w:tcPr>
          <w:p>
            <w:pPr>
              <w:spacing w:after="0"/>
              <w:rPr>
                <w:sz w:val="21"/>
                <w:szCs w:val="21"/>
                <w:color w:val="auto"/>
              </w:rPr>
            </w:pPr>
          </w:p>
        </w:tc>
        <w:tc>
          <w:tcPr>
            <w:tcW w:w="9140" w:type="dxa"/>
            <w:vAlign w:val="bottom"/>
          </w:tcPr>
          <w:p>
            <w:pPr>
              <w:ind w:left="320"/>
              <w:spacing w:after="0" w:line="243" w:lineRule="exact"/>
              <w:rPr>
                <w:sz w:val="20"/>
                <w:szCs w:val="20"/>
                <w:color w:val="auto"/>
              </w:rPr>
            </w:pPr>
            <w:r>
              <w:rPr>
                <w:rFonts w:ascii="Arial" w:cs="Arial" w:eastAsia="Arial" w:hAnsi="Arial"/>
                <w:sz w:val="22"/>
                <w:szCs w:val="22"/>
                <w:color w:val="auto"/>
                <w:w w:val="92"/>
              </w:rPr>
              <w:t>agreement to pay the additional consideration described in Section 3.  The Company is relying on</w:t>
            </w:r>
          </w:p>
        </w:tc>
      </w:tr>
      <w:tr>
        <w:trPr>
          <w:trHeight w:val="243"/>
        </w:trPr>
        <w:tc>
          <w:tcPr>
            <w:tcW w:w="2300" w:type="dxa"/>
            <w:vAlign w:val="bottom"/>
          </w:tcPr>
          <w:p>
            <w:pPr>
              <w:spacing w:after="0"/>
              <w:rPr>
                <w:sz w:val="21"/>
                <w:szCs w:val="21"/>
                <w:color w:val="auto"/>
              </w:rPr>
            </w:pPr>
          </w:p>
        </w:tc>
        <w:tc>
          <w:tcPr>
            <w:tcW w:w="9140" w:type="dxa"/>
            <w:vAlign w:val="bottom"/>
          </w:tcPr>
          <w:p>
            <w:pPr>
              <w:ind w:left="320"/>
              <w:spacing w:after="0" w:line="243" w:lineRule="exact"/>
              <w:rPr>
                <w:sz w:val="20"/>
                <w:szCs w:val="20"/>
                <w:color w:val="auto"/>
              </w:rPr>
            </w:pPr>
            <w:r>
              <w:rPr>
                <w:rFonts w:ascii="Arial" w:cs="Arial" w:eastAsia="Arial" w:hAnsi="Arial"/>
                <w:sz w:val="22"/>
                <w:szCs w:val="22"/>
                <w:color w:val="auto"/>
                <w:w w:val="91"/>
              </w:rPr>
              <w:t>Executive’s commitment to comply with the restrictions set forth in this Section 6 in agreeing to pay</w:t>
            </w:r>
          </w:p>
        </w:tc>
      </w:tr>
      <w:tr>
        <w:trPr>
          <w:trHeight w:val="275"/>
        </w:trPr>
        <w:tc>
          <w:tcPr>
            <w:tcW w:w="2300" w:type="dxa"/>
            <w:vAlign w:val="bottom"/>
          </w:tcPr>
          <w:p>
            <w:pPr>
              <w:spacing w:after="0"/>
              <w:rPr>
                <w:sz w:val="23"/>
                <w:szCs w:val="23"/>
                <w:color w:val="auto"/>
              </w:rPr>
            </w:pPr>
          </w:p>
        </w:tc>
        <w:tc>
          <w:tcPr>
            <w:tcW w:w="9140" w:type="dxa"/>
            <w:vAlign w:val="bottom"/>
          </w:tcPr>
          <w:p>
            <w:pPr>
              <w:ind w:left="320"/>
              <w:spacing w:after="0"/>
              <w:rPr>
                <w:sz w:val="20"/>
                <w:szCs w:val="20"/>
                <w:color w:val="auto"/>
              </w:rPr>
            </w:pPr>
            <w:r>
              <w:rPr>
                <w:rFonts w:ascii="Arial" w:cs="Arial" w:eastAsia="Arial" w:hAnsi="Arial"/>
                <w:sz w:val="22"/>
                <w:szCs w:val="22"/>
                <w:color w:val="auto"/>
              </w:rPr>
              <w:t>the</w:t>
            </w:r>
          </w:p>
        </w:tc>
      </w:tr>
      <w:tr>
        <w:trPr>
          <w:trHeight w:val="459"/>
        </w:trPr>
        <w:tc>
          <w:tcPr>
            <w:tcW w:w="2300" w:type="dxa"/>
            <w:vAlign w:val="bottom"/>
          </w:tcPr>
          <w:p>
            <w:pPr>
              <w:spacing w:after="0"/>
              <w:rPr>
                <w:sz w:val="24"/>
                <w:szCs w:val="24"/>
                <w:color w:val="auto"/>
              </w:rPr>
            </w:pPr>
          </w:p>
        </w:tc>
        <w:tc>
          <w:tcPr>
            <w:tcW w:w="9140" w:type="dxa"/>
            <w:vAlign w:val="bottom"/>
          </w:tcPr>
          <w:p>
            <w:pPr>
              <w:ind w:left="3360"/>
              <w:spacing w:after="0"/>
              <w:rPr>
                <w:sz w:val="20"/>
                <w:szCs w:val="20"/>
                <w:color w:val="auto"/>
              </w:rPr>
            </w:pPr>
            <w:r>
              <w:rPr>
                <w:rFonts w:ascii="Arial" w:cs="Arial" w:eastAsia="Arial" w:hAnsi="Arial"/>
                <w:sz w:val="22"/>
                <w:szCs w:val="22"/>
                <w:color w:val="auto"/>
              </w:rPr>
              <w:t>7</w:t>
            </w:r>
          </w:p>
        </w:tc>
      </w:tr>
      <w:tr>
        <w:trPr>
          <w:trHeight w:val="105"/>
        </w:trPr>
        <w:tc>
          <w:tcPr>
            <w:tcW w:w="2300" w:type="dxa"/>
            <w:vAlign w:val="bottom"/>
            <w:tcBorders>
              <w:bottom w:val="single" w:sz="8" w:color="9A9A9A"/>
            </w:tcBorders>
          </w:tcPr>
          <w:p>
            <w:pPr>
              <w:spacing w:after="0"/>
              <w:rPr>
                <w:sz w:val="9"/>
                <w:szCs w:val="9"/>
                <w:color w:val="auto"/>
              </w:rPr>
            </w:pPr>
          </w:p>
        </w:tc>
        <w:tc>
          <w:tcPr>
            <w:tcW w:w="9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35" w:name="page36"/>
    <w:bookmarkEnd w:id="35"/>
    <w:p>
      <w:pPr>
        <w:jc w:val="both"/>
        <w:ind w:left="2620"/>
        <w:spacing w:after="0" w:line="271" w:lineRule="auto"/>
        <w:rPr>
          <w:sz w:val="20"/>
          <w:szCs w:val="20"/>
          <w:color w:val="auto"/>
        </w:rPr>
      </w:pPr>
      <w:r>
        <w:rPr>
          <w:rFonts w:ascii="Arial" w:cs="Arial" w:eastAsia="Arial" w:hAnsi="Arial"/>
          <w:sz w:val="19"/>
          <w:szCs w:val="19"/>
          <w:color w:val="auto"/>
        </w:rPr>
        <w:t>consideration set forth in Section 3 and this commitment is ancillary to the Executive’s agreement to protect the Company’s confidential information. Executive acknowledges that in the event of a breach by Executive of these restrictive covenants, the covenants may be enforced by temporary restraining order, preliminary or temporary injunction and permanent injunction, in addition to any other remedies that may be available by law. In that connection, Executive acknowledges that in the event of a breach, the Company will suffer irreparable injury for which there is no adequate legal remedy, in part because damages caused by the breach may be difficult to prove with any reasonable degree of certainty. Executive further agrees that in the event that (1) the Company determines that Executive has breached any term of Section 6 or (2) all or any part or of Section 6 is held or found invalid or unenforceable for any reason whatsoever by a court of competent jurisdiction in an action between Executive and the Company, in addition to any other remedies at law or in equity the Company may have available to it, the Company may immediately stop payment of any future amounts due pursuant to Section 3 and may in its sole discretion require that Executive repay to the Company, within five business days of receipt of written demand therefor, an amount equal to the payments or benefits received by Executive pursuant to Section 3.</w:t>
      </w:r>
    </w:p>
    <w:p>
      <w:pPr>
        <w:spacing w:after="0" w:line="189" w:lineRule="exact"/>
        <w:rPr>
          <w:sz w:val="20"/>
          <w:szCs w:val="20"/>
          <w:color w:val="auto"/>
        </w:rPr>
      </w:pPr>
    </w:p>
    <w:p>
      <w:pPr>
        <w:jc w:val="both"/>
        <w:ind w:firstLine="885"/>
        <w:spacing w:after="0"/>
        <w:tabs>
          <w:tab w:leader="none" w:pos="167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Company and Executive shall each be responsible for 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86" w:lineRule="exact"/>
        <w:rPr>
          <w:rFonts w:ascii="Arial" w:cs="Arial" w:eastAsia="Arial" w:hAnsi="Arial"/>
          <w:sz w:val="22"/>
          <w:szCs w:val="22"/>
          <w:color w:val="auto"/>
        </w:rPr>
      </w:pPr>
    </w:p>
    <w:p>
      <w:pPr>
        <w:jc w:val="both"/>
        <w:ind w:firstLine="885"/>
        <w:spacing w:after="0" w:line="245" w:lineRule="auto"/>
        <w:tabs>
          <w:tab w:leader="none" w:pos="1670"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To the fullest extent permitted by applicable law, the Company shall hold harmless and fully indemnify Executive against any and all liabilities incurred by or for him in connection with any threatened, pending or completed claim, action, suit, investigation or proceeding of any kind to which Executive is made a party or otherwise subjected to by reason of his status as an employee or officer of the Company or its Affiliates (whether Executive is, becomes or may become a party, a witness or otherwise is a participant in any role), other than any action brought in a dispute between the Company and Executive relating to his employment or his post-employment restrictive covenants. For all matters for which Executive is entitled to indemnification hereunder, Executive shall be entitled to advancement of all expenses (including legal fees) in connection therewith, subject to his execution of an undertaking to repay any amounts so advanced to the extent it is finally determined that he was not entitled to such indemnification under applicable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36" w:name="page37"/>
    <w:bookmarkEnd w:id="36"/>
    <w:p>
      <w:pPr>
        <w:jc w:val="both"/>
        <w:ind w:firstLine="885"/>
        <w:spacing w:after="0" w:line="297" w:lineRule="auto"/>
        <w:tabs>
          <w:tab w:leader="none" w:pos="167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purposes of this Agreement, notices and all other communications provided for herein shall be in writing and shall be deemed to have been duly given when personally delivered or when mailed by United States registered or certified mail, return receipt requested, postage prepaid, addressed (except as set forth in Section 6 (b) hereof) as follows:</w:t>
      </w:r>
    </w:p>
    <w:p>
      <w:pPr>
        <w:sectPr>
          <w:pgSz w:w="11900" w:h="16838" w:orient="portrait"/>
          <w:cols w:equalWidth="0" w:num="1">
            <w:col w:w="11420"/>
          </w:cols>
          <w:pgMar w:left="240" w:top="348" w:right="239" w:bottom="1440" w:gutter="0" w:footer="0" w:header="0"/>
        </w:sectPr>
      </w:pPr>
    </w:p>
    <w:p>
      <w:pPr>
        <w:spacing w:after="0" w:line="16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Schlumberger Limited</w:t>
      </w:r>
    </w:p>
    <w:p>
      <w:pPr>
        <w:spacing w:after="0" w:line="238" w:lineRule="auto"/>
        <w:rPr>
          <w:sz w:val="20"/>
          <w:szCs w:val="20"/>
          <w:color w:val="auto"/>
        </w:rPr>
      </w:pPr>
      <w:r>
        <w:rPr>
          <w:rFonts w:ascii="Arial" w:cs="Arial" w:eastAsia="Arial" w:hAnsi="Arial"/>
          <w:sz w:val="22"/>
          <w:szCs w:val="22"/>
          <w:color w:val="auto"/>
        </w:rPr>
        <w:t>5599 San Felipe</w:t>
      </w:r>
    </w:p>
    <w:p>
      <w:pPr>
        <w:spacing w:after="0" w:line="230" w:lineRule="auto"/>
        <w:rPr>
          <w:sz w:val="20"/>
          <w:szCs w:val="20"/>
          <w:color w:val="auto"/>
        </w:rPr>
      </w:pPr>
      <w:r>
        <w:rPr>
          <w:rFonts w:ascii="Arial" w:cs="Arial" w:eastAsia="Arial" w:hAnsi="Arial"/>
          <w:sz w:val="22"/>
          <w:szCs w:val="22"/>
          <w:color w:val="auto"/>
        </w:rPr>
        <w:t>Houston, TX 77056</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Pat Strong, HR Manager</w:t>
      </w:r>
    </w:p>
    <w:p>
      <w:pPr>
        <w:spacing w:after="0" w:line="200" w:lineRule="exact"/>
        <w:rPr>
          <w:sz w:val="20"/>
          <w:szCs w:val="20"/>
          <w:color w:val="auto"/>
        </w:rPr>
      </w:pPr>
    </w:p>
    <w:p>
      <w:pPr>
        <w:sectPr>
          <w:pgSz w:w="11900" w:h="16838" w:orient="portrait"/>
          <w:cols w:equalWidth="0" w:num="2">
            <w:col w:w="2960" w:space="720"/>
            <w:col w:w="7740"/>
          </w:cols>
          <w:pgMar w:left="240" w:top="348" w:right="239" w:bottom="1440" w:gutter="0" w:footer="0" w:header="0"/>
          <w:type w:val="continuous"/>
        </w:sectPr>
      </w:pPr>
    </w:p>
    <w:p>
      <w:pPr>
        <w:spacing w:after="0" w:line="5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If to Executive: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500"/>
        <w:spacing w:after="0" w:line="274" w:lineRule="auto"/>
        <w:rPr>
          <w:sz w:val="20"/>
          <w:szCs w:val="20"/>
          <w:color w:val="auto"/>
        </w:rPr>
      </w:pPr>
      <w:r>
        <w:rPr>
          <w:rFonts w:ascii="Arial" w:cs="Arial" w:eastAsia="Arial" w:hAnsi="Arial"/>
          <w:sz w:val="21"/>
          <w:szCs w:val="21"/>
          <w:color w:val="auto"/>
        </w:rPr>
        <w:t>Aaron Gatt Floridia at the most recent address for Executive listed in the payroll records of the Company.</w:t>
      </w:r>
    </w:p>
    <w:p>
      <w:pPr>
        <w:spacing w:after="0" w:line="178" w:lineRule="exact"/>
        <w:rPr>
          <w:sz w:val="20"/>
          <w:szCs w:val="20"/>
          <w:color w:val="auto"/>
        </w:rPr>
      </w:pPr>
    </w:p>
    <w:p>
      <w:pPr>
        <w:sectPr>
          <w:pgSz w:w="11900" w:h="16838" w:orient="portrait"/>
          <w:cols w:equalWidth="0" w:num="2">
            <w:col w:w="2980" w:space="720"/>
            <w:col w:w="7720"/>
          </w:cols>
          <w:pgMar w:left="240" w:top="348" w:right="239" w:bottom="144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or to such other address as either party may furnish to the other in writing in accordance herewith, except that notices of changes of address shall be effective only upon receipt.</w:t>
      </w:r>
    </w:p>
    <w:p>
      <w:pPr>
        <w:spacing w:after="0" w:line="173" w:lineRule="exact"/>
        <w:rPr>
          <w:sz w:val="20"/>
          <w:szCs w:val="20"/>
          <w:color w:val="auto"/>
        </w:rPr>
      </w:pPr>
    </w:p>
    <w:p>
      <w:pPr>
        <w:jc w:val="both"/>
        <w:ind w:firstLine="885"/>
        <w:spacing w:after="0" w:line="277" w:lineRule="auto"/>
        <w:tabs>
          <w:tab w:leader="none" w:pos="1778"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Applicable Law; Venue</w:t>
      </w:r>
      <w:r>
        <w:rPr>
          <w:rFonts w:ascii="Arial" w:cs="Arial" w:eastAsia="Arial" w:hAnsi="Arial"/>
          <w:sz w:val="19"/>
          <w:szCs w:val="19"/>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 Any suit, action or other legal proceeding arising out of this Agreement shall be brought in the United States District Court for the Southern District of Texas, Houston Division, or, if such court does not have jurisdiction or will not accept jurisdiction, in any court of general jurisdiction in Harris County, Texas. Each of Executive and the Company consents to the jurisdiction of any such court in any such suit, action, or proceeding and waives any objection that it may have to the laying of venue of any such suit, action, or proceeding in any such court.</w:t>
      </w:r>
    </w:p>
    <w:p>
      <w:pPr>
        <w:spacing w:after="0" w:line="152" w:lineRule="exact"/>
        <w:rPr>
          <w:rFonts w:ascii="Arial" w:cs="Arial" w:eastAsia="Arial" w:hAnsi="Arial"/>
          <w:sz w:val="19"/>
          <w:szCs w:val="19"/>
          <w:color w:val="auto"/>
        </w:rPr>
      </w:pPr>
    </w:p>
    <w:p>
      <w:pPr>
        <w:jc w:val="both"/>
        <w:ind w:firstLine="885"/>
        <w:spacing w:after="0" w:line="252" w:lineRule="auto"/>
        <w:tabs>
          <w:tab w:leader="none" w:pos="177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in this Agreement which is prohibited or unenforceable in any jurisdiction by reason of applicable law shall, as to such jurisdiction, be ineffective only to the extent of such prohibition or unenforceability without invalidating or affecting the remaining provisions hereof, and any such prohibition or unenforceability in any jurisdiction shall not invalidate or render unenforceable such provision in any other jurisdiction.</w:t>
      </w:r>
    </w:p>
    <w:p>
      <w:pPr>
        <w:spacing w:after="0" w:line="174" w:lineRule="exact"/>
        <w:rPr>
          <w:rFonts w:ascii="Arial" w:cs="Arial" w:eastAsia="Arial" w:hAnsi="Arial"/>
          <w:sz w:val="21"/>
          <w:szCs w:val="21"/>
          <w:color w:val="auto"/>
        </w:rPr>
      </w:pPr>
    </w:p>
    <w:p>
      <w:pPr>
        <w:ind w:right="20" w:firstLine="885"/>
        <w:spacing w:after="0" w:line="274" w:lineRule="auto"/>
        <w:tabs>
          <w:tab w:leader="none" w:pos="1778"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Withholding of Taxes</w:t>
      </w:r>
      <w:r>
        <w:rPr>
          <w:rFonts w:ascii="Arial" w:cs="Arial" w:eastAsia="Arial" w:hAnsi="Arial"/>
          <w:sz w:val="21"/>
          <w:szCs w:val="21"/>
          <w:color w:val="auto"/>
        </w:rPr>
        <w:t>: The Company may withhold from any benefits payable under this Agreement all federal, state, city or other taxes as may be required pursuant to any law or governmental regulation or ruling.</w:t>
      </w:r>
    </w:p>
    <w:p>
      <w:pPr>
        <w:spacing w:after="0" w:line="150" w:lineRule="exact"/>
        <w:rPr>
          <w:rFonts w:ascii="Arial" w:cs="Arial" w:eastAsia="Arial" w:hAnsi="Arial"/>
          <w:sz w:val="21"/>
          <w:szCs w:val="21"/>
          <w:color w:val="auto"/>
        </w:rPr>
      </w:pPr>
    </w:p>
    <w:p>
      <w:pPr>
        <w:jc w:val="both"/>
        <w:ind w:firstLine="885"/>
        <w:spacing w:after="0" w:line="248" w:lineRule="auto"/>
        <w:tabs>
          <w:tab w:leader="none" w:pos="1872"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No Assignment; Successors</w:t>
      </w:r>
      <w:r>
        <w:rPr>
          <w:rFonts w:ascii="Arial" w:cs="Arial" w:eastAsia="Arial" w:hAnsi="Arial"/>
          <w:sz w:val="21"/>
          <w:szCs w:val="21"/>
          <w:color w:val="auto"/>
        </w:rPr>
        <w:t>: Executive’s right to receive payments or benefits hereunder shall not be assignable or transferable, whether by pledge, creation, or a security interest or otherwise, whether voluntary, involuntary, by operation of law or otherwise, other than a transfer by will or by the laws of descent or distribution, and in the event of any attempted assignment or transfer contrary to this Section 13,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type w:val="continuous"/>
        </w:sectPr>
      </w:pPr>
    </w:p>
    <w:bookmarkStart w:id="37" w:name="page38"/>
    <w:bookmarkEnd w:id="37"/>
    <w:p>
      <w:pPr>
        <w:spacing w:after="0" w:line="251" w:lineRule="auto"/>
        <w:rPr>
          <w:sz w:val="20"/>
          <w:szCs w:val="20"/>
          <w:color w:val="auto"/>
        </w:rPr>
      </w:pPr>
      <w:r>
        <w:rPr>
          <w:rFonts w:ascii="Arial" w:cs="Arial" w:eastAsia="Arial" w:hAnsi="Arial"/>
          <w:sz w:val="22"/>
          <w:szCs w:val="22"/>
          <w:color w:val="auto"/>
        </w:rPr>
        <w:t>This Agreement shall be binding upon and inure to the benefit of the Company, its successors and assigns (including, without limitation, any company into or with which the Company may merge or consolidate).</w:t>
      </w:r>
    </w:p>
    <w:p>
      <w:pPr>
        <w:spacing w:after="0" w:line="173" w:lineRule="exact"/>
        <w:rPr>
          <w:sz w:val="20"/>
          <w:szCs w:val="20"/>
          <w:color w:val="auto"/>
        </w:rPr>
      </w:pPr>
    </w:p>
    <w:p>
      <w:pPr>
        <w:jc w:val="both"/>
        <w:ind w:firstLine="885"/>
        <w:spacing w:after="0" w:line="235" w:lineRule="auto"/>
        <w:tabs>
          <w:tab w:leader="none" w:pos="1778"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Effect of Prior Agreements</w:t>
      </w:r>
      <w:r>
        <w:rPr>
          <w:rFonts w:ascii="Arial" w:cs="Arial" w:eastAsia="Arial" w:hAnsi="Arial"/>
          <w:sz w:val="22"/>
          <w:szCs w:val="22"/>
          <w:color w:val="auto"/>
        </w:rPr>
        <w:t>: This Agreement contains the entire understanding between the parties hereto and supersedes any prior employment, severance or other agreement between the Company or any Affiliate, or any predecessor of the Company or any Affiliate, and Executive (except any agreement containing restrictions relating to patents, confidential information, intellectual property, solicitation or competition). For the avoidance of doubt, this clause shall not affect the validity of Executive’s equity compensation related agreements, or his entitlement to vested benefits pursuant to any employee benefit plan of the Company or its Affiliates.</w:t>
      </w:r>
    </w:p>
    <w:p>
      <w:pPr>
        <w:spacing w:after="0" w:line="188" w:lineRule="exact"/>
        <w:rPr>
          <w:rFonts w:ascii="Arial" w:cs="Arial" w:eastAsia="Arial" w:hAnsi="Arial"/>
          <w:sz w:val="22"/>
          <w:szCs w:val="22"/>
          <w:color w:val="auto"/>
        </w:rPr>
      </w:pPr>
    </w:p>
    <w:p>
      <w:pPr>
        <w:jc w:val="both"/>
        <w:ind w:firstLine="885"/>
        <w:spacing w:after="0" w:line="275" w:lineRule="auto"/>
        <w:tabs>
          <w:tab w:leader="none" w:pos="177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In consideration for the compensation and other benefits provided pursuant to this Agreement, Executive agrees to execute a “Waiver and Release,” a form of which is attached hereto as Exhibit A. Executive acknowledges that he was given copies of this Agreement and the Waiver and Release on March 7, 2019 and was given at least 21 days to consider whether to sign the Agreement and the Waiver and Release. The Company’s obligations under this Agreement are expressly conditioned on the execution of the Waiver and Release contemporaneously with the execution of this Agreement, no payments will be provided hereunder until the Waiver and Release is executed and delivered, and Executive’s failure to execute and deliver such Waiver and Release, or Executive’s revocation of the Waiver and Release within the seven day period provided in the Release, will void the Company’s obligations hereunder.</w:t>
      </w:r>
    </w:p>
    <w:p>
      <w:pPr>
        <w:spacing w:after="0" w:line="158" w:lineRule="exact"/>
        <w:rPr>
          <w:rFonts w:ascii="Arial" w:cs="Arial" w:eastAsia="Arial" w:hAnsi="Arial"/>
          <w:sz w:val="19"/>
          <w:szCs w:val="19"/>
          <w:color w:val="auto"/>
        </w:rPr>
      </w:pPr>
    </w:p>
    <w:p>
      <w:pPr>
        <w:ind w:left="1780" w:hanging="895"/>
        <w:spacing w:after="0"/>
        <w:tabs>
          <w:tab w:leader="none" w:pos="178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Section 409A Compliance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620" w:hanging="870"/>
        <w:spacing w:after="0" w:line="236" w:lineRule="auto"/>
        <w:tabs>
          <w:tab w:leader="none" w:pos="26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Executive is a “specified employee” for purposes of Section 409A of the Code, and the regulations thereunder, to the extent required to comply with Section 409A of the Code, any payments otherwise payable on account of the Executive’s separation from service which are deferred compensation subject to Section 409A of the Code shall not commence until one day after the day which is six (6) months from the date of termination.</w:t>
      </w:r>
    </w:p>
    <w:p>
      <w:pPr>
        <w:spacing w:after="0" w:line="187" w:lineRule="exact"/>
        <w:rPr>
          <w:rFonts w:ascii="Arial" w:cs="Arial" w:eastAsia="Arial" w:hAnsi="Arial"/>
          <w:sz w:val="22"/>
          <w:szCs w:val="22"/>
          <w:color w:val="auto"/>
        </w:rPr>
      </w:pPr>
    </w:p>
    <w:p>
      <w:pPr>
        <w:jc w:val="both"/>
        <w:ind w:left="2620" w:hanging="870"/>
        <w:spacing w:after="0" w:line="287" w:lineRule="auto"/>
        <w:tabs>
          <w:tab w:leader="none" w:pos="26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This Agreement is intended to comply with Section 409A of the Code (to the extent applicable) and, to the extent it would not adversely impact the Company, the Company agrees to interpret, apply and administer this Agreement in the least restrictive manner necessary to comply with such requirements and without resulting in any diminution in the value of payments or benefits to the Executive.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38" w:name="page39"/>
    <w:bookmarkEnd w:id="38"/>
    <w:p>
      <w:pPr>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and delivered the 7th day of March, 2019, but effective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80"/>
        <w:spacing w:after="0"/>
        <w:tabs>
          <w:tab w:leader="none" w:pos="4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i w:val="1"/>
          <w:iCs w:val="1"/>
          <w:color w:val="auto"/>
        </w:rPr>
        <w:t>/s/ Pat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7620</wp:posOffset>
            </wp:positionV>
            <wp:extent cx="32499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Pat Strong, HR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Schlumberger Global Resources, Ltd.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80"/>
        <w:spacing w:after="0"/>
        <w:tabs>
          <w:tab w:leader="none" w:pos="4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i w:val="1"/>
          <w:iCs w:val="1"/>
          <w:color w:val="auto"/>
        </w:rPr>
        <w:t>/s/ Midori Nakagawa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7620</wp:posOffset>
            </wp:positionV>
            <wp:extent cx="32499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27"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Midori Nakagawa, International Support Center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22"/>
          <w:szCs w:val="22"/>
          <w:i w:val="1"/>
          <w:iCs w:val="1"/>
          <w:color w:val="auto"/>
        </w:rPr>
        <w:t>/s/ Aaron Gatt Floridia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7620</wp:posOffset>
            </wp:positionV>
            <wp:extent cx="3944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Aaron Gatt Floridia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SCHLUMBERGER LIMITED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WAIVER AND RELEASE</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Schlumberger Limited has offered to pay me certain benefits (“Benefits”) pursuant to my Employment Agreement with Schlumberger Limited, effective as of April 1, 2019 (the “Effective Date”), which are in addition to any remuneration or benefits to which I am already entitled. These Benefits were offered to me in exchange for my agreement, among other things, to waive all of my claims against and release Schlumberger Limited and its predecessors, successors and assigns (collectively referred to as the “Company”), all of the affiliates (including parents and subsidiaries) of the Company and Schlumberger Limited, the ultimate parent of the Company, (collectively referred to as the “Affiliates”) and the Company’s and Affiliates’ directors and officers, employees and agents, employee benefit plans and the fiduciaries and agents of said plans (collectively, with the Company and Affiliates, referred to as the “Corporate Group”) from any and all claims, demands, actions, liabilities and damages arising out of or relating in any way to my employment with or separation from the Company or the Affiliates; provided, however, that this Waiver and Release shall not apply to any claim or cause of action to enforce or interpret any provision contained in the Agreement. I have read this Waiver and Release and the Agreement (which, together, are referred to herein as the “Agreement Materials”) and the Agreement is incorporated herein by reference. The provision of the Benefits is voluntary on the part of the Company and is not required by any legal obligation other than the Agreement. I choose to accept this offer.</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I understand that signing this Waiver and Release is an important legal act. I acknowledge that the Company has advised me in writing to consult an attorney before signing this Waiver and Release. I understand that, in order to be eligible for Benefits, I must sign and return to Pat Strong, HR Manager, Schlumberger Limited, 5599 San Felipe, 17th Floor, Houston, TX 77056) this Waiver and Release by 5 p.m. on </w:t>
      </w:r>
      <w:r>
        <w:rPr>
          <w:rFonts w:ascii="Arial" w:cs="Arial" w:eastAsia="Arial" w:hAnsi="Arial"/>
          <w:sz w:val="21"/>
          <w:szCs w:val="21"/>
          <w:u w:val="single" w:color="auto"/>
          <w:color w:val="auto"/>
        </w:rPr>
        <w:t>March 28, 2019</w:t>
      </w:r>
      <w:r>
        <w:rPr>
          <w:rFonts w:ascii="Arial" w:cs="Arial" w:eastAsia="Arial" w:hAnsi="Arial"/>
          <w:sz w:val="21"/>
          <w:szCs w:val="21"/>
          <w:color w:val="auto"/>
        </w:rPr>
        <w:t>. I acknowledge that I have been given at least 21 days to consider whether to sign the Agreement and whether to execute this Waiver and Release, and that no Benefits will be paid or provided to me until I execute this Waiver and Release and deliver it to the Company.</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exchange for the payment to me of Benefits, which are in addition to any remuneration or benefits to which I am already entitled, I, among other things, (1) agree never to institute, maintain or prosecute, or induce or assist in the instigation, commencement, maintenance or prosecution of any action, suit, proceeding or administrative charge in any forum regarding or relating in any way to my employment with or separation from the Company or the Affiliates, and (2) knowingly and voluntarily waive all claims and release the Corporate Group from any and all claims, demands, actions, liabilities, and damages, whether known or unknown, arising out of or relating in any way to my employment with or separation from the Company or the Affiliates, except to the extent that my rights are vested under the terms of employee benefit plans sponsored by the Company or the Affiliates and except with respect to such rights or claims as may arise after the date this Waiver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9"/>
          <w:szCs w:val="19"/>
          <w:color w:val="auto"/>
        </w:rPr>
        <w:t>and Release is executed. This Waiver and Release includes, but is not limited to, claims and causes of action under: Title VII of the Civil Rights Act of 1964, as amended (“Title VII”); the Age Discrimination in Employment Act of 1967, as amended, including the Older Workers Benefit Protection Act of 1990 (“ADEA’’); the Civil Rights Act of 1866, as amended; the Civil Rights Act of 1991; the Americans with Disabilities Act of 1990 (“ADA”); the Energy Reorganization Act, as amended, 42 U.S.C. § 5851; the Workers Adjustment and Retraining Notification Act of 1988; the Pregnancy Discrimination Act of 1978; the Employee Retirement Income Security Act of 1974, as amended; the Family and Medical Leave Act of 1993; the Occupational Safety and Health Act; claims in connection with workers’ compensation; and/or contract, tort, defamation, slander, wrongful termination or any other state or federal regulatory, statutory or common law. Further, I expressly represent that no promise or agreement which is not expressed in the Agreement Materials has been made to me in executing this Waiver and Release, and that I am relying on my own judgment in executing this Waiver and Release, and that I am not relying on any statement or representation of the Company, any of the Affiliates or any other member of the Corporate Group or any of their agents. I agree that this Waiver and Release is valid, fair, adequate and reasonable, is with my full knowledge and consent, was not procured through fraud, duress or mistake and has not had the effect of misleading, misinforming or failing to inform me. Notwithstanding the above, nothing in this Agreement is intended to (i) release or affect in any way any board resolution or by-law of the Company or other agreement between me and the Company which may provide for indemnity and/or director and officer insurance coverage relating to any potential claim against me arising out of my role as an officer and employee of the Company (ii) release or affect in any way any claims arising under the Agreement, (iii) prevent me from filing a complaint with, providing information to, or testifying or otherwise assisting in any investigation or proceeding brought by any state, federal or local regulatory or law enforcement agency or legislative body, or (iv) prevent me from filing any claims that are not permitted to be waived or released under applicable law. However, I further agree and covenant that I will not seek or accept any personal, equitable or monetary relief from the Corporate Group in any action, suit, proceeding or administrative charge filed on my behalf by any person, organization or other entity against the Corporate Group. Notwithstanding the foregoing, I understand and the Company agrees, that nothing in the Agreement or this Waiver and Release prohibits me from reporting to any governmental authority information concerning possible violations of law or regulation, making other disclosures that are protected under the whistleblower provisions of federal law or regulation or receiving an award for information provided to any government agency. This Agreement and the Waiver and Release do not limit my right to receive an award for information provided to any governmental agencies. Pursuant to the Defend Trade Secrets Act of 2016, I understand that I will not be held criminally or civilly liable under any federal or state trade secret law for the disclosure of any secret or confidential information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1" w:name="page42"/>
    <w:bookmarkEnd w:id="41"/>
    <w:p>
      <w:pPr>
        <w:jc w:val="both"/>
        <w:spacing w:after="0" w:line="275" w:lineRule="auto"/>
        <w:rPr>
          <w:sz w:val="20"/>
          <w:szCs w:val="20"/>
          <w:color w:val="auto"/>
        </w:rPr>
      </w:pPr>
      <w:r>
        <w:rPr>
          <w:rFonts w:ascii="Arial" w:cs="Arial" w:eastAsia="Arial" w:hAnsi="Arial"/>
          <w:sz w:val="19"/>
          <w:szCs w:val="19"/>
          <w:color w:val="auto"/>
        </w:rPr>
        <w:t>I acknowledge that payment of Benefits to me by the Company is not an admission by the Company or any other member of the Corporate Group that they engaged in any wrongful or unlawful act or that the Company or any member of the Corporate Group violated any federal or state law or regulation. Except as provided in the Agreement Materials, I acknowledge that neither the Company nor any other member of the Corporate Group has promised me continued employment or represented to me that I will be rehired in the future. I acknowledge that the Company and I contemplate an unequivocal, complete and final dissolution of my employment relationship following the Term (as defined in the Agreement). I acknowledge that this Waiver and Release does not create any right on my part to be rehired by the Company or the Affiliates and I hereby waive any right to future employment by the Company or any other member of the Corporate Group.</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and the other Agreement Materials set forth the entire understanding and agreement between me and the Company or any other member of the Corporate Group concerning the subject matter of this Waiver and Release and supersede any prior or contemporaneous oral and/or written agreements or representations, if any, between me and the Company or any other member of the Corporate Group. I understand that for a period of 7 calendar days following the date that I sign this Waiver and Release, I may revoke my acceptance of the offer, provided that my written statement of revocation is received on or before that seventh day by Pat Strong, HR Manager, in which case the Waiver and Release will not become effective. In the event I revoke my acceptance of this offer, the Company shall have no obligation to provide me Benefits. I understand that failure to revoke my acceptance of the offer within 7 calendar days from the date I sign this Waiver and Release will result in this Waiver and Release being permanent and irrevocable.</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any other member of the Corporate Group which occur after the date of the execution of this Waiver and Release.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34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7" w:lineRule="exact"/>
        <w:rPr>
          <w:sz w:val="20"/>
          <w:szCs w:val="20"/>
          <w:color w:val="auto"/>
        </w:rPr>
      </w:pPr>
    </w:p>
    <w:p>
      <w:pPr>
        <w:ind w:left="560" w:hanging="172"/>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8"/>
        <w:spacing w:after="0" w:line="342" w:lineRule="auto"/>
        <w:tabs>
          <w:tab w:leader="none" w:pos="574"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8"/>
        <w:spacing w:after="0" w:line="277" w:lineRule="auto"/>
        <w:tabs>
          <w:tab w:leader="none" w:pos="5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4" w:lineRule="auto"/>
        <w:tabs>
          <w:tab w:leader="none" w:pos="5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hanging="504"/>
        <w:spacing w:after="0" w:line="308" w:lineRule="auto"/>
        <w:tabs>
          <w:tab w:leader="none" w:pos="11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120" w:hanging="504"/>
        <w:spacing w:after="0" w:line="264"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388"/>
        <w:spacing w:after="0" w:line="308" w:lineRule="auto"/>
        <w:tabs>
          <w:tab w:leader="none" w:pos="5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04"/>
        <w:spacing w:after="0" w:line="277"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120" w:hanging="504"/>
        <w:spacing w:after="0" w:line="277"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July 24,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3"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7" w:lineRule="exact"/>
        <w:rPr>
          <w:sz w:val="20"/>
          <w:szCs w:val="20"/>
          <w:color w:val="auto"/>
        </w:rPr>
      </w:pPr>
    </w:p>
    <w:p>
      <w:pPr>
        <w:ind w:left="560" w:hanging="17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8"/>
        <w:spacing w:after="0" w:line="342" w:lineRule="auto"/>
        <w:tabs>
          <w:tab w:leader="none" w:pos="574"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8"/>
        <w:spacing w:after="0" w:line="277" w:lineRule="auto"/>
        <w:tabs>
          <w:tab w:leader="none" w:pos="5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4" w:lineRule="auto"/>
        <w:tabs>
          <w:tab w:leader="none" w:pos="5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hanging="504"/>
        <w:spacing w:after="0" w:line="308" w:lineRule="auto"/>
        <w:tabs>
          <w:tab w:leader="none" w:pos="11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120" w:hanging="504"/>
        <w:spacing w:after="0" w:line="264"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388"/>
        <w:spacing w:after="0" w:line="308" w:lineRule="auto"/>
        <w:tabs>
          <w:tab w:leader="none" w:pos="57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04"/>
        <w:spacing w:after="0" w:line="277"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120" w:hanging="504"/>
        <w:spacing w:after="0" w:line="277"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July 24,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5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June 30, 2019 as filed with the Securities and Exchange Commission on the date hereof (the “Report”), I, Paal Kibsgaard, Chief Executive Officer of the Company, certify, pursuant to 18 U.S.C. § 1350, as adopted pursuant to § 906 of the Sarbanes-Oxley Act of 2002, that:</w:t>
      </w:r>
    </w:p>
    <w:p>
      <w:pPr>
        <w:spacing w:after="0" w:line="73" w:lineRule="exact"/>
        <w:rPr>
          <w:sz w:val="20"/>
          <w:szCs w:val="20"/>
          <w:color w:val="auto"/>
        </w:rPr>
      </w:pPr>
    </w:p>
    <w:p>
      <w:pPr>
        <w:ind w:left="10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July 24, 2019</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5"/>
        </w:trPr>
        <w:tc>
          <w:tcPr>
            <w:tcW w:w="54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54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553"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June 30, 2019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57" w:lineRule="exact"/>
        <w:rPr>
          <w:sz w:val="20"/>
          <w:szCs w:val="20"/>
          <w:color w:val="auto"/>
        </w:rPr>
      </w:pPr>
    </w:p>
    <w:p>
      <w:pPr>
        <w:ind w:left="10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July 24, 2019</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5"/>
        </w:trPr>
        <w:tc>
          <w:tcPr>
            <w:tcW w:w="54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54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553"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56"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table that follows reflects citations, orders, violations and proposed assessments issued by the Mine Safety and Health Administration (the “MSHA”) to indirect subsidiaries of Schlumberger. The disclosure is with respect to the three months ended June 30, 2019. Due to timing and other factors, the data may not agree with the mine data retrieval system maintained by the MSHA at www.MSHA.gov.</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4"/>
              </w:rPr>
              <w:t>Received</w:t>
            </w: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4"/>
              </w:rPr>
              <w:t>Received</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3"/>
              </w:rPr>
              <w:t>Notice of</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8"/>
              </w:rPr>
              <w:t>Pattern of</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5"/>
              </w:rPr>
              <w:t>Have</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2"/>
              </w:rPr>
              <w:t>Violations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1"/>
              </w:rPr>
              <w:t>Pattern</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0"/>
              </w:rPr>
              <w:t>Total Dollar</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Number</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Under</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4"/>
              </w:rPr>
              <w:t>Under</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8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Legal Actions</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ind w:left="120"/>
              <w:spacing w:after="0" w:line="135" w:lineRule="exact"/>
              <w:rPr>
                <w:sz w:val="20"/>
                <w:szCs w:val="20"/>
                <w:color w:val="auto"/>
              </w:rPr>
            </w:pPr>
            <w:r>
              <w:rPr>
                <w:rFonts w:ascii="Arial" w:cs="Arial" w:eastAsia="Arial" w:hAnsi="Arial"/>
                <w:sz w:val="13"/>
                <w:szCs w:val="13"/>
                <w:color w:val="auto"/>
              </w:rPr>
              <w:t>Section</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104(d)</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00" w:type="dxa"/>
            <w:vAlign w:val="bottom"/>
          </w:tcPr>
          <w:p>
            <w:pPr>
              <w:ind w:left="160"/>
              <w:spacing w:after="0" w:line="135" w:lineRule="exact"/>
              <w:rPr>
                <w:sz w:val="20"/>
                <w:szCs w:val="20"/>
                <w:color w:val="auto"/>
              </w:rPr>
            </w:pPr>
            <w:r>
              <w:rPr>
                <w:rFonts w:ascii="Arial" w:cs="Arial" w:eastAsia="Arial" w:hAnsi="Arial"/>
                <w:sz w:val="13"/>
                <w:szCs w:val="13"/>
                <w:color w:val="auto"/>
              </w:rPr>
              <w:t>Section</w:t>
            </w:r>
          </w:p>
        </w:tc>
        <w:tc>
          <w:tcPr>
            <w:tcW w:w="10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2"/>
              </w:rPr>
              <w:t>Value of MSHA</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4"/>
              </w:rPr>
              <w:t>of Mining</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6"/>
              </w:rPr>
              <w:t>Pending as</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Legal Actions</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88"/>
              </w:rPr>
              <w:t>Resolved</w:t>
            </w: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Arial" w:cs="Arial" w:eastAsia="Arial" w:hAnsi="Arial"/>
                <w:sz w:val="13"/>
                <w:szCs w:val="13"/>
                <w:color w:val="auto"/>
              </w:rPr>
              <w:t>Mine or Operating Name/MSHA</w:t>
            </w: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Section 104</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5"/>
              </w:rPr>
              <w:t>104(b)</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Citations</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9"/>
              </w:rPr>
              <w:t>110(b)(2)</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107(a)</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2"/>
              </w:rPr>
              <w:t>Assessments</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4"/>
              </w:rPr>
              <w:t>Related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104(e)</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1"/>
              </w:rPr>
              <w:t>of Last Day</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Initiated</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0" w:type="dxa"/>
            <w:vAlign w:val="bottom"/>
          </w:tcPr>
          <w:p>
            <w:pPr>
              <w:spacing w:after="0"/>
              <w:rPr>
                <w:sz w:val="1"/>
                <w:szCs w:val="1"/>
                <w:color w:val="auto"/>
              </w:rPr>
            </w:pPr>
          </w:p>
        </w:tc>
      </w:tr>
      <w:tr>
        <w:trPr>
          <w:trHeight w:val="149"/>
        </w:trPr>
        <w:tc>
          <w:tcPr>
            <w:tcW w:w="2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89"/>
              </w:rPr>
              <w:t>S&amp;S Citations</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Orders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and Orders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Violations</w:t>
            </w: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Orders</w:t>
            </w:r>
          </w:p>
        </w:tc>
        <w:tc>
          <w:tcPr>
            <w:tcW w:w="106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color w:val="auto"/>
                <w:w w:val="86"/>
              </w:rPr>
              <w:t xml:space="preserve">Proposed </w:t>
            </w:r>
            <w:r>
              <w:rPr>
                <w:rFonts w:ascii="Arial" w:cs="Arial" w:eastAsia="Arial" w:hAnsi="Arial"/>
                <w:sz w:val="10"/>
                <w:szCs w:val="10"/>
                <w:color w:val="auto"/>
                <w:w w:val="86"/>
              </w:rPr>
              <w:t>(1)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Fatalities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of 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During 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Period</w:t>
            </w:r>
          </w:p>
        </w:tc>
        <w:tc>
          <w:tcPr>
            <w:tcW w:w="0" w:type="dxa"/>
            <w:vAlign w:val="bottom"/>
          </w:tcPr>
          <w:p>
            <w:pPr>
              <w:spacing w:after="0"/>
              <w:rPr>
                <w:sz w:val="1"/>
                <w:szCs w:val="1"/>
                <w:color w:val="auto"/>
              </w:rPr>
            </w:pPr>
          </w:p>
        </w:tc>
      </w:tr>
      <w:tr>
        <w:trPr>
          <w:trHeight w:val="275"/>
        </w:trPr>
        <w:tc>
          <w:tcPr>
            <w:tcW w:w="200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76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85"/>
        </w:trPr>
        <w:tc>
          <w:tcPr>
            <w:tcW w:w="2000" w:type="dxa"/>
            <w:vAlign w:val="bottom"/>
          </w:tcPr>
          <w:p>
            <w:pPr>
              <w:spacing w:after="0"/>
              <w:rPr>
                <w:sz w:val="20"/>
                <w:szCs w:val="20"/>
                <w:color w:val="auto"/>
              </w:rPr>
            </w:pPr>
            <w:r>
              <w:rPr>
                <w:rFonts w:ascii="Arial" w:cs="Arial" w:eastAsia="Arial" w:hAnsi="Arial"/>
                <w:sz w:val="13"/>
                <w:szCs w:val="13"/>
                <w:color w:val="auto"/>
              </w:rPr>
              <w:t>Battle Mountain Grinding</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Plant/2600828</w:t>
            </w: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2000" w:type="dxa"/>
            <w:vAlign w:val="bottom"/>
          </w:tcPr>
          <w:p>
            <w:pPr>
              <w:spacing w:after="0"/>
              <w:rPr>
                <w:sz w:val="20"/>
                <w:szCs w:val="20"/>
                <w:color w:val="auto"/>
              </w:rPr>
            </w:pPr>
            <w:r>
              <w:rPr>
                <w:rFonts w:ascii="Arial" w:cs="Arial" w:eastAsia="Arial" w:hAnsi="Arial"/>
                <w:sz w:val="13"/>
                <w:szCs w:val="13"/>
                <w:color w:val="auto"/>
              </w:rPr>
              <w:t>Galveston GBT Barite Grinding</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Plant/4104675</w:t>
            </w: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00" w:type="dxa"/>
            <w:vAlign w:val="bottom"/>
            <w:vMerge w:val="restart"/>
          </w:tcPr>
          <w:p>
            <w:pPr>
              <w:spacing w:after="0"/>
              <w:rPr>
                <w:sz w:val="20"/>
                <w:szCs w:val="20"/>
                <w:color w:val="auto"/>
              </w:rPr>
            </w:pPr>
            <w:r>
              <w:rPr>
                <w:rFonts w:ascii="Arial" w:cs="Arial" w:eastAsia="Arial" w:hAnsi="Arial"/>
                <w:sz w:val="13"/>
                <w:szCs w:val="13"/>
                <w:color w:val="auto"/>
                <w:w w:val="97"/>
              </w:rPr>
              <w:t>Greybull Milling Operation/4800602</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81"/>
        </w:trPr>
        <w:tc>
          <w:tcPr>
            <w:tcW w:w="20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2000" w:type="dxa"/>
            <w:vAlign w:val="bottom"/>
            <w:vMerge w:val="restart"/>
          </w:tcPr>
          <w:p>
            <w:pPr>
              <w:spacing w:after="0"/>
              <w:rPr>
                <w:sz w:val="20"/>
                <w:szCs w:val="20"/>
                <w:color w:val="auto"/>
              </w:rPr>
            </w:pPr>
            <w:r>
              <w:rPr>
                <w:rFonts w:ascii="Arial" w:cs="Arial" w:eastAsia="Arial" w:hAnsi="Arial"/>
                <w:sz w:val="13"/>
                <w:szCs w:val="13"/>
                <w:color w:val="auto"/>
                <w:w w:val="96"/>
              </w:rPr>
              <w:t>Greybull Mining Operation/4800603</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81"/>
        </w:trPr>
        <w:tc>
          <w:tcPr>
            <w:tcW w:w="20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000" w:type="dxa"/>
            <w:vAlign w:val="bottom"/>
          </w:tcPr>
          <w:p>
            <w:pPr>
              <w:spacing w:after="0"/>
              <w:rPr>
                <w:sz w:val="20"/>
                <w:szCs w:val="20"/>
                <w:color w:val="auto"/>
              </w:rPr>
            </w:pPr>
            <w:r>
              <w:rPr>
                <w:rFonts w:ascii="Arial" w:cs="Arial" w:eastAsia="Arial" w:hAnsi="Arial"/>
                <w:sz w:val="13"/>
                <w:szCs w:val="13"/>
                <w:color w:val="auto"/>
              </w:rPr>
              <w:t>Greystone Mine/2600411</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76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85"/>
        </w:trPr>
        <w:tc>
          <w:tcPr>
            <w:tcW w:w="2000" w:type="dxa"/>
            <w:vAlign w:val="bottom"/>
          </w:tcPr>
          <w:p>
            <w:pPr>
              <w:spacing w:after="0"/>
              <w:rPr>
                <w:sz w:val="20"/>
                <w:szCs w:val="20"/>
                <w:color w:val="auto"/>
              </w:rPr>
            </w:pPr>
            <w:r>
              <w:rPr>
                <w:rFonts w:ascii="Arial" w:cs="Arial" w:eastAsia="Arial" w:hAnsi="Arial"/>
                <w:sz w:val="13"/>
                <w:szCs w:val="13"/>
                <w:color w:val="auto"/>
              </w:rPr>
              <w:t>Mountain Springs Beneficiation</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Plant/2601390</w:t>
            </w: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rPr>
              <w:t>Wisconsin Proppants Hixton</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2"/>
              </w:rPr>
              <w:t>$374</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Mine/4703742</w:t>
            </w: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rPr>
              <w:t>Wisconsin Proppants Alma</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Mine/4703823</w:t>
            </w: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rPr>
              <w:t>Wisconsin Proppants Monahans</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Mine/4105336</w:t>
            </w: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w w:val="88"/>
              </w:rPr>
              <w:t>Wisconsin Proppants High Roller Sand</w:t>
            </w:r>
          </w:p>
        </w:tc>
        <w:tc>
          <w:tcPr>
            <w:tcW w:w="860" w:type="dxa"/>
            <w:vAlign w:val="bottom"/>
            <w:vMerge w:val="restart"/>
          </w:tcPr>
          <w:p>
            <w:pPr>
              <w:jc w:val="center"/>
              <w:ind w:right="17"/>
              <w:spacing w:after="0"/>
              <w:rPr>
                <w:sz w:val="20"/>
                <w:szCs w:val="20"/>
                <w:color w:val="auto"/>
              </w:rPr>
            </w:pPr>
            <w:r>
              <w:rPr>
                <w:rFonts w:ascii="Arial" w:cs="Arial" w:eastAsia="Arial" w:hAnsi="Arial"/>
                <w:sz w:val="13"/>
                <w:szCs w:val="13"/>
                <w:color w:val="auto"/>
                <w:w w:val="82"/>
              </w:rPr>
              <w:t>2</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0"/>
              </w:rPr>
              <w:t>$1,972</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Mine/4105321</w:t>
            </w:r>
          </w:p>
        </w:tc>
        <w:tc>
          <w:tcPr>
            <w:tcW w:w="8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520" w:right="280" w:hanging="512"/>
        <w:spacing w:after="0" w:line="273" w:lineRule="auto"/>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during the quarter on or before June 30, 2019,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2"/>
    </w:lvl>
  </w:abstractNum>
  <w:abstractNum w:abstractNumId="3">
    <w:nsid w:val="75A2A8D4"/>
    <w:multiLevelType w:val="hybridMultilevel"/>
    <w:lvl w:ilvl="0">
      <w:lvlJc w:val="left"/>
      <w:lvlText w:val="%1."/>
      <w:numFmt w:val="decimal"/>
      <w:start w:val="3"/>
    </w:lvl>
  </w:abstractNum>
  <w:abstractNum w:abstractNumId="4">
    <w:nsid w:val="8EDBDAB"/>
    <w:multiLevelType w:val="hybridMultilevel"/>
    <w:lvl w:ilvl="0">
      <w:lvlJc w:val="left"/>
      <w:lvlText w:val="%1."/>
      <w:numFmt w:val="decimal"/>
      <w:start w:val="6"/>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7"/>
    </w:lvl>
  </w:abstractNum>
  <w:abstractNum w:abstractNumId="8">
    <w:nsid w:val="189A769B"/>
    <w:multiLevelType w:val="hybridMultilevel"/>
    <w:lvl w:ilvl="0">
      <w:lvlJc w:val="left"/>
      <w:lvlText w:val="%1."/>
      <w:numFmt w:val="decimal"/>
      <w:start w:val="8"/>
    </w:lvl>
  </w:abstractNum>
  <w:abstractNum w:abstractNumId="9">
    <w:nsid w:val="54E49EB4"/>
    <w:multiLevelType w:val="hybridMultilevel"/>
    <w:lvl w:ilvl="0">
      <w:lvlJc w:val="left"/>
      <w:lvlText w:val="%1."/>
      <w:numFmt w:val="decimal"/>
      <w:start w:val="9"/>
    </w:lvl>
  </w:abstractNum>
  <w:abstractNum w:abstractNumId="10">
    <w:nsid w:val="71F32454"/>
    <w:multiLevelType w:val="hybridMultilevel"/>
    <w:lvl w:ilvl="0">
      <w:lvlJc w:val="left"/>
      <w:lvlText w:val="%1."/>
      <w:numFmt w:val="decimal"/>
      <w:start w:val="10"/>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2"/>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lvl w:ilvl="1">
      <w:lvlJc w:val="left"/>
      <w:lvlText w:val="(%2)"/>
      <w:numFmt w:val="lowerLetter"/>
      <w:start w:val="1"/>
    </w:lvl>
  </w:abstractNum>
  <w:abstractNum w:abstractNumId="25">
    <w:nsid w:val="5577F8E1"/>
    <w:multiLevelType w:val="hybridMultilevel"/>
    <w:lvl w:ilvl="0">
      <w:lvlJc w:val="left"/>
      <w:lvlText w:val="(%1)"/>
      <w:numFmt w:val="lowerLetter"/>
      <w:start w:val="3"/>
    </w:lvl>
  </w:abstractNum>
  <w:abstractNum w:abstractNumId="26">
    <w:nsid w:val="440BADFC"/>
    <w:multiLevelType w:val="hybridMultilevel"/>
    <w:lvl w:ilvl="0">
      <w:lvlJc w:val="left"/>
      <w:lvlText w:val="(%1)"/>
      <w:numFmt w:val="lowerLetter"/>
      <w:start w:val="5"/>
    </w:lvl>
  </w:abstractNum>
  <w:abstractNum w:abstractNumId="27">
    <w:nsid w:val="507236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
    <w:nsid w:val="3804823E"/>
    <w:multiLevelType w:val="hybridMultilevel"/>
    <w:lvl w:ilvl="0">
      <w:lvlJc w:val="left"/>
      <w:lvlText w:val="(%1)"/>
      <w:numFmt w:val="lowerLetter"/>
      <w:start w:val="2"/>
    </w:lvl>
  </w:abstractNum>
  <w:abstractNum w:abstractNumId="29">
    <w:nsid w:val="77465F0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0">
    <w:nsid w:val="7724C67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32">
    <w:nsid w:val="2463B9E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3">
    <w:nsid w:val="5E884ADC"/>
    <w:multiLevelType w:val="hybridMultilevel"/>
    <w:lvl w:ilvl="0">
      <w:lvlJc w:val="left"/>
      <w:lvlText w:val="%1"/>
      <w:numFmt w:val="lowerLetter"/>
      <w:start w:val="1"/>
    </w:lvl>
    <w:lvl w:ilvl="1">
      <w:lvlJc w:val="left"/>
      <w:lvlText w:val="%2)"/>
      <w:numFmt w:val="decimal"/>
      <w:start w:val="7"/>
    </w:lvl>
  </w:abstractNum>
  <w:abstractNum w:abstractNumId="34">
    <w:nsid w:val="51EAD36B"/>
    <w:multiLevelType w:val="hybridMultilevel"/>
    <w:lvl w:ilvl="0">
      <w:lvlJc w:val="left"/>
      <w:lvlText w:val="(%1)"/>
      <w:numFmt w:val="lowerLetter"/>
      <w:start w:val="2"/>
    </w:lvl>
    <w:lvl w:ilvl="1">
      <w:lvlJc w:val="left"/>
      <w:lvlText w:val="%2"/>
      <w:numFmt w:val="decimal"/>
      <w:start w:val="1"/>
    </w:lvl>
  </w:abstractNum>
  <w:abstractNum w:abstractNumId="35">
    <w:nsid w:val="2D517796"/>
    <w:multiLevelType w:val="hybridMultilevel"/>
    <w:lvl w:ilvl="0">
      <w:lvlJc w:val="left"/>
      <w:lvlText w:val="%1."/>
      <w:numFmt w:val="decimal"/>
      <w:start w:val="7"/>
    </w:lvl>
  </w:abstractNum>
  <w:abstractNum w:abstractNumId="36">
    <w:nsid w:val="580BD78F"/>
    <w:multiLevelType w:val="hybridMultilevel"/>
    <w:lvl w:ilvl="0">
      <w:lvlJc w:val="left"/>
      <w:lvlText w:val="%1."/>
      <w:numFmt w:val="decimal"/>
      <w:start w:val="9"/>
    </w:lvl>
  </w:abstractNum>
  <w:abstractNum w:abstractNumId="37">
    <w:nsid w:val="153EA438"/>
    <w:multiLevelType w:val="hybridMultilevel"/>
    <w:lvl w:ilvl="0">
      <w:lvlJc w:val="left"/>
      <w:lvlText w:val="%1."/>
      <w:numFmt w:val="decimal"/>
      <w:start w:val="10"/>
    </w:lvl>
  </w:abstractNum>
  <w:abstractNum w:abstractNumId="38">
    <w:nsid w:val="3855585C"/>
    <w:multiLevelType w:val="hybridMultilevel"/>
    <w:lvl w:ilvl="0">
      <w:lvlJc w:val="left"/>
      <w:lvlText w:val="%1."/>
      <w:numFmt w:val="decimal"/>
      <w:start w:val="14"/>
    </w:lvl>
    <w:lvl w:ilvl="1">
      <w:lvlJc w:val="left"/>
      <w:lvlText w:val="(%2)"/>
      <w:numFmt w:val="lowerLetter"/>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49" Type="http://schemas.openxmlformats.org/officeDocument/2006/relationships/hyperlink" Target="http://www.sec.gov/Archives/edgar/data/87347/000119312516532046/d176097dex31.htm" TargetMode="External"/><Relationship Id="rId50" Type="http://schemas.openxmlformats.org/officeDocument/2006/relationships/hyperlink" Target="http://www.sec.gov/Archives/edgar/data/87347/000119312519198989/d763655dex3.htm" TargetMode="External"/><Relationship Id="rId51" Type="http://schemas.openxmlformats.org/officeDocument/2006/relationships/hyperlink" Target="http://www.sec.gov/Archives/edgar/data/87347/000119312519096693/d72956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2019-12-28T09:55:05Z</dcterms:created>
  <dcterms:modified xsi:type="dcterms:W3CDTF">2019-12-28T09:55:05Z</dcterms:modified>
</cp:coreProperties>
</file>