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August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August 25, 2015, Schlumberger Holdings Corporation, a Delaware corporation (“Schlumberger Holdings”), Rain Merger Sub LLC, a Delaware limited liability company and a direct wholly-owned subsidiary of Schlumberger Holdings (“Merger Sub”), Schlumberger Limited, a company organized under the laws of Curaçao and the indirect parent company of Schlumberger Holdings (“Schlumberger”), and Cameron International Corporation, a Delaware corporation (“Cameron”), entered into an Agreement and Plan of Merger (the “Merger Agreement”). Under the terms of the Merger Agreement, Schlumberger Holdings will acquire Cameron in a transaction in which Merger Sub will merge with and into Cameron, with Cameron as the surviving entity, and Schlumberger Holdings acquiring all of the stock of Cameron (the “Merger”). The Merger Agreement has been unanimously approved by the boards of directors of each of Schlumberger Holdings, Schlumberger and Cameron. Since 2013, Cameron and Schlumberger have been partners in OneSubsea™, a venture established to manufacture and develop products, systems and services for the subsea oil and gas market.</w:t>
      </w:r>
    </w:p>
    <w:p>
      <w:pPr>
        <w:spacing w:after="0" w:line="17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Under the terms of the Merger Agreement, each share of Cameron common stock outstanding immediately prior to the effective time of the Merger (other than treasury shares held by Cameron, any shares of Cameron common stock owned by Schlumberger Holdings, Merger Sub, or Schlumberger or any person who properly demands statutory appraisal of his or her shares) will be exchanged for 0.716 shares of Schlumberger common stock (the “Exchange Ratio”) and $14.44 in cash (the “Per Share Cash Amount”) (such shares and cash, the “Merger Consideration”). At the effective time of the Merger, (i) each Cameron stock option will cease to represent a right to acquire Cameron common stock and will be converted into an option to acquire shares of Schlumberger common stock, (ii) each Cameron restricted stock unit award will be converted into the right to receive a restricted stock unit award with respect to Schlumberger common stock, (iii) each Cameron deferred stock unit award will be cancelled and converted into the right to receive the Merger Consideration based on the total number of shares subject to such award and (iv) each Cameron performance share award will be converted into the right to receive vested deferred stock units with respect to Schlumberger common stock, based on the attainment of the performance goals pursuant to the methodology agreed between Schlumberger and Cameron.</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Completion of the Merger is subject to customary conditions, including: (1) approval by Cameron’s stockholders; (2) regulatory approvals, including expiration or early termination of the applicable waiting period under the Hart-Scott-Rodino Antitrust Improvements Act of 1976 and the receipt of approval of the European Commission under Council Regulation (EC) No. 139/2004 of 20 January 2004; (3) the effectiveness of a registration statement on Form S-4 that will be filed by Schlumberger for the issuance of its common stock in connection with the Merger; and (4) the approval of the listing of these shares on the New York Stock Exchange.</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Schlumberger Holdings, Merger Sub, Schlumberger and Cameron have made customary representations, warranties and covenants in the Merger Agreement. In addition, Cameron has covenanted (1) to conduct its business in the ordinary course; (2) to hold a meeting of its stockholders to consider approval of the Merger Agreement and the transactions contemplated by the Merger Agreement; (3) subject to certain exceptions, for its board of directors to recommend approval by the stockholders of the Merger Agreement and the transactions contemplated by the Merger Agreement; (4) not to solicit proposals relating to alternative business combination transactions; and (5) subject to certain exceptions, not to enter into discussions concerning or provide confidential information in connection with alternative business combination transactions.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Merger Agreement contains provisions granting both Schlumberger and Cameron rights to terminate the Merger Agreement under specified conditions, including (1) if the Merger is not completed by August 25, 2016 (unless extended by either party in accordance with the Merger Agreement to a date not later than November 25, 2016); (2) if Cameron’s stockholders fail to approve the Merger Agreement or (3) if a final nonappealable governmental order has been issued prohibiting the Merger. The Merger Agreement contains provisions granting Cameron the right to terminate the Merger Agreement under specified conditions, including (1) in order for Cameron to enter into a Superior Proposal (as defined in the Merger Agreement) if certain conditions are met or (2) if Schlumberger Holdings or Schlumberger has materially breached a representation, warranty or covenant, and such breach is not curable and Cameron has not so breached. The Merger Agreement contains provisions granting Schlumberger the right to terminate the Merger Agreement under specified conditions, including (1) if Cameron’s board of directors either fails to recommend that Cameron stockholders approve the Merger or changes its recommendation, or (2) if Cameron has materially breached a representation, warranty or covenant, and such breach is not curable and Schlumberger has not so breached. In the event of a termination of the Merger Agreement under certain circumstances, Cameron may be required to pay Schlumberger Holdings a termination fee equal to $321 million or either party may be required to reimburse the other party for its transaction expenses up to $10 million.</w:t>
      </w:r>
    </w:p>
    <w:p>
      <w:pPr>
        <w:sectPr>
          <w:pgSz w:w="11900" w:h="16838" w:orient="portrait"/>
          <w:cols w:equalWidth="0" w:num="1">
            <w:col w:w="11400"/>
          </w:cols>
          <w:pgMar w:left="240" w:top="121" w:right="259" w:bottom="1440" w:gutter="0" w:footer="0" w:header="0"/>
        </w:sectPr>
      </w:pPr>
    </w:p>
    <w:bookmarkStart w:id="2" w:name="page3"/>
    <w:bookmarkEnd w:id="2"/>
    <w:p>
      <w:pPr>
        <w:ind w:right="700" w:firstLine="456"/>
        <w:spacing w:after="0" w:line="277"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Merger Agreement, which is attached hereto as Exhibit 2.1 and is incorporated by reference herein.</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Merger Agreement has been included to provide security holders with information regarding its terms. It is not intended to provide any other factual information about Schlumberger Holdings, Schlumberger or Cameron. The representations, warranties and covenants contained in the Merger Agreement were made solely for purposes of the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are not third-party beneficiaries under the Merger Agreement and should not rely on the representations, warranties and covenants or any descriptions thereof as characterizations of the actual state of facts or condition of Schlumberger Holdings, Schlumberger or Cameron. Moreover, information concerning the subject matter of the representations and warranties may change after the date of the Merger Agreement, which subsequent information may or may not be fully reflected in Schlumberger’s or Cameron’s public disclosures.</w:t>
      </w:r>
    </w:p>
    <w:p>
      <w:pPr>
        <w:sectPr>
          <w:pgSz w:w="11900" w:h="16838" w:orient="portrait"/>
          <w:cols w:equalWidth="0" w:num="1">
            <w:col w:w="11340"/>
          </w:cols>
          <w:pgMar w:left="240" w:top="125" w:right="31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August 26, 2015 at 8:30 am (Eastern time), Schlumberger and Cameron conducted an investor conference call with respect to the Merger, a copy of the related materials are attached as Exhibit 99.1 to this report and incorporated herein by reference. Schlumberger also issued a message to its management team, a copy of which is filed as Exhibit 99.2 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communication does not constitute an offer to buy or sell or the solicitation of an offer to buy or sell any securities or a solicitation of any vote or approval. This communication relates to a proposed business combination between Schlumberger and Cameron. In connection with this proposed business combination, Schlumberger and Cameron may file one or more proxy statements, registration statements, proxy statement/prospectus or other documents with the Securities and Exchange Commission (the “SEC”). This communication is not a substitute for any proxy statement, registration statement, proxy statement/prospectus or other document Schlumberger or Cameron may file with the SEC in connection with the proposed transaction.</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STOCKHOLDERS ARE URGED TO READ THE PROXY STATEMENT/PROSPECTUS, THE REGISTRATION STATEMENT AND OTHER DOCUMENTS THAT MAY BE FILED WITH THE SEC REGARDING THE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as well as each company’s other filings with the SEC available at the SEC’s Internet site (http://www.sec.gov). Actual results may differ materially from those expected, estimated or projected. Forward-looking statements speak only as of the date they are made, and Schlumberger undertakes no obligation to publicly update or revise any of them in light of new information, future events or otherwise.</w:t>
      </w:r>
    </w:p>
    <w:p>
      <w:pPr>
        <w:sectPr>
          <w:pgSz w:w="11900" w:h="16838" w:orient="portrait"/>
          <w:cols w:equalWidth="0" w:num="1">
            <w:col w:w="11420"/>
          </w:cols>
          <w:pgMar w:left="240" w:top="121" w:right="2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52" w:lineRule="exact"/>
        <w:rPr>
          <w:sz w:val="20"/>
          <w:szCs w:val="20"/>
          <w:color w:val="auto"/>
        </w:rPr>
      </w:pPr>
    </w:p>
    <w:p>
      <w:pPr>
        <w:ind w:left="1560" w:hanging="544"/>
        <w:spacing w:after="0" w:line="277" w:lineRule="auto"/>
        <w:tabs>
          <w:tab w:leader="none" w:pos="1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among Schlumberger Holdings Corporation, Rain Merger Sub LLC, Schlumberger Limited and Cameron International Corporation, dated August 25, 2015.</w:t>
      </w:r>
    </w:p>
    <w:p>
      <w:pPr>
        <w:spacing w:after="0" w:line="62"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Investor Presentation dated August 26, 2015.</w:t>
      </w:r>
    </w:p>
    <w:p>
      <w:pPr>
        <w:spacing w:after="0" w:line="11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CEO Message to Management dated August 26, 2015.</w:t>
      </w:r>
    </w:p>
    <w:p>
      <w:pPr>
        <w:sectPr>
          <w:pgSz w:w="11900" w:h="16838" w:orient="portrait"/>
          <w:cols w:equalWidth="0" w:num="1">
            <w:col w:w="10740"/>
          </w:cols>
          <w:pgMar w:left="240" w:top="486" w:right="91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2015</w:t>
      </w:r>
    </w:p>
    <w:p>
      <w:pPr>
        <w:sectPr>
          <w:pgSz w:w="11900" w:h="16838" w:orient="portrait"/>
          <w:cols w:equalWidth="0" w:num="1">
            <w:col w:w="11200"/>
          </w:cols>
          <w:pgMar w:left="240" w:top="121"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SCHLUMBERGER HOLDINGS CORPORATION,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RAIN MERGER SUB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SCHLUMBERGER N.V.</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CAMERON INTERNATIONAL CORPORATION</w:t>
      </w:r>
    </w:p>
    <w:p>
      <w:pPr>
        <w:spacing w:after="0" w:line="23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7260" w:type="dxa"/>
            <w:vAlign w:val="bottom"/>
          </w:tcPr>
          <w:p>
            <w:pPr>
              <w:ind w:left="3220"/>
              <w:spacing w:after="0"/>
              <w:rPr>
                <w:sz w:val="20"/>
                <w:szCs w:val="20"/>
                <w:color w:val="auto"/>
              </w:rPr>
            </w:pPr>
            <w:r>
              <w:rPr>
                <w:rFonts w:ascii="Arial" w:cs="Arial" w:eastAsia="Arial" w:hAnsi="Arial"/>
                <w:sz w:val="18"/>
                <w:szCs w:val="18"/>
                <w:color w:val="auto"/>
              </w:rPr>
              <w:t>TABLE OF CONTENTS</w:t>
            </w:r>
          </w:p>
        </w:tc>
        <w:tc>
          <w:tcPr>
            <w:tcW w:w="2480" w:type="dxa"/>
            <w:vAlign w:val="bottom"/>
          </w:tcPr>
          <w:p>
            <w:pPr>
              <w:spacing w:after="0"/>
              <w:rPr>
                <w:sz w:val="20"/>
                <w:szCs w:val="20"/>
                <w:color w:val="auto"/>
              </w:rPr>
            </w:pPr>
          </w:p>
        </w:tc>
      </w:tr>
      <w:tr>
        <w:trPr>
          <w:trHeight w:val="407"/>
        </w:trPr>
        <w:tc>
          <w:tcPr>
            <w:tcW w:w="15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95"/>
        </w:trPr>
        <w:tc>
          <w:tcPr>
            <w:tcW w:w="8840" w:type="dxa"/>
            <w:vAlign w:val="bottom"/>
            <w:gridSpan w:val="2"/>
          </w:tcPr>
          <w:p>
            <w:pPr>
              <w:spacing w:after="0"/>
              <w:rPr>
                <w:sz w:val="20"/>
                <w:szCs w:val="20"/>
                <w:color w:val="auto"/>
              </w:rPr>
            </w:pPr>
            <w:r>
              <w:rPr>
                <w:rFonts w:ascii="Arial" w:cs="Arial" w:eastAsia="Arial" w:hAnsi="Arial"/>
                <w:sz w:val="18"/>
                <w:szCs w:val="18"/>
                <w:color w:val="auto"/>
              </w:rPr>
              <w:t>Article 1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w:t>
            </w:r>
          </w:p>
        </w:tc>
        <w:tc>
          <w:tcPr>
            <w:tcW w:w="726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w:t>
            </w:r>
          </w:p>
        </w:tc>
        <w:tc>
          <w:tcPr>
            <w:tcW w:w="7260" w:type="dxa"/>
            <w:vAlign w:val="bottom"/>
          </w:tcPr>
          <w:p>
            <w:pPr>
              <w:ind w:left="180"/>
              <w:spacing w:after="0"/>
              <w:rPr>
                <w:sz w:val="20"/>
                <w:szCs w:val="20"/>
                <w:color w:val="auto"/>
              </w:rPr>
            </w:pPr>
            <w:r>
              <w:rPr>
                <w:rFonts w:ascii="Arial" w:cs="Arial" w:eastAsia="Arial" w:hAnsi="Arial"/>
                <w:sz w:val="18"/>
                <w:szCs w:val="18"/>
                <w:color w:val="auto"/>
              </w:rPr>
              <w:t>The 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w:t>
            </w:r>
          </w:p>
        </w:tc>
        <w:tc>
          <w:tcPr>
            <w:tcW w:w="7260" w:type="dxa"/>
            <w:vAlign w:val="bottom"/>
          </w:tcPr>
          <w:p>
            <w:pPr>
              <w:ind w:left="180"/>
              <w:spacing w:after="0"/>
              <w:rPr>
                <w:sz w:val="20"/>
                <w:szCs w:val="20"/>
                <w:color w:val="auto"/>
              </w:rPr>
            </w:pPr>
            <w:r>
              <w:rPr>
                <w:rFonts w:ascii="Arial" w:cs="Arial" w:eastAsia="Arial" w:hAnsi="Arial"/>
                <w:sz w:val="18"/>
                <w:szCs w:val="18"/>
                <w:color w:val="auto"/>
              </w:rPr>
              <w:t>Effective Time</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w:t>
            </w:r>
          </w:p>
        </w:tc>
        <w:tc>
          <w:tcPr>
            <w:tcW w:w="7260" w:type="dxa"/>
            <w:vAlign w:val="bottom"/>
          </w:tcPr>
          <w:p>
            <w:pPr>
              <w:ind w:left="180"/>
              <w:spacing w:after="0"/>
              <w:rPr>
                <w:sz w:val="20"/>
                <w:szCs w:val="20"/>
                <w:color w:val="auto"/>
              </w:rPr>
            </w:pPr>
            <w:r>
              <w:rPr>
                <w:rFonts w:ascii="Arial" w:cs="Arial" w:eastAsia="Arial" w:hAnsi="Arial"/>
                <w:sz w:val="18"/>
                <w:szCs w:val="18"/>
                <w:color w:val="auto"/>
              </w:rPr>
              <w:t>Certificate of Incorporation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2.2</w:t>
            </w:r>
          </w:p>
        </w:tc>
        <w:tc>
          <w:tcPr>
            <w:tcW w:w="7260" w:type="dxa"/>
            <w:vAlign w:val="bottom"/>
          </w:tcPr>
          <w:p>
            <w:pPr>
              <w:ind w:left="180"/>
              <w:spacing w:after="0"/>
              <w:rPr>
                <w:sz w:val="20"/>
                <w:szCs w:val="20"/>
                <w:color w:val="auto"/>
              </w:rPr>
            </w:pPr>
            <w:r>
              <w:rPr>
                <w:rFonts w:ascii="Arial" w:cs="Arial" w:eastAsia="Arial" w:hAnsi="Arial"/>
                <w:sz w:val="18"/>
                <w:szCs w:val="18"/>
                <w:color w:val="auto"/>
              </w:rPr>
              <w:t>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w:t>
            </w:r>
          </w:p>
        </w:tc>
        <w:tc>
          <w:tcPr>
            <w:tcW w:w="7260" w:type="dxa"/>
            <w:vAlign w:val="bottom"/>
          </w:tcPr>
          <w:p>
            <w:pPr>
              <w:ind w:left="180"/>
              <w:spacing w:after="0"/>
              <w:rPr>
                <w:sz w:val="20"/>
                <w:szCs w:val="20"/>
                <w:color w:val="auto"/>
              </w:rPr>
            </w:pPr>
            <w:r>
              <w:rPr>
                <w:rFonts w:ascii="Arial" w:cs="Arial" w:eastAsia="Arial" w:hAnsi="Arial"/>
                <w:sz w:val="18"/>
                <w:szCs w:val="18"/>
                <w:color w:val="auto"/>
              </w:rPr>
              <w:t>Board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3.2</w:t>
            </w:r>
          </w:p>
        </w:tc>
        <w:tc>
          <w:tcPr>
            <w:tcW w:w="7260" w:type="dxa"/>
            <w:vAlign w:val="bottom"/>
          </w:tcPr>
          <w:p>
            <w:pPr>
              <w:ind w:left="180"/>
              <w:spacing w:after="0"/>
              <w:rPr>
                <w:sz w:val="20"/>
                <w:szCs w:val="20"/>
                <w:color w:val="auto"/>
              </w:rPr>
            </w:pPr>
            <w:r>
              <w:rPr>
                <w:rFonts w:ascii="Arial" w:cs="Arial" w:eastAsia="Arial" w:hAnsi="Arial"/>
                <w:sz w:val="18"/>
                <w:szCs w:val="18"/>
                <w:color w:val="auto"/>
              </w:rPr>
              <w:t>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4 CONVERSION OF CAMERON COMMON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4.1</w:t>
            </w:r>
          </w:p>
        </w:tc>
        <w:tc>
          <w:tcPr>
            <w:tcW w:w="7260" w:type="dxa"/>
            <w:vAlign w:val="bottom"/>
          </w:tcPr>
          <w:p>
            <w:pPr>
              <w:ind w:left="180"/>
              <w:spacing w:after="0"/>
              <w:rPr>
                <w:sz w:val="20"/>
                <w:szCs w:val="20"/>
                <w:color w:val="auto"/>
              </w:rPr>
            </w:pPr>
            <w:r>
              <w:rPr>
                <w:rFonts w:ascii="Arial" w:cs="Arial" w:eastAsia="Arial" w:hAnsi="Arial"/>
                <w:sz w:val="18"/>
                <w:szCs w:val="18"/>
                <w:color w:val="auto"/>
              </w:rPr>
              <w:t>Conversion of Equity Interests of Cameron and Merger Sub</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4.2</w:t>
            </w:r>
          </w:p>
        </w:tc>
        <w:tc>
          <w:tcPr>
            <w:tcW w:w="7260" w:type="dxa"/>
            <w:vAlign w:val="bottom"/>
          </w:tcPr>
          <w:p>
            <w:pPr>
              <w:ind w:left="180"/>
              <w:spacing w:after="0"/>
              <w:rPr>
                <w:sz w:val="20"/>
                <w:szCs w:val="20"/>
                <w:color w:val="auto"/>
              </w:rPr>
            </w:pPr>
            <w:r>
              <w:rPr>
                <w:rFonts w:ascii="Arial" w:cs="Arial" w:eastAsia="Arial" w:hAnsi="Arial"/>
                <w:sz w:val="18"/>
                <w:szCs w:val="18"/>
                <w:color w:val="auto"/>
              </w:rPr>
              <w:t>Exchange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4.3</w:t>
            </w:r>
          </w:p>
        </w:tc>
        <w:tc>
          <w:tcPr>
            <w:tcW w:w="7260" w:type="dxa"/>
            <w:vAlign w:val="bottom"/>
          </w:tcPr>
          <w:p>
            <w:pPr>
              <w:ind w:left="180"/>
              <w:spacing w:after="0"/>
              <w:rPr>
                <w:sz w:val="20"/>
                <w:szCs w:val="20"/>
                <w:color w:val="auto"/>
              </w:rPr>
            </w:pPr>
            <w:r>
              <w:rPr>
                <w:rFonts w:ascii="Arial" w:cs="Arial" w:eastAsia="Arial" w:hAnsi="Arial"/>
                <w:sz w:val="18"/>
                <w:szCs w:val="18"/>
                <w:color w:val="auto"/>
              </w:rPr>
              <w:t>Certain Adjustments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4.4</w:t>
            </w:r>
          </w:p>
        </w:tc>
        <w:tc>
          <w:tcPr>
            <w:tcW w:w="7260" w:type="dxa"/>
            <w:vAlign w:val="bottom"/>
          </w:tcPr>
          <w:p>
            <w:pPr>
              <w:ind w:left="180"/>
              <w:spacing w:after="0"/>
              <w:rPr>
                <w:sz w:val="20"/>
                <w:szCs w:val="20"/>
                <w:color w:val="auto"/>
              </w:rPr>
            </w:pPr>
            <w:r>
              <w:rPr>
                <w:rFonts w:ascii="Arial" w:cs="Arial" w:eastAsia="Arial" w:hAnsi="Arial"/>
                <w:sz w:val="18"/>
                <w:szCs w:val="18"/>
                <w:color w:val="auto"/>
              </w:rPr>
              <w:t>Appraisal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CAMERON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w:t>
            </w:r>
          </w:p>
        </w:tc>
        <w:tc>
          <w:tcPr>
            <w:tcW w:w="7260" w:type="dxa"/>
            <w:vAlign w:val="bottom"/>
          </w:tcPr>
          <w:p>
            <w:pPr>
              <w:ind w:left="180"/>
              <w:spacing w:after="0"/>
              <w:rPr>
                <w:sz w:val="20"/>
                <w:szCs w:val="20"/>
                <w:color w:val="auto"/>
              </w:rPr>
            </w:pPr>
            <w:r>
              <w:rPr>
                <w:rFonts w:ascii="Arial" w:cs="Arial" w:eastAsia="Arial" w:hAnsi="Arial"/>
                <w:sz w:val="18"/>
                <w:szCs w:val="18"/>
                <w:color w:val="auto"/>
              </w:rPr>
              <w:t>Organization; Good Standing and Qualification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w:t>
            </w:r>
          </w:p>
        </w:tc>
        <w:tc>
          <w:tcPr>
            <w:tcW w:w="7260" w:type="dxa"/>
            <w:vAlign w:val="bottom"/>
          </w:tcPr>
          <w:p>
            <w:pPr>
              <w:ind w:left="180"/>
              <w:spacing w:after="0"/>
              <w:rPr>
                <w:sz w:val="20"/>
                <w:szCs w:val="20"/>
                <w:color w:val="auto"/>
              </w:rPr>
            </w:pPr>
            <w:r>
              <w:rPr>
                <w:rFonts w:ascii="Arial" w:cs="Arial" w:eastAsia="Arial" w:hAnsi="Arial"/>
                <w:sz w:val="18"/>
                <w:szCs w:val="18"/>
                <w:color w:val="auto"/>
              </w:rPr>
              <w:t>Authorization, Validity, Enforceability and Fairness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5.3</w:t>
            </w:r>
          </w:p>
        </w:tc>
        <w:tc>
          <w:tcPr>
            <w:tcW w:w="726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5.4</w:t>
            </w:r>
          </w:p>
        </w:tc>
        <w:tc>
          <w:tcPr>
            <w:tcW w:w="7260" w:type="dxa"/>
            <w:vAlign w:val="bottom"/>
          </w:tcPr>
          <w:p>
            <w:pPr>
              <w:ind w:left="180"/>
              <w:spacing w:after="0"/>
              <w:rPr>
                <w:sz w:val="20"/>
                <w:szCs w:val="20"/>
                <w:color w:val="auto"/>
              </w:rPr>
            </w:pPr>
            <w:r>
              <w:rPr>
                <w:rFonts w:ascii="Arial" w:cs="Arial" w:eastAsia="Arial" w:hAnsi="Arial"/>
                <w:sz w:val="18"/>
                <w:szCs w:val="18"/>
                <w:color w:val="auto"/>
              </w:rPr>
              <w:t>Compliance with Laws; Permits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5.5</w:t>
            </w:r>
          </w:p>
        </w:tc>
        <w:tc>
          <w:tcPr>
            <w:tcW w:w="7260" w:type="dxa"/>
            <w:vAlign w:val="bottom"/>
          </w:tcPr>
          <w:p>
            <w:pPr>
              <w:ind w:left="180"/>
              <w:spacing w:after="0"/>
              <w:rPr>
                <w:sz w:val="20"/>
                <w:szCs w:val="20"/>
                <w:color w:val="auto"/>
              </w:rPr>
            </w:pPr>
            <w:r>
              <w:rPr>
                <w:rFonts w:ascii="Arial" w:cs="Arial" w:eastAsia="Arial" w:hAnsi="Arial"/>
                <w:sz w:val="18"/>
                <w:szCs w:val="18"/>
                <w:color w:val="auto"/>
              </w:rPr>
              <w:t>No Conflict</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5.6</w:t>
            </w:r>
          </w:p>
        </w:tc>
        <w:tc>
          <w:tcPr>
            <w:tcW w:w="7260" w:type="dxa"/>
            <w:vAlign w:val="bottom"/>
          </w:tcPr>
          <w:p>
            <w:pPr>
              <w:ind w:left="180"/>
              <w:spacing w:after="0"/>
              <w:rPr>
                <w:sz w:val="20"/>
                <w:szCs w:val="20"/>
                <w:color w:val="auto"/>
              </w:rPr>
            </w:pPr>
            <w:r>
              <w:rPr>
                <w:rFonts w:ascii="Arial" w:cs="Arial" w:eastAsia="Arial" w:hAnsi="Arial"/>
                <w:sz w:val="18"/>
                <w:szCs w:val="18"/>
                <w:color w:val="auto"/>
              </w:rPr>
              <w:t>SEC Documents; 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5.7</w:t>
            </w:r>
          </w:p>
        </w:tc>
        <w:tc>
          <w:tcPr>
            <w:tcW w:w="726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5.8</w:t>
            </w:r>
          </w:p>
        </w:tc>
        <w:tc>
          <w:tcPr>
            <w:tcW w:w="7260" w:type="dxa"/>
            <w:vAlign w:val="bottom"/>
          </w:tcPr>
          <w:p>
            <w:pPr>
              <w:ind w:left="180"/>
              <w:spacing w:after="0"/>
              <w:rPr>
                <w:sz w:val="20"/>
                <w:szCs w:val="20"/>
                <w:color w:val="auto"/>
              </w:rPr>
            </w:pPr>
            <w:r>
              <w:rPr>
                <w:rFonts w:ascii="Arial" w:cs="Arial" w:eastAsia="Arial" w:hAnsi="Arial"/>
                <w:sz w:val="18"/>
                <w:szCs w:val="18"/>
                <w:color w:val="auto"/>
              </w:rPr>
              <w:t>Information Supplied</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5.9</w:t>
            </w:r>
          </w:p>
        </w:tc>
        <w:tc>
          <w:tcPr>
            <w:tcW w:w="7260" w:type="dxa"/>
            <w:vAlign w:val="bottom"/>
          </w:tcPr>
          <w:p>
            <w:pPr>
              <w:ind w:left="18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5.10</w:t>
            </w:r>
          </w:p>
        </w:tc>
        <w:tc>
          <w:tcPr>
            <w:tcW w:w="7260" w:type="dxa"/>
            <w:vAlign w:val="bottom"/>
          </w:tcPr>
          <w:p>
            <w:pPr>
              <w:ind w:left="180"/>
              <w:spacing w:after="0"/>
              <w:rPr>
                <w:sz w:val="20"/>
                <w:szCs w:val="20"/>
                <w:color w:val="auto"/>
              </w:rPr>
            </w:pPr>
            <w:r>
              <w:rPr>
                <w:rFonts w:ascii="Arial" w:cs="Arial" w:eastAsia="Arial" w:hAnsi="Arial"/>
                <w:sz w:val="18"/>
                <w:szCs w:val="18"/>
                <w:color w:val="auto"/>
              </w:rPr>
              <w:t>Absence of Certain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5.11</w:t>
            </w:r>
          </w:p>
        </w:tc>
        <w:tc>
          <w:tcPr>
            <w:tcW w:w="7260" w:type="dxa"/>
            <w:vAlign w:val="bottom"/>
          </w:tcPr>
          <w:p>
            <w:pPr>
              <w:ind w:left="18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5.12</w:t>
            </w:r>
          </w:p>
        </w:tc>
        <w:tc>
          <w:tcPr>
            <w:tcW w:w="7260" w:type="dxa"/>
            <w:vAlign w:val="bottom"/>
          </w:tcPr>
          <w:p>
            <w:pPr>
              <w:ind w:left="180"/>
              <w:spacing w:after="0"/>
              <w:rPr>
                <w:sz w:val="20"/>
                <w:szCs w:val="20"/>
                <w:color w:val="auto"/>
              </w:rPr>
            </w:pPr>
            <w:r>
              <w:rPr>
                <w:rFonts w:ascii="Arial" w:cs="Arial" w:eastAsia="Arial" w:hAnsi="Arial"/>
                <w:sz w:val="18"/>
                <w:szCs w:val="18"/>
                <w:color w:val="auto"/>
              </w:rPr>
              <w:t>Employee Benefit Plans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5.13</w:t>
            </w:r>
          </w:p>
        </w:tc>
        <w:tc>
          <w:tcPr>
            <w:tcW w:w="7260" w:type="dxa"/>
            <w:vAlign w:val="bottom"/>
          </w:tcPr>
          <w:p>
            <w:pPr>
              <w:ind w:left="180"/>
              <w:spacing w:after="0"/>
              <w:rPr>
                <w:sz w:val="20"/>
                <w:szCs w:val="20"/>
                <w:color w:val="auto"/>
              </w:rPr>
            </w:pPr>
            <w:r>
              <w:rPr>
                <w:rFonts w:ascii="Arial" w:cs="Arial" w:eastAsia="Arial" w:hAnsi="Arial"/>
                <w:sz w:val="18"/>
                <w:szCs w:val="18"/>
                <w:color w:val="auto"/>
              </w:rPr>
              <w:t>Labor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5.14</w:t>
            </w:r>
          </w:p>
        </w:tc>
        <w:tc>
          <w:tcPr>
            <w:tcW w:w="726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5.15</w:t>
            </w:r>
          </w:p>
        </w:tc>
        <w:tc>
          <w:tcPr>
            <w:tcW w:w="7260" w:type="dxa"/>
            <w:vAlign w:val="bottom"/>
          </w:tcPr>
          <w:p>
            <w:pPr>
              <w:ind w:left="180"/>
              <w:spacing w:after="0"/>
              <w:rPr>
                <w:sz w:val="20"/>
                <w:szCs w:val="20"/>
                <w:color w:val="auto"/>
              </w:rPr>
            </w:pPr>
            <w:r>
              <w:rPr>
                <w:rFonts w:ascii="Arial" w:cs="Arial" w:eastAsia="Arial" w:hAnsi="Arial"/>
                <w:sz w:val="18"/>
                <w:szCs w:val="18"/>
                <w:color w:val="auto"/>
              </w:rPr>
              <w:t>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5.16</w:t>
            </w:r>
          </w:p>
        </w:tc>
        <w:tc>
          <w:tcPr>
            <w:tcW w:w="726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5.17</w:t>
            </w:r>
          </w:p>
        </w:tc>
        <w:tc>
          <w:tcPr>
            <w:tcW w:w="7260" w:type="dxa"/>
            <w:vAlign w:val="bottom"/>
          </w:tcPr>
          <w:p>
            <w:pPr>
              <w:ind w:left="180"/>
              <w:spacing w:after="0"/>
              <w:rPr>
                <w:sz w:val="20"/>
                <w:szCs w:val="20"/>
                <w:color w:val="auto"/>
              </w:rPr>
            </w:pPr>
            <w:r>
              <w:rPr>
                <w:rFonts w:ascii="Arial" w:cs="Arial" w:eastAsia="Arial" w:hAnsi="Arial"/>
                <w:sz w:val="18"/>
                <w:szCs w:val="18"/>
                <w:color w:val="auto"/>
              </w:rPr>
              <w:t>Decrees, Etc.</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5.18</w:t>
            </w:r>
          </w:p>
        </w:tc>
        <w:tc>
          <w:tcPr>
            <w:tcW w:w="72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5.19</w:t>
            </w:r>
          </w:p>
        </w:tc>
        <w:tc>
          <w:tcPr>
            <w:tcW w:w="7260" w:type="dxa"/>
            <w:vAlign w:val="bottom"/>
          </w:tcPr>
          <w:p>
            <w:pPr>
              <w:ind w:left="180"/>
              <w:spacing w:after="0"/>
              <w:rPr>
                <w:sz w:val="20"/>
                <w:szCs w:val="20"/>
                <w:color w:val="auto"/>
              </w:rPr>
            </w:pPr>
            <w:r>
              <w:rPr>
                <w:rFonts w:ascii="Arial" w:cs="Arial" w:eastAsia="Arial" w:hAnsi="Arial"/>
                <w:sz w:val="18"/>
                <w:szCs w:val="18"/>
                <w:color w:val="auto"/>
              </w:rPr>
              <w:t>No Brokers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5.20</w:t>
            </w:r>
          </w:p>
        </w:tc>
        <w:tc>
          <w:tcPr>
            <w:tcW w:w="7260" w:type="dxa"/>
            <w:vAlign w:val="bottom"/>
          </w:tcPr>
          <w:p>
            <w:pPr>
              <w:ind w:left="180"/>
              <w:spacing w:after="0"/>
              <w:rPr>
                <w:sz w:val="20"/>
                <w:szCs w:val="20"/>
                <w:color w:val="auto"/>
              </w:rPr>
            </w:pPr>
            <w:r>
              <w:rPr>
                <w:rFonts w:ascii="Arial" w:cs="Arial" w:eastAsia="Arial" w:hAnsi="Arial"/>
                <w:sz w:val="18"/>
                <w:szCs w:val="18"/>
                <w:color w:val="auto"/>
              </w:rPr>
              <w:t>Schlumberger Stock Ownership</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5.21</w:t>
            </w:r>
          </w:p>
        </w:tc>
        <w:tc>
          <w:tcPr>
            <w:tcW w:w="7260" w:type="dxa"/>
            <w:vAlign w:val="bottom"/>
          </w:tcPr>
          <w:p>
            <w:pPr>
              <w:ind w:left="180"/>
              <w:spacing w:after="0"/>
              <w:rPr>
                <w:sz w:val="20"/>
                <w:szCs w:val="20"/>
                <w:color w:val="auto"/>
              </w:rPr>
            </w:pPr>
            <w:r>
              <w:rPr>
                <w:rFonts w:ascii="Arial" w:cs="Arial" w:eastAsia="Arial" w:hAnsi="Arial"/>
                <w:sz w:val="18"/>
                <w:szCs w:val="18"/>
                <w:color w:val="auto"/>
              </w:rPr>
              <w:t>Vote Required</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5.22</w:t>
            </w:r>
          </w:p>
        </w:tc>
        <w:tc>
          <w:tcPr>
            <w:tcW w:w="7260" w:type="dxa"/>
            <w:vAlign w:val="bottom"/>
          </w:tcPr>
          <w:p>
            <w:pPr>
              <w:ind w:left="180"/>
              <w:spacing w:after="0"/>
              <w:rPr>
                <w:sz w:val="20"/>
                <w:szCs w:val="20"/>
                <w:color w:val="auto"/>
              </w:rPr>
            </w:pPr>
            <w:r>
              <w:rPr>
                <w:rFonts w:ascii="Arial" w:cs="Arial" w:eastAsia="Arial" w:hAnsi="Arial"/>
                <w:sz w:val="18"/>
                <w:szCs w:val="18"/>
                <w:color w:val="auto"/>
              </w:rPr>
              <w:t>Certain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5.23</w:t>
            </w:r>
          </w:p>
        </w:tc>
        <w:tc>
          <w:tcPr>
            <w:tcW w:w="7260" w:type="dxa"/>
            <w:vAlign w:val="bottom"/>
          </w:tcPr>
          <w:p>
            <w:pPr>
              <w:ind w:left="180"/>
              <w:spacing w:after="0"/>
              <w:rPr>
                <w:sz w:val="20"/>
                <w:szCs w:val="20"/>
                <w:color w:val="auto"/>
              </w:rPr>
            </w:pPr>
            <w:r>
              <w:rPr>
                <w:rFonts w:ascii="Arial" w:cs="Arial" w:eastAsia="Arial" w:hAnsi="Arial"/>
                <w:sz w:val="18"/>
                <w:szCs w:val="18"/>
                <w:color w:val="auto"/>
              </w:rPr>
              <w:t>Export Controls and Trade Sanctions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5.24</w:t>
            </w:r>
          </w:p>
        </w:tc>
        <w:tc>
          <w:tcPr>
            <w:tcW w:w="7620" w:type="dxa"/>
            <w:vAlign w:val="bottom"/>
          </w:tcPr>
          <w:p>
            <w:pPr>
              <w:spacing w:after="0"/>
              <w:rPr>
                <w:sz w:val="20"/>
                <w:szCs w:val="20"/>
                <w:color w:val="auto"/>
              </w:rPr>
            </w:pPr>
            <w:r>
              <w:rPr>
                <w:rFonts w:ascii="Arial" w:cs="Arial" w:eastAsia="Arial" w:hAnsi="Arial"/>
                <w:sz w:val="18"/>
                <w:szCs w:val="18"/>
                <w:color w:val="auto"/>
              </w:rPr>
              <w:t>Foreign Corrupt Practices Act</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5.25</w:t>
            </w:r>
          </w:p>
        </w:tc>
        <w:tc>
          <w:tcPr>
            <w:tcW w:w="7620" w:type="dxa"/>
            <w:vAlign w:val="bottom"/>
          </w:tcPr>
          <w:p>
            <w:pPr>
              <w:spacing w:after="0"/>
              <w:rPr>
                <w:sz w:val="20"/>
                <w:szCs w:val="20"/>
                <w:color w:val="auto"/>
              </w:rPr>
            </w:pPr>
            <w:r>
              <w:rPr>
                <w:rFonts w:ascii="Arial" w:cs="Arial" w:eastAsia="Arial" w:hAnsi="Arial"/>
                <w:sz w:val="18"/>
                <w:szCs w:val="18"/>
                <w:color w:val="auto"/>
              </w:rPr>
              <w:t>Charter Provisions; Takeover Laws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5.26</w:t>
            </w:r>
          </w:p>
        </w:tc>
        <w:tc>
          <w:tcPr>
            <w:tcW w:w="7620" w:type="dxa"/>
            <w:vAlign w:val="bottom"/>
          </w:tcPr>
          <w:p>
            <w:pPr>
              <w:spacing w:after="0"/>
              <w:rPr>
                <w:sz w:val="20"/>
                <w:szCs w:val="20"/>
                <w:color w:val="auto"/>
              </w:rPr>
            </w:pPr>
            <w:r>
              <w:rPr>
                <w:rFonts w:ascii="Arial" w:cs="Arial" w:eastAsia="Arial" w:hAnsi="Arial"/>
                <w:sz w:val="18"/>
                <w:szCs w:val="18"/>
                <w:color w:val="auto"/>
              </w:rPr>
              <w:t>Relationships with Customers and Suppliers</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US AND MERGER SUB</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w:t>
            </w:r>
          </w:p>
        </w:tc>
        <w:tc>
          <w:tcPr>
            <w:tcW w:w="7620" w:type="dxa"/>
            <w:vAlign w:val="bottom"/>
          </w:tcPr>
          <w:p>
            <w:pPr>
              <w:spacing w:after="0"/>
              <w:rPr>
                <w:sz w:val="20"/>
                <w:szCs w:val="20"/>
                <w:color w:val="auto"/>
              </w:rPr>
            </w:pPr>
            <w:r>
              <w:rPr>
                <w:rFonts w:ascii="Arial" w:cs="Arial" w:eastAsia="Arial" w:hAnsi="Arial"/>
                <w:sz w:val="18"/>
                <w:szCs w:val="18"/>
                <w:color w:val="auto"/>
              </w:rPr>
              <w:t>Organization; Good Standing and Qualification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6.2</w:t>
            </w:r>
          </w:p>
        </w:tc>
        <w:tc>
          <w:tcPr>
            <w:tcW w:w="7620" w:type="dxa"/>
            <w:vAlign w:val="bottom"/>
          </w:tcPr>
          <w:p>
            <w:pPr>
              <w:spacing w:after="0"/>
              <w:rPr>
                <w:sz w:val="20"/>
                <w:szCs w:val="20"/>
                <w:color w:val="auto"/>
              </w:rPr>
            </w:pPr>
            <w:r>
              <w:rPr>
                <w:rFonts w:ascii="Arial" w:cs="Arial" w:eastAsia="Arial" w:hAnsi="Arial"/>
                <w:sz w:val="18"/>
                <w:szCs w:val="18"/>
                <w:color w:val="auto"/>
              </w:rPr>
              <w:t>Authorization, Validity and Enforceability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6.3</w:t>
            </w:r>
          </w:p>
        </w:tc>
        <w:tc>
          <w:tcPr>
            <w:tcW w:w="7620" w:type="dxa"/>
            <w:vAlign w:val="bottom"/>
          </w:tcPr>
          <w:p>
            <w:pPr>
              <w:spacing w:after="0"/>
              <w:rPr>
                <w:sz w:val="20"/>
                <w:szCs w:val="20"/>
                <w:color w:val="auto"/>
              </w:rPr>
            </w:pPr>
            <w:r>
              <w:rPr>
                <w:rFonts w:ascii="Arial" w:cs="Arial" w:eastAsia="Arial" w:hAnsi="Arial"/>
                <w:sz w:val="18"/>
                <w:szCs w:val="18"/>
                <w:color w:val="auto"/>
              </w:rPr>
              <w:t>Capitalization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6.4</w:t>
            </w:r>
          </w:p>
        </w:tc>
        <w:tc>
          <w:tcPr>
            <w:tcW w:w="7620" w:type="dxa"/>
            <w:vAlign w:val="bottom"/>
          </w:tcPr>
          <w:p>
            <w:pPr>
              <w:spacing w:after="0"/>
              <w:rPr>
                <w:sz w:val="20"/>
                <w:szCs w:val="20"/>
                <w:color w:val="auto"/>
              </w:rPr>
            </w:pPr>
            <w:r>
              <w:rPr>
                <w:rFonts w:ascii="Arial" w:cs="Arial" w:eastAsia="Arial" w:hAnsi="Arial"/>
                <w:sz w:val="18"/>
                <w:szCs w:val="18"/>
                <w:color w:val="auto"/>
              </w:rPr>
              <w:t>Compliance with Laws; Permits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6.5</w:t>
            </w:r>
          </w:p>
        </w:tc>
        <w:tc>
          <w:tcPr>
            <w:tcW w:w="7620" w:type="dxa"/>
            <w:vAlign w:val="bottom"/>
          </w:tcPr>
          <w:p>
            <w:pPr>
              <w:spacing w:after="0"/>
              <w:rPr>
                <w:sz w:val="20"/>
                <w:szCs w:val="20"/>
                <w:color w:val="auto"/>
              </w:rPr>
            </w:pPr>
            <w:r>
              <w:rPr>
                <w:rFonts w:ascii="Arial" w:cs="Arial" w:eastAsia="Arial" w:hAnsi="Arial"/>
                <w:sz w:val="18"/>
                <w:szCs w:val="18"/>
                <w:color w:val="auto"/>
              </w:rPr>
              <w:t>No Conflict</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6.6</w:t>
            </w:r>
          </w:p>
        </w:tc>
        <w:tc>
          <w:tcPr>
            <w:tcW w:w="7620" w:type="dxa"/>
            <w:vAlign w:val="bottom"/>
          </w:tcPr>
          <w:p>
            <w:pPr>
              <w:spacing w:after="0"/>
              <w:rPr>
                <w:sz w:val="20"/>
                <w:szCs w:val="20"/>
                <w:color w:val="auto"/>
              </w:rPr>
            </w:pPr>
            <w:r>
              <w:rPr>
                <w:rFonts w:ascii="Arial" w:cs="Arial" w:eastAsia="Arial" w:hAnsi="Arial"/>
                <w:sz w:val="18"/>
                <w:szCs w:val="18"/>
                <w:color w:val="auto"/>
              </w:rPr>
              <w:t>Information Supplied</w:t>
            </w: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6.7</w:t>
            </w:r>
          </w:p>
        </w:tc>
        <w:tc>
          <w:tcPr>
            <w:tcW w:w="7620" w:type="dxa"/>
            <w:vAlign w:val="bottom"/>
          </w:tcPr>
          <w:p>
            <w:pPr>
              <w:spacing w:after="0"/>
              <w:rPr>
                <w:sz w:val="20"/>
                <w:szCs w:val="20"/>
                <w:color w:val="auto"/>
              </w:rPr>
            </w:pPr>
            <w:r>
              <w:rPr>
                <w:rFonts w:ascii="Arial" w:cs="Arial" w:eastAsia="Arial" w:hAnsi="Arial"/>
                <w:sz w:val="18"/>
                <w:szCs w:val="18"/>
                <w:color w:val="auto"/>
              </w:rPr>
              <w:t>SEC Documents; Financial Statements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6.8</w:t>
            </w:r>
          </w:p>
        </w:tc>
        <w:tc>
          <w:tcPr>
            <w:tcW w:w="7620" w:type="dxa"/>
            <w:vAlign w:val="bottom"/>
          </w:tcPr>
          <w:p>
            <w:pPr>
              <w:spacing w:after="0"/>
              <w:rPr>
                <w:sz w:val="20"/>
                <w:szCs w:val="20"/>
                <w:color w:val="auto"/>
              </w:rPr>
            </w:pPr>
            <w:r>
              <w:rPr>
                <w:rFonts w:ascii="Arial" w:cs="Arial" w:eastAsia="Arial" w:hAnsi="Arial"/>
                <w:sz w:val="18"/>
                <w:szCs w:val="18"/>
                <w:color w:val="auto"/>
              </w:rPr>
              <w:t>Litigation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6.9</w:t>
            </w:r>
          </w:p>
        </w:tc>
        <w:tc>
          <w:tcPr>
            <w:tcW w:w="7620" w:type="dxa"/>
            <w:vAlign w:val="bottom"/>
          </w:tcPr>
          <w:p>
            <w:pPr>
              <w:spacing w:after="0"/>
              <w:rPr>
                <w:sz w:val="20"/>
                <w:szCs w:val="20"/>
                <w:color w:val="auto"/>
              </w:rPr>
            </w:pPr>
            <w:r>
              <w:rPr>
                <w:rFonts w:ascii="Arial" w:cs="Arial" w:eastAsia="Arial" w:hAnsi="Arial"/>
                <w:sz w:val="18"/>
                <w:szCs w:val="18"/>
                <w:color w:val="auto"/>
              </w:rPr>
              <w:t>Absence of Certain Changes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6.10</w:t>
            </w:r>
          </w:p>
        </w:tc>
        <w:tc>
          <w:tcPr>
            <w:tcW w:w="7620" w:type="dxa"/>
            <w:vAlign w:val="bottom"/>
          </w:tcPr>
          <w:p>
            <w:pPr>
              <w:spacing w:after="0"/>
              <w:rPr>
                <w:sz w:val="20"/>
                <w:szCs w:val="20"/>
                <w:color w:val="auto"/>
              </w:rPr>
            </w:pPr>
            <w:r>
              <w:rPr>
                <w:rFonts w:ascii="Arial" w:cs="Arial" w:eastAsia="Arial" w:hAnsi="Arial"/>
                <w:sz w:val="18"/>
                <w:szCs w:val="18"/>
                <w:color w:val="auto"/>
              </w:rPr>
              <w:t>Cameron Stock Ownership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6.11</w:t>
            </w:r>
          </w:p>
        </w:tc>
        <w:tc>
          <w:tcPr>
            <w:tcW w:w="7620" w:type="dxa"/>
            <w:vAlign w:val="bottom"/>
          </w:tcPr>
          <w:p>
            <w:pPr>
              <w:spacing w:after="0"/>
              <w:rPr>
                <w:sz w:val="20"/>
                <w:szCs w:val="20"/>
                <w:color w:val="auto"/>
              </w:rPr>
            </w:pPr>
            <w:r>
              <w:rPr>
                <w:rFonts w:ascii="Arial" w:cs="Arial" w:eastAsia="Arial" w:hAnsi="Arial"/>
                <w:sz w:val="18"/>
                <w:szCs w:val="18"/>
                <w:color w:val="auto"/>
              </w:rPr>
              <w:t>Export Controls and Trade Sanctions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6.12</w:t>
            </w:r>
          </w:p>
        </w:tc>
        <w:tc>
          <w:tcPr>
            <w:tcW w:w="7620" w:type="dxa"/>
            <w:vAlign w:val="bottom"/>
          </w:tcPr>
          <w:p>
            <w:pPr>
              <w:spacing w:after="0"/>
              <w:rPr>
                <w:sz w:val="20"/>
                <w:szCs w:val="20"/>
                <w:color w:val="auto"/>
              </w:rPr>
            </w:pPr>
            <w:r>
              <w:rPr>
                <w:rFonts w:ascii="Arial" w:cs="Arial" w:eastAsia="Arial" w:hAnsi="Arial"/>
                <w:sz w:val="18"/>
                <w:szCs w:val="18"/>
                <w:color w:val="auto"/>
              </w:rPr>
              <w:t>Foreign Corrupt Practices Act</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6.13</w:t>
            </w:r>
          </w:p>
        </w:tc>
        <w:tc>
          <w:tcPr>
            <w:tcW w:w="7620" w:type="dxa"/>
            <w:vAlign w:val="bottom"/>
          </w:tcPr>
          <w:p>
            <w:pPr>
              <w:spacing w:after="0"/>
              <w:rPr>
                <w:sz w:val="20"/>
                <w:szCs w:val="20"/>
                <w:color w:val="auto"/>
              </w:rPr>
            </w:pPr>
            <w:r>
              <w:rPr>
                <w:rFonts w:ascii="Arial" w:cs="Arial" w:eastAsia="Arial" w:hAnsi="Arial"/>
                <w:sz w:val="18"/>
                <w:szCs w:val="18"/>
                <w:color w:val="auto"/>
              </w:rPr>
              <w:t>Status of Merger Sub</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6.14</w:t>
            </w:r>
          </w:p>
        </w:tc>
        <w:tc>
          <w:tcPr>
            <w:tcW w:w="7620" w:type="dxa"/>
            <w:vAlign w:val="bottom"/>
          </w:tcPr>
          <w:p>
            <w:pPr>
              <w:spacing w:after="0"/>
              <w:rPr>
                <w:sz w:val="20"/>
                <w:szCs w:val="20"/>
                <w:color w:val="auto"/>
              </w:rPr>
            </w:pPr>
            <w:r>
              <w:rPr>
                <w:rFonts w:ascii="Arial" w:cs="Arial" w:eastAsia="Arial" w:hAnsi="Arial"/>
                <w:sz w:val="18"/>
                <w:szCs w:val="18"/>
                <w:color w:val="auto"/>
              </w:rPr>
              <w:t>Decrees, Etc.</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6.15</w:t>
            </w:r>
          </w:p>
        </w:tc>
        <w:tc>
          <w:tcPr>
            <w:tcW w:w="7620" w:type="dxa"/>
            <w:vAlign w:val="bottom"/>
          </w:tcPr>
          <w:p>
            <w:pPr>
              <w:spacing w:after="0"/>
              <w:rPr>
                <w:sz w:val="20"/>
                <w:szCs w:val="20"/>
                <w:color w:val="auto"/>
              </w:rPr>
            </w:pPr>
            <w:r>
              <w:rPr>
                <w:rFonts w:ascii="Arial" w:cs="Arial" w:eastAsia="Arial" w:hAnsi="Arial"/>
                <w:sz w:val="18"/>
                <w:szCs w:val="18"/>
                <w:color w:val="auto"/>
              </w:rPr>
              <w:t>Sufficient Funds</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color w:val="auto"/>
              </w:rPr>
              <w:t>Article 7 REPRESENTATIONS AND WARRANTIES OF SCHLUMBERGER</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w:t>
            </w:r>
          </w:p>
        </w:tc>
        <w:tc>
          <w:tcPr>
            <w:tcW w:w="7620" w:type="dxa"/>
            <w:vAlign w:val="bottom"/>
          </w:tcPr>
          <w:p>
            <w:pPr>
              <w:spacing w:after="0"/>
              <w:rPr>
                <w:sz w:val="20"/>
                <w:szCs w:val="20"/>
                <w:color w:val="auto"/>
              </w:rPr>
            </w:pPr>
            <w:r>
              <w:rPr>
                <w:rFonts w:ascii="Arial" w:cs="Arial" w:eastAsia="Arial" w:hAnsi="Arial"/>
                <w:sz w:val="18"/>
                <w:szCs w:val="18"/>
                <w:color w:val="auto"/>
              </w:rPr>
              <w:t>Organization; Good Standing and Qualification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7.2</w:t>
            </w:r>
          </w:p>
        </w:tc>
        <w:tc>
          <w:tcPr>
            <w:tcW w:w="7620" w:type="dxa"/>
            <w:vAlign w:val="bottom"/>
          </w:tcPr>
          <w:p>
            <w:pPr>
              <w:spacing w:after="0"/>
              <w:rPr>
                <w:sz w:val="20"/>
                <w:szCs w:val="20"/>
                <w:color w:val="auto"/>
              </w:rPr>
            </w:pPr>
            <w:r>
              <w:rPr>
                <w:rFonts w:ascii="Arial" w:cs="Arial" w:eastAsia="Arial" w:hAnsi="Arial"/>
                <w:sz w:val="18"/>
                <w:szCs w:val="18"/>
                <w:color w:val="auto"/>
              </w:rPr>
              <w:t>Authorization, Validity and Enforceability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7.3</w:t>
            </w:r>
          </w:p>
        </w:tc>
        <w:tc>
          <w:tcPr>
            <w:tcW w:w="7620" w:type="dxa"/>
            <w:vAlign w:val="bottom"/>
          </w:tcPr>
          <w:p>
            <w:pPr>
              <w:spacing w:after="0"/>
              <w:rPr>
                <w:sz w:val="20"/>
                <w:szCs w:val="20"/>
                <w:color w:val="auto"/>
              </w:rPr>
            </w:pPr>
            <w:r>
              <w:rPr>
                <w:rFonts w:ascii="Arial" w:cs="Arial" w:eastAsia="Arial" w:hAnsi="Arial"/>
                <w:sz w:val="18"/>
                <w:szCs w:val="18"/>
                <w:color w:val="auto"/>
              </w:rPr>
              <w:t>Capitalization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7.4</w:t>
            </w:r>
          </w:p>
        </w:tc>
        <w:tc>
          <w:tcPr>
            <w:tcW w:w="7620" w:type="dxa"/>
            <w:vAlign w:val="bottom"/>
          </w:tcPr>
          <w:p>
            <w:pPr>
              <w:spacing w:after="0"/>
              <w:rPr>
                <w:sz w:val="20"/>
                <w:szCs w:val="20"/>
                <w:color w:val="auto"/>
              </w:rPr>
            </w:pPr>
            <w:r>
              <w:rPr>
                <w:rFonts w:ascii="Arial" w:cs="Arial" w:eastAsia="Arial" w:hAnsi="Arial"/>
                <w:sz w:val="18"/>
                <w:szCs w:val="18"/>
                <w:color w:val="auto"/>
              </w:rPr>
              <w:t>Compliance with Laws; Permits</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7.5</w:t>
            </w:r>
          </w:p>
        </w:tc>
        <w:tc>
          <w:tcPr>
            <w:tcW w:w="7620" w:type="dxa"/>
            <w:vAlign w:val="bottom"/>
          </w:tcPr>
          <w:p>
            <w:pPr>
              <w:spacing w:after="0"/>
              <w:rPr>
                <w:sz w:val="20"/>
                <w:szCs w:val="20"/>
                <w:color w:val="auto"/>
              </w:rPr>
            </w:pPr>
            <w:r>
              <w:rPr>
                <w:rFonts w:ascii="Arial" w:cs="Arial" w:eastAsia="Arial" w:hAnsi="Arial"/>
                <w:sz w:val="18"/>
                <w:szCs w:val="18"/>
                <w:color w:val="auto"/>
              </w:rPr>
              <w:t>No Conflict</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7.6</w:t>
            </w:r>
          </w:p>
        </w:tc>
        <w:tc>
          <w:tcPr>
            <w:tcW w:w="7620" w:type="dxa"/>
            <w:vAlign w:val="bottom"/>
          </w:tcPr>
          <w:p>
            <w:pPr>
              <w:spacing w:after="0"/>
              <w:rPr>
                <w:sz w:val="20"/>
                <w:szCs w:val="20"/>
                <w:color w:val="auto"/>
              </w:rPr>
            </w:pPr>
            <w:r>
              <w:rPr>
                <w:rFonts w:ascii="Arial" w:cs="Arial" w:eastAsia="Arial" w:hAnsi="Arial"/>
                <w:sz w:val="18"/>
                <w:szCs w:val="18"/>
                <w:color w:val="auto"/>
              </w:rPr>
              <w:t>SEC Documents; Financial Statements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7.7</w:t>
            </w:r>
          </w:p>
        </w:tc>
        <w:tc>
          <w:tcPr>
            <w:tcW w:w="7620" w:type="dxa"/>
            <w:vAlign w:val="bottom"/>
          </w:tcPr>
          <w:p>
            <w:pPr>
              <w:spacing w:after="0"/>
              <w:rPr>
                <w:sz w:val="20"/>
                <w:szCs w:val="20"/>
                <w:color w:val="auto"/>
              </w:rPr>
            </w:pPr>
            <w:r>
              <w:rPr>
                <w:rFonts w:ascii="Arial" w:cs="Arial" w:eastAsia="Arial" w:hAnsi="Arial"/>
                <w:sz w:val="18"/>
                <w:szCs w:val="18"/>
                <w:color w:val="auto"/>
              </w:rPr>
              <w:t>Information Supplied</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7.8</w:t>
            </w:r>
          </w:p>
        </w:tc>
        <w:tc>
          <w:tcPr>
            <w:tcW w:w="7620" w:type="dxa"/>
            <w:vAlign w:val="bottom"/>
          </w:tcPr>
          <w:p>
            <w:pPr>
              <w:spacing w:after="0"/>
              <w:rPr>
                <w:sz w:val="20"/>
                <w:szCs w:val="20"/>
                <w:color w:val="auto"/>
              </w:rPr>
            </w:pPr>
            <w:r>
              <w:rPr>
                <w:rFonts w:ascii="Arial" w:cs="Arial" w:eastAsia="Arial" w:hAnsi="Arial"/>
                <w:sz w:val="18"/>
                <w:szCs w:val="18"/>
                <w:color w:val="auto"/>
              </w:rPr>
              <w:t>Litigation</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7.9</w:t>
            </w:r>
          </w:p>
        </w:tc>
        <w:tc>
          <w:tcPr>
            <w:tcW w:w="7620" w:type="dxa"/>
            <w:vAlign w:val="bottom"/>
          </w:tcPr>
          <w:p>
            <w:pPr>
              <w:spacing w:after="0"/>
              <w:rPr>
                <w:sz w:val="20"/>
                <w:szCs w:val="20"/>
                <w:color w:val="auto"/>
              </w:rPr>
            </w:pPr>
            <w:r>
              <w:rPr>
                <w:rFonts w:ascii="Arial" w:cs="Arial" w:eastAsia="Arial" w:hAnsi="Arial"/>
                <w:sz w:val="18"/>
                <w:szCs w:val="18"/>
                <w:color w:val="auto"/>
              </w:rPr>
              <w:t>Absence of Certain Changes</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7.10</w:t>
            </w:r>
          </w:p>
        </w:tc>
        <w:tc>
          <w:tcPr>
            <w:tcW w:w="7620" w:type="dxa"/>
            <w:vAlign w:val="bottom"/>
          </w:tcPr>
          <w:p>
            <w:pPr>
              <w:spacing w:after="0"/>
              <w:rPr>
                <w:sz w:val="20"/>
                <w:szCs w:val="20"/>
                <w:color w:val="auto"/>
              </w:rPr>
            </w:pPr>
            <w:r>
              <w:rPr>
                <w:rFonts w:ascii="Arial" w:cs="Arial" w:eastAsia="Arial" w:hAnsi="Arial"/>
                <w:sz w:val="18"/>
                <w:szCs w:val="18"/>
                <w:color w:val="auto"/>
              </w:rPr>
              <w:t>Schlumberger US and Cameron Stock Ownership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7.11</w:t>
            </w:r>
          </w:p>
        </w:tc>
        <w:tc>
          <w:tcPr>
            <w:tcW w:w="7620" w:type="dxa"/>
            <w:vAlign w:val="bottom"/>
          </w:tcPr>
          <w:p>
            <w:pPr>
              <w:spacing w:after="0"/>
              <w:rPr>
                <w:sz w:val="20"/>
                <w:szCs w:val="20"/>
                <w:color w:val="auto"/>
              </w:rPr>
            </w:pPr>
            <w:r>
              <w:rPr>
                <w:rFonts w:ascii="Arial" w:cs="Arial" w:eastAsia="Arial" w:hAnsi="Arial"/>
                <w:sz w:val="18"/>
                <w:szCs w:val="18"/>
                <w:color w:val="auto"/>
              </w:rPr>
              <w:t>No Vote Required</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7.12</w:t>
            </w:r>
          </w:p>
        </w:tc>
        <w:tc>
          <w:tcPr>
            <w:tcW w:w="7620" w:type="dxa"/>
            <w:vAlign w:val="bottom"/>
          </w:tcPr>
          <w:p>
            <w:pPr>
              <w:spacing w:after="0"/>
              <w:rPr>
                <w:sz w:val="20"/>
                <w:szCs w:val="20"/>
                <w:color w:val="auto"/>
              </w:rPr>
            </w:pPr>
            <w:r>
              <w:rPr>
                <w:rFonts w:ascii="Arial" w:cs="Arial" w:eastAsia="Arial" w:hAnsi="Arial"/>
                <w:sz w:val="18"/>
                <w:szCs w:val="18"/>
                <w:color w:val="auto"/>
              </w:rPr>
              <w:t>Export Controls and Trade Sanctions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7.13</w:t>
            </w:r>
          </w:p>
        </w:tc>
        <w:tc>
          <w:tcPr>
            <w:tcW w:w="7620" w:type="dxa"/>
            <w:vAlign w:val="bottom"/>
          </w:tcPr>
          <w:p>
            <w:pPr>
              <w:spacing w:after="0"/>
              <w:rPr>
                <w:sz w:val="20"/>
                <w:szCs w:val="20"/>
                <w:color w:val="auto"/>
              </w:rPr>
            </w:pPr>
            <w:r>
              <w:rPr>
                <w:rFonts w:ascii="Arial" w:cs="Arial" w:eastAsia="Arial" w:hAnsi="Arial"/>
                <w:sz w:val="18"/>
                <w:szCs w:val="18"/>
                <w:color w:val="auto"/>
              </w:rPr>
              <w:t>Foreign Corrupt Practices Act</w:t>
            </w: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7.14</w:t>
            </w:r>
          </w:p>
        </w:tc>
        <w:tc>
          <w:tcPr>
            <w:tcW w:w="7620" w:type="dxa"/>
            <w:vAlign w:val="bottom"/>
          </w:tcPr>
          <w:p>
            <w:pPr>
              <w:spacing w:after="0"/>
              <w:rPr>
                <w:sz w:val="20"/>
                <w:szCs w:val="20"/>
                <w:color w:val="auto"/>
              </w:rPr>
            </w:pPr>
            <w:r>
              <w:rPr>
                <w:rFonts w:ascii="Arial" w:cs="Arial" w:eastAsia="Arial" w:hAnsi="Arial"/>
                <w:sz w:val="18"/>
                <w:szCs w:val="18"/>
                <w:color w:val="auto"/>
              </w:rPr>
              <w:t>Decrees, Etc.</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7.15</w:t>
            </w:r>
          </w:p>
        </w:tc>
        <w:tc>
          <w:tcPr>
            <w:tcW w:w="762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780" w:type="dxa"/>
            <w:vAlign w:val="bottom"/>
          </w:tcPr>
          <w:p>
            <w:pPr>
              <w:spacing w:after="0"/>
              <w:rPr>
                <w:sz w:val="20"/>
                <w:szCs w:val="20"/>
                <w:color w:val="auto"/>
              </w:rPr>
            </w:pPr>
            <w:r>
              <w:rPr>
                <w:rFonts w:ascii="Arial" w:cs="Arial" w:eastAsia="Arial" w:hAnsi="Arial"/>
                <w:sz w:val="18"/>
                <w:szCs w:val="18"/>
                <w:color w:val="auto"/>
                <w:w w:val="96"/>
              </w:rPr>
              <w:t>Article 8 COVENANTS</w:t>
            </w:r>
          </w:p>
        </w:tc>
        <w:tc>
          <w:tcPr>
            <w:tcW w:w="76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w:t>
            </w:r>
          </w:p>
        </w:tc>
        <w:tc>
          <w:tcPr>
            <w:tcW w:w="7620" w:type="dxa"/>
            <w:vAlign w:val="bottom"/>
          </w:tcPr>
          <w:p>
            <w:pPr>
              <w:spacing w:after="0"/>
              <w:rPr>
                <w:sz w:val="20"/>
                <w:szCs w:val="20"/>
                <w:color w:val="auto"/>
              </w:rPr>
            </w:pPr>
            <w:r>
              <w:rPr>
                <w:rFonts w:ascii="Arial" w:cs="Arial" w:eastAsia="Arial" w:hAnsi="Arial"/>
                <w:sz w:val="18"/>
                <w:szCs w:val="18"/>
                <w:color w:val="auto"/>
              </w:rPr>
              <w:t>Conduct of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8.2</w:t>
            </w:r>
          </w:p>
        </w:tc>
        <w:tc>
          <w:tcPr>
            <w:tcW w:w="7620" w:type="dxa"/>
            <w:vAlign w:val="bottom"/>
          </w:tcPr>
          <w:p>
            <w:pPr>
              <w:spacing w:after="0"/>
              <w:rPr>
                <w:sz w:val="20"/>
                <w:szCs w:val="20"/>
                <w:color w:val="auto"/>
              </w:rPr>
            </w:pPr>
            <w:r>
              <w:rPr>
                <w:rFonts w:ascii="Arial" w:cs="Arial" w:eastAsia="Arial" w:hAnsi="Arial"/>
                <w:sz w:val="18"/>
                <w:szCs w:val="18"/>
                <w:color w:val="auto"/>
              </w:rPr>
              <w:t>Cameron Stockholders Meeting</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8.3</w:t>
            </w:r>
          </w:p>
        </w:tc>
        <w:tc>
          <w:tcPr>
            <w:tcW w:w="7620" w:type="dxa"/>
            <w:vAlign w:val="bottom"/>
          </w:tcPr>
          <w:p>
            <w:pPr>
              <w:spacing w:after="0"/>
              <w:rPr>
                <w:sz w:val="20"/>
                <w:szCs w:val="20"/>
                <w:color w:val="auto"/>
              </w:rPr>
            </w:pPr>
            <w:r>
              <w:rPr>
                <w:rFonts w:ascii="Arial" w:cs="Arial" w:eastAsia="Arial" w:hAnsi="Arial"/>
                <w:sz w:val="18"/>
                <w:szCs w:val="18"/>
                <w:color w:val="auto"/>
              </w:rPr>
              <w:t>No Solicitation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8.4</w:t>
            </w:r>
          </w:p>
        </w:tc>
        <w:tc>
          <w:tcPr>
            <w:tcW w:w="7620" w:type="dxa"/>
            <w:vAlign w:val="bottom"/>
          </w:tcPr>
          <w:p>
            <w:pPr>
              <w:spacing w:after="0"/>
              <w:rPr>
                <w:sz w:val="20"/>
                <w:szCs w:val="20"/>
                <w:color w:val="auto"/>
              </w:rPr>
            </w:pPr>
            <w:r>
              <w:rPr>
                <w:rFonts w:ascii="Arial" w:cs="Arial" w:eastAsia="Arial" w:hAnsi="Arial"/>
                <w:sz w:val="18"/>
                <w:szCs w:val="18"/>
                <w:color w:val="auto"/>
              </w:rPr>
              <w:t>Reasonable Best Efforts</w:t>
            </w:r>
          </w:p>
        </w:tc>
        <w:tc>
          <w:tcPr>
            <w:tcW w:w="1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8.5</w:t>
            </w:r>
          </w:p>
        </w:tc>
        <w:tc>
          <w:tcPr>
            <w:tcW w:w="7620" w:type="dxa"/>
            <w:vAlign w:val="bottom"/>
          </w:tcPr>
          <w:p>
            <w:pPr>
              <w:spacing w:after="0"/>
              <w:rPr>
                <w:sz w:val="20"/>
                <w:szCs w:val="20"/>
                <w:color w:val="auto"/>
              </w:rPr>
            </w:pPr>
            <w:r>
              <w:rPr>
                <w:rFonts w:ascii="Arial" w:cs="Arial" w:eastAsia="Arial" w:hAnsi="Arial"/>
                <w:sz w:val="18"/>
                <w:szCs w:val="18"/>
                <w:color w:val="auto"/>
              </w:rPr>
              <w:t>Preparation of Proxy Statement/Prospectus</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8.6</w:t>
            </w:r>
          </w:p>
        </w:tc>
        <w:tc>
          <w:tcPr>
            <w:tcW w:w="7620" w:type="dxa"/>
            <w:vAlign w:val="bottom"/>
          </w:tcPr>
          <w:p>
            <w:pPr>
              <w:spacing w:after="0"/>
              <w:rPr>
                <w:sz w:val="20"/>
                <w:szCs w:val="20"/>
                <w:color w:val="auto"/>
              </w:rPr>
            </w:pPr>
            <w:r>
              <w:rPr>
                <w:rFonts w:ascii="Arial" w:cs="Arial" w:eastAsia="Arial" w:hAnsi="Arial"/>
                <w:sz w:val="18"/>
                <w:szCs w:val="18"/>
                <w:color w:val="auto"/>
              </w:rPr>
              <w:t>Filings, Etc.</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8.7</w:t>
            </w:r>
          </w:p>
        </w:tc>
        <w:tc>
          <w:tcPr>
            <w:tcW w:w="7620" w:type="dxa"/>
            <w:vAlign w:val="bottom"/>
          </w:tcPr>
          <w:p>
            <w:pPr>
              <w:spacing w:after="0"/>
              <w:rPr>
                <w:sz w:val="20"/>
                <w:szCs w:val="20"/>
                <w:color w:val="auto"/>
              </w:rPr>
            </w:pPr>
            <w:r>
              <w:rPr>
                <w:rFonts w:ascii="Arial" w:cs="Arial" w:eastAsia="Arial" w:hAnsi="Arial"/>
                <w:sz w:val="18"/>
                <w:szCs w:val="18"/>
                <w:color w:val="auto"/>
              </w:rPr>
              <w:t>Listing Application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8.8</w:t>
            </w:r>
          </w:p>
        </w:tc>
        <w:tc>
          <w:tcPr>
            <w:tcW w:w="7160" w:type="dxa"/>
            <w:vAlign w:val="bottom"/>
          </w:tcPr>
          <w:p>
            <w:pPr>
              <w:ind w:left="40"/>
              <w:spacing w:after="0"/>
              <w:rPr>
                <w:sz w:val="20"/>
                <w:szCs w:val="20"/>
                <w:color w:val="auto"/>
              </w:rPr>
            </w:pPr>
            <w:r>
              <w:rPr>
                <w:rFonts w:ascii="Arial" w:cs="Arial" w:eastAsia="Arial" w:hAnsi="Arial"/>
                <w:sz w:val="18"/>
                <w:szCs w:val="18"/>
                <w:color w:val="auto"/>
              </w:rPr>
              <w:t>Section 16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8.9</w:t>
            </w:r>
          </w:p>
        </w:tc>
        <w:tc>
          <w:tcPr>
            <w:tcW w:w="7160" w:type="dxa"/>
            <w:vAlign w:val="bottom"/>
          </w:tcPr>
          <w:p>
            <w:pPr>
              <w:ind w:left="40"/>
              <w:spacing w:after="0"/>
              <w:rPr>
                <w:sz w:val="20"/>
                <w:szCs w:val="20"/>
                <w:color w:val="auto"/>
              </w:rPr>
            </w:pPr>
            <w:r>
              <w:rPr>
                <w:rFonts w:ascii="Arial" w:cs="Arial" w:eastAsia="Arial" w:hAnsi="Arial"/>
                <w:sz w:val="18"/>
                <w:szCs w:val="18"/>
                <w:color w:val="auto"/>
              </w:rPr>
              <w:t>Converted Options and Stock Incentive Awards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8.10</w:t>
            </w:r>
          </w:p>
        </w:tc>
        <w:tc>
          <w:tcPr>
            <w:tcW w:w="7160" w:type="dxa"/>
            <w:vAlign w:val="bottom"/>
          </w:tcPr>
          <w:p>
            <w:pPr>
              <w:ind w:left="40"/>
              <w:spacing w:after="0"/>
              <w:rPr>
                <w:sz w:val="20"/>
                <w:szCs w:val="20"/>
                <w:color w:val="auto"/>
              </w:rPr>
            </w:pPr>
            <w:r>
              <w:rPr>
                <w:rFonts w:ascii="Arial" w:cs="Arial" w:eastAsia="Arial" w:hAnsi="Arial"/>
                <w:sz w:val="18"/>
                <w:szCs w:val="18"/>
                <w:color w:val="auto"/>
              </w:rPr>
              <w:t>Inspection</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8.11</w:t>
            </w:r>
          </w:p>
        </w:tc>
        <w:tc>
          <w:tcPr>
            <w:tcW w:w="7160" w:type="dxa"/>
            <w:vAlign w:val="bottom"/>
          </w:tcPr>
          <w:p>
            <w:pPr>
              <w:ind w:left="40"/>
              <w:spacing w:after="0"/>
              <w:rPr>
                <w:sz w:val="20"/>
                <w:szCs w:val="20"/>
                <w:color w:val="auto"/>
              </w:rPr>
            </w:pPr>
            <w:r>
              <w:rPr>
                <w:rFonts w:ascii="Arial" w:cs="Arial" w:eastAsia="Arial" w:hAnsi="Arial"/>
                <w:sz w:val="18"/>
                <w:szCs w:val="18"/>
                <w:color w:val="auto"/>
              </w:rPr>
              <w:t>Publicity</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8.12</w:t>
            </w:r>
          </w:p>
        </w:tc>
        <w:tc>
          <w:tcPr>
            <w:tcW w:w="7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8.13</w:t>
            </w:r>
          </w:p>
        </w:tc>
        <w:tc>
          <w:tcPr>
            <w:tcW w:w="7160" w:type="dxa"/>
            <w:vAlign w:val="bottom"/>
          </w:tcPr>
          <w:p>
            <w:pPr>
              <w:ind w:left="40"/>
              <w:spacing w:after="0"/>
              <w:rPr>
                <w:sz w:val="20"/>
                <w:szCs w:val="20"/>
                <w:color w:val="auto"/>
              </w:rPr>
            </w:pPr>
            <w:r>
              <w:rPr>
                <w:rFonts w:ascii="Arial" w:cs="Arial" w:eastAsia="Arial" w:hAnsi="Arial"/>
                <w:sz w:val="18"/>
                <w:szCs w:val="18"/>
                <w:color w:val="auto"/>
              </w:rPr>
              <w:t>Charter Provisions; Takeover Laws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8.14</w:t>
            </w:r>
          </w:p>
        </w:tc>
        <w:tc>
          <w:tcPr>
            <w:tcW w:w="7160" w:type="dxa"/>
            <w:vAlign w:val="bottom"/>
          </w:tcPr>
          <w:p>
            <w:pPr>
              <w:ind w:left="40"/>
              <w:spacing w:after="0"/>
              <w:rPr>
                <w:sz w:val="20"/>
                <w:szCs w:val="20"/>
                <w:color w:val="auto"/>
              </w:rPr>
            </w:pPr>
            <w:r>
              <w:rPr>
                <w:rFonts w:ascii="Arial" w:cs="Arial" w:eastAsia="Arial" w:hAnsi="Arial"/>
                <w:sz w:val="18"/>
                <w:szCs w:val="18"/>
                <w:color w:val="auto"/>
              </w:rPr>
              <w:t>Stockholder Litigation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8.15</w:t>
            </w:r>
          </w:p>
        </w:tc>
        <w:tc>
          <w:tcPr>
            <w:tcW w:w="7160" w:type="dxa"/>
            <w:vAlign w:val="bottom"/>
          </w:tcPr>
          <w:p>
            <w:pPr>
              <w:ind w:left="40"/>
              <w:spacing w:after="0"/>
              <w:rPr>
                <w:sz w:val="20"/>
                <w:szCs w:val="20"/>
                <w:color w:val="auto"/>
              </w:rPr>
            </w:pPr>
            <w:r>
              <w:rPr>
                <w:rFonts w:ascii="Arial" w:cs="Arial" w:eastAsia="Arial" w:hAnsi="Arial"/>
                <w:sz w:val="18"/>
                <w:szCs w:val="18"/>
                <w:color w:val="auto"/>
              </w:rPr>
              <w:t>Indemnification and Insurance</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8.16</w:t>
            </w:r>
          </w:p>
        </w:tc>
        <w:tc>
          <w:tcPr>
            <w:tcW w:w="7160" w:type="dxa"/>
            <w:vAlign w:val="bottom"/>
          </w:tcPr>
          <w:p>
            <w:pPr>
              <w:ind w:left="40"/>
              <w:spacing w:after="0"/>
              <w:rPr>
                <w:sz w:val="20"/>
                <w:szCs w:val="20"/>
                <w:color w:val="auto"/>
              </w:rPr>
            </w:pPr>
            <w:r>
              <w:rPr>
                <w:rFonts w:ascii="Arial" w:cs="Arial" w:eastAsia="Arial" w:hAnsi="Arial"/>
                <w:sz w:val="18"/>
                <w:szCs w:val="18"/>
                <w:color w:val="auto"/>
              </w:rPr>
              <w:t>Certain Benefits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8.17</w:t>
            </w:r>
          </w:p>
        </w:tc>
        <w:tc>
          <w:tcPr>
            <w:tcW w:w="7160" w:type="dxa"/>
            <w:vAlign w:val="bottom"/>
          </w:tcPr>
          <w:p>
            <w:pPr>
              <w:ind w:left="40"/>
              <w:spacing w:after="0"/>
              <w:rPr>
                <w:sz w:val="20"/>
                <w:szCs w:val="20"/>
                <w:color w:val="auto"/>
              </w:rPr>
            </w:pPr>
            <w:r>
              <w:rPr>
                <w:rFonts w:ascii="Arial" w:cs="Arial" w:eastAsia="Arial" w:hAnsi="Arial"/>
                <w:sz w:val="18"/>
                <w:szCs w:val="18"/>
                <w:color w:val="auto"/>
              </w:rPr>
              <w:t>Obligations of Schlumberger US</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820" w:type="dxa"/>
            <w:vAlign w:val="bottom"/>
          </w:tcPr>
          <w:p>
            <w:pPr>
              <w:spacing w:after="0"/>
              <w:rPr>
                <w:sz w:val="20"/>
                <w:szCs w:val="20"/>
                <w:color w:val="auto"/>
              </w:rPr>
            </w:pPr>
            <w:r>
              <w:rPr>
                <w:rFonts w:ascii="Arial" w:cs="Arial" w:eastAsia="Arial" w:hAnsi="Arial"/>
                <w:sz w:val="18"/>
                <w:szCs w:val="18"/>
                <w:color w:val="auto"/>
                <w:w w:val="98"/>
              </w:rPr>
              <w:t>Article 9 CONDITIONS</w:t>
            </w:r>
          </w:p>
        </w:tc>
        <w:tc>
          <w:tcPr>
            <w:tcW w:w="7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9.1</w:t>
            </w:r>
          </w:p>
        </w:tc>
        <w:tc>
          <w:tcPr>
            <w:tcW w:w="7160" w:type="dxa"/>
            <w:vAlign w:val="bottom"/>
          </w:tcPr>
          <w:p>
            <w:pPr>
              <w:ind w:left="4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9.2</w:t>
            </w:r>
          </w:p>
        </w:tc>
        <w:tc>
          <w:tcPr>
            <w:tcW w:w="7160" w:type="dxa"/>
            <w:vAlign w:val="bottom"/>
          </w:tcPr>
          <w:p>
            <w:pPr>
              <w:ind w:left="40"/>
              <w:spacing w:after="0"/>
              <w:rPr>
                <w:sz w:val="20"/>
                <w:szCs w:val="20"/>
                <w:color w:val="auto"/>
              </w:rPr>
            </w:pPr>
            <w:r>
              <w:rPr>
                <w:rFonts w:ascii="Arial" w:cs="Arial" w:eastAsia="Arial" w:hAnsi="Arial"/>
                <w:sz w:val="18"/>
                <w:szCs w:val="18"/>
                <w:color w:val="auto"/>
              </w:rPr>
              <w:t>Conditions to Obligation of Cameron to Effect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9.3</w:t>
            </w:r>
          </w:p>
        </w:tc>
        <w:tc>
          <w:tcPr>
            <w:tcW w:w="7160" w:type="dxa"/>
            <w:vAlign w:val="bottom"/>
          </w:tcPr>
          <w:p>
            <w:pPr>
              <w:ind w:left="40"/>
              <w:spacing w:after="0"/>
              <w:rPr>
                <w:sz w:val="20"/>
                <w:szCs w:val="20"/>
                <w:color w:val="auto"/>
              </w:rPr>
            </w:pPr>
            <w:r>
              <w:rPr>
                <w:rFonts w:ascii="Arial" w:cs="Arial" w:eastAsia="Arial" w:hAnsi="Arial"/>
                <w:sz w:val="18"/>
                <w:szCs w:val="18"/>
                <w:color w:val="auto"/>
              </w:rPr>
              <w:t>Conditions to Obligation of Schlumberger to Effect the Merger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rPr>
              <w:t>Article 10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10.1</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Mutual Consent</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10.2</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Schlumberger or Cameron</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10.3</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Cameron</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10.4</w:t>
            </w:r>
          </w:p>
        </w:tc>
        <w:tc>
          <w:tcPr>
            <w:tcW w:w="7160" w:type="dxa"/>
            <w:vAlign w:val="bottom"/>
          </w:tcPr>
          <w:p>
            <w:pPr>
              <w:ind w:left="40"/>
              <w:spacing w:after="0"/>
              <w:rPr>
                <w:sz w:val="20"/>
                <w:szCs w:val="20"/>
                <w:color w:val="auto"/>
              </w:rPr>
            </w:pPr>
            <w:r>
              <w:rPr>
                <w:rFonts w:ascii="Arial" w:cs="Arial" w:eastAsia="Arial" w:hAnsi="Arial"/>
                <w:sz w:val="18"/>
                <w:szCs w:val="18"/>
                <w:color w:val="auto"/>
              </w:rPr>
              <w:t>Termination by Schlumberger</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10.5</w:t>
            </w:r>
          </w:p>
        </w:tc>
        <w:tc>
          <w:tcPr>
            <w:tcW w:w="716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rPr>
              <w:t>Article 11 GENERAL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w:t>
            </w:r>
          </w:p>
        </w:tc>
        <w:tc>
          <w:tcPr>
            <w:tcW w:w="7160" w:type="dxa"/>
            <w:vAlign w:val="bottom"/>
          </w:tcPr>
          <w:p>
            <w:pPr>
              <w:ind w:left="40"/>
              <w:spacing w:after="0"/>
              <w:rPr>
                <w:sz w:val="20"/>
                <w:szCs w:val="20"/>
                <w:color w:val="auto"/>
              </w:rPr>
            </w:pPr>
            <w:r>
              <w:rPr>
                <w:rFonts w:ascii="Arial" w:cs="Arial" w:eastAsia="Arial" w:hAnsi="Arial"/>
                <w:sz w:val="18"/>
                <w:szCs w:val="18"/>
                <w:color w:val="auto"/>
              </w:rPr>
              <w:t>Nonsurvival of Representations, Warranties and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11.2</w:t>
            </w:r>
          </w:p>
        </w:tc>
        <w:tc>
          <w:tcPr>
            <w:tcW w:w="7160" w:type="dxa"/>
            <w:vAlign w:val="bottom"/>
          </w:tcPr>
          <w:p>
            <w:pPr>
              <w:ind w:left="4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11.3</w:t>
            </w:r>
          </w:p>
        </w:tc>
        <w:tc>
          <w:tcPr>
            <w:tcW w:w="7160" w:type="dxa"/>
            <w:vAlign w:val="bottom"/>
          </w:tcPr>
          <w:p>
            <w:pPr>
              <w:ind w:left="40"/>
              <w:spacing w:after="0"/>
              <w:rPr>
                <w:sz w:val="20"/>
                <w:szCs w:val="20"/>
                <w:color w:val="auto"/>
              </w:rPr>
            </w:pPr>
            <w:r>
              <w:rPr>
                <w:rFonts w:ascii="Arial" w:cs="Arial" w:eastAsia="Arial" w:hAnsi="Arial"/>
                <w:sz w:val="18"/>
                <w:szCs w:val="18"/>
                <w:color w:val="auto"/>
              </w:rPr>
              <w:t>Assignment; Binding Effect</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11.4</w:t>
            </w:r>
          </w:p>
        </w:tc>
        <w:tc>
          <w:tcPr>
            <w:tcW w:w="7160" w:type="dxa"/>
            <w:vAlign w:val="bottom"/>
          </w:tcPr>
          <w:p>
            <w:pPr>
              <w:ind w:left="40"/>
              <w:spacing w:after="0"/>
              <w:rPr>
                <w:sz w:val="20"/>
                <w:szCs w:val="20"/>
                <w:color w:val="auto"/>
              </w:rPr>
            </w:pPr>
            <w:r>
              <w:rPr>
                <w:rFonts w:ascii="Arial" w:cs="Arial" w:eastAsia="Arial" w:hAnsi="Arial"/>
                <w:sz w:val="18"/>
                <w:szCs w:val="18"/>
                <w:color w:val="auto"/>
              </w:rPr>
              <w:t>Third-Party Beneficiaries</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11.5</w:t>
            </w:r>
          </w:p>
        </w:tc>
        <w:tc>
          <w:tcPr>
            <w:tcW w:w="716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11.6</w:t>
            </w:r>
          </w:p>
        </w:tc>
        <w:tc>
          <w:tcPr>
            <w:tcW w:w="716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11.7</w:t>
            </w:r>
          </w:p>
        </w:tc>
        <w:tc>
          <w:tcPr>
            <w:tcW w:w="71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11.8</w:t>
            </w:r>
          </w:p>
        </w:tc>
        <w:tc>
          <w:tcPr>
            <w:tcW w:w="71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11.9</w:t>
            </w:r>
          </w:p>
        </w:tc>
        <w:tc>
          <w:tcPr>
            <w:tcW w:w="7160" w:type="dxa"/>
            <w:vAlign w:val="bottom"/>
          </w:tcPr>
          <w:p>
            <w:pPr>
              <w:ind w:left="40"/>
              <w:spacing w:after="0"/>
              <w:rPr>
                <w:sz w:val="20"/>
                <w:szCs w:val="20"/>
                <w:color w:val="auto"/>
              </w:rPr>
            </w:pPr>
            <w:r>
              <w:rPr>
                <w:rFonts w:ascii="Arial" w:cs="Arial" w:eastAsia="Arial" w:hAnsi="Arial"/>
                <w:sz w:val="18"/>
                <w:szCs w:val="18"/>
                <w:color w:val="auto"/>
              </w:rPr>
              <w:t>Headings</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11.10</w:t>
            </w:r>
          </w:p>
        </w:tc>
        <w:tc>
          <w:tcPr>
            <w:tcW w:w="7160" w:type="dxa"/>
            <w:vAlign w:val="bottom"/>
          </w:tcPr>
          <w:p>
            <w:pPr>
              <w:ind w:left="40"/>
              <w:spacing w:after="0"/>
              <w:rPr>
                <w:sz w:val="20"/>
                <w:szCs w:val="20"/>
                <w:color w:val="auto"/>
              </w:rPr>
            </w:pPr>
            <w:r>
              <w:rPr>
                <w:rFonts w:ascii="Arial" w:cs="Arial" w:eastAsia="Arial" w:hAnsi="Arial"/>
                <w:sz w:val="18"/>
                <w:szCs w:val="18"/>
                <w:color w:val="auto"/>
              </w:rPr>
              <w:t>Interpretation; Disclosure Letter</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11.11</w:t>
            </w:r>
          </w:p>
        </w:tc>
        <w:tc>
          <w:tcPr>
            <w:tcW w:w="716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11.12</w:t>
            </w:r>
          </w:p>
        </w:tc>
        <w:tc>
          <w:tcPr>
            <w:tcW w:w="7160" w:type="dxa"/>
            <w:vAlign w:val="bottom"/>
          </w:tcPr>
          <w:p>
            <w:pPr>
              <w:ind w:left="40"/>
              <w:spacing w:after="0"/>
              <w:rPr>
                <w:sz w:val="20"/>
                <w:szCs w:val="20"/>
                <w:color w:val="auto"/>
              </w:rPr>
            </w:pPr>
            <w:r>
              <w:rPr>
                <w:rFonts w:ascii="Arial" w:cs="Arial" w:eastAsia="Arial" w:hAnsi="Arial"/>
                <w:sz w:val="18"/>
                <w:szCs w:val="18"/>
                <w:color w:val="auto"/>
              </w:rPr>
              <w:t>Extensions;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11.13</w:t>
            </w:r>
          </w:p>
        </w:tc>
        <w:tc>
          <w:tcPr>
            <w:tcW w:w="71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11.14</w:t>
            </w:r>
          </w:p>
        </w:tc>
        <w:tc>
          <w:tcPr>
            <w:tcW w:w="7160" w:type="dxa"/>
            <w:vAlign w:val="bottom"/>
          </w:tcPr>
          <w:p>
            <w:pPr>
              <w:ind w:left="40"/>
              <w:spacing w:after="0"/>
              <w:rPr>
                <w:sz w:val="20"/>
                <w:szCs w:val="20"/>
                <w:color w:val="auto"/>
              </w:rPr>
            </w:pPr>
            <w:r>
              <w:rPr>
                <w:rFonts w:ascii="Arial" w:cs="Arial" w:eastAsia="Arial" w:hAnsi="Arial"/>
                <w:sz w:val="18"/>
                <w:szCs w:val="18"/>
                <w:color w:val="auto"/>
              </w:rPr>
              <w:t>Enforcement of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8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11.15</w:t>
            </w:r>
          </w:p>
        </w:tc>
        <w:tc>
          <w:tcPr>
            <w:tcW w:w="716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160" w:type="dxa"/>
            <w:vAlign w:val="bottom"/>
            <w:gridSpan w:val="3"/>
          </w:tcPr>
          <w:p>
            <w:pPr>
              <w:ind w:left="240"/>
              <w:spacing w:after="0"/>
              <w:rPr>
                <w:sz w:val="20"/>
                <w:szCs w:val="20"/>
                <w:color w:val="auto"/>
              </w:rPr>
            </w:pPr>
            <w:r>
              <w:rPr>
                <w:rFonts w:ascii="Arial" w:cs="Arial" w:eastAsia="Arial" w:hAnsi="Arial"/>
                <w:sz w:val="18"/>
                <w:szCs w:val="18"/>
                <w:b w:val="1"/>
                <w:bCs w:val="1"/>
                <w:color w:val="auto"/>
              </w:rPr>
              <w:t>GLOSSARY OF DEFINED TERMS</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w w:val="93"/>
              </w:rPr>
              <w:t>Defined Terms</w:t>
            </w:r>
          </w:p>
        </w:tc>
        <w:tc>
          <w:tcPr>
            <w:tcW w:w="3180" w:type="dxa"/>
            <w:vAlign w:val="bottom"/>
          </w:tcPr>
          <w:p>
            <w:pPr>
              <w:spacing w:after="0"/>
              <w:rPr>
                <w:sz w:val="24"/>
                <w:szCs w:val="24"/>
                <w:color w:val="auto"/>
              </w:rPr>
            </w:pPr>
          </w:p>
        </w:tc>
        <w:tc>
          <w:tcPr>
            <w:tcW w:w="5160" w:type="dxa"/>
            <w:vAlign w:val="bottom"/>
            <w:gridSpan w:val="3"/>
          </w:tcPr>
          <w:p>
            <w:pPr>
              <w:ind w:left="3840"/>
              <w:spacing w:after="0"/>
              <w:rPr>
                <w:sz w:val="20"/>
                <w:szCs w:val="20"/>
                <w:color w:val="auto"/>
              </w:rPr>
            </w:pPr>
            <w:r>
              <w:rPr>
                <w:rFonts w:ascii="Arial" w:cs="Arial" w:eastAsia="Arial" w:hAnsi="Arial"/>
                <w:sz w:val="14"/>
                <w:szCs w:val="14"/>
                <w:color w:val="auto"/>
              </w:rPr>
              <w:t>Where Defined</w:t>
            </w:r>
          </w:p>
        </w:tc>
      </w:tr>
      <w:tr>
        <w:trPr>
          <w:trHeight w:val="20"/>
        </w:trPr>
        <w:tc>
          <w:tcPr>
            <w:tcW w:w="8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Arial" w:cs="Arial" w:eastAsia="Arial" w:hAnsi="Arial"/>
                <w:sz w:val="18"/>
                <w:szCs w:val="18"/>
                <w:color w:val="auto"/>
              </w:rPr>
              <w:t>9.1(c) Jurisdiction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9.1(d)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8.3(f)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8.15(a)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5.4(a)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Assumed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4.1(j)</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Assumed RSUs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4.1(g)</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8.16(d)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Assets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8.6(d)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Benefit Plans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Board</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Common Stock</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Deferred Compensation Plans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Deferred Stock Unit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4.1(h)</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Disclosure Letter</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w w:val="98"/>
              </w:rPr>
              <w:t>Article 5 Preface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Environmental Permits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5.15(b)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ERISA affiliate</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w w:val="90"/>
              </w:rPr>
              <w:t>Section 5.12(b)(x)</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Excluded Shares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Foreign Benefit Plan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5.12(f)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Material Adverse Effect</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w w:val="98"/>
              </w:rPr>
              <w:t>Section 11.11(d)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Option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Performance Share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Permits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5.4(b)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Post-Signing Option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6"/>
              </w:rPr>
              <w:t>Cameron Post-Signing Restricted Stock Unit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4.1(g)</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Preferred Stock</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Recommendation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Reports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5.6(a)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Restricted Stock Unit Awards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4.1(g)</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Securities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Stock Plans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Stockholder Approval</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5.21</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Stockholders Meeting</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8.2</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Subsidiary Securities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5.3(c)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Surviving Shares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Cameron U.S. Benefit Plan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5.12(b)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1.3</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4.1(b)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8.3(b)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1.2</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5160" w:type="dxa"/>
            <w:vAlign w:val="bottom"/>
            <w:gridSpan w:val="3"/>
          </w:tcPr>
          <w:p>
            <w:pPr>
              <w:ind w:left="3840"/>
              <w:spacing w:after="0"/>
              <w:rPr>
                <w:sz w:val="20"/>
                <w:szCs w:val="20"/>
                <w:color w:val="auto"/>
              </w:rPr>
            </w:pPr>
            <w:r>
              <w:rPr>
                <w:rFonts w:ascii="Arial" w:cs="Arial" w:eastAsia="Arial" w:hAnsi="Arial"/>
                <w:sz w:val="18"/>
                <w:szCs w:val="18"/>
                <w:color w:val="auto"/>
              </w:rPr>
              <w:t>Section 1.2</w:t>
            </w:r>
          </w:p>
        </w:tc>
      </w:tr>
      <w:tr>
        <w:trPr>
          <w:trHeight w:val="365"/>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160" w:type="dxa"/>
            <w:vAlign w:val="bottom"/>
            <w:gridSpan w:val="3"/>
          </w:tcPr>
          <w:p>
            <w:pPr>
              <w:ind w:left="158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0219"/>
          </w:cols>
          <w:pgMar w:left="240" w:top="121"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COBRA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Converted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Converted Performance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Covered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LLC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Stockholder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 Merger Regulation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Award Exchange Ratio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Ratio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Corrupt Practices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Government Official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S-4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Letter of Transmittal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Plans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Non-Schlumberger US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5.12(b)(xii)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5 Preface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5.23(a)</w:t>
      </w:r>
    </w:p>
    <w:p>
      <w:pPr>
        <w:spacing w:after="0" w:line="200" w:lineRule="exact"/>
        <w:rPr>
          <w:sz w:val="20"/>
          <w:szCs w:val="20"/>
          <w:color w:val="auto"/>
        </w:rPr>
      </w:pPr>
    </w:p>
    <w:p>
      <w:pPr>
        <w:sectPr>
          <w:pgSz w:w="11900" w:h="16838" w:orient="portrait"/>
          <w:cols w:equalWidth="0" w:num="2">
            <w:col w:w="7180" w:space="720"/>
            <w:col w:w="2319"/>
          </w:cols>
          <w:pgMar w:left="240" w:top="125" w:right="1440" w:bottom="1440" w:gutter="0" w:footer="0" w:header="0"/>
        </w:sectPr>
      </w:pPr>
    </w:p>
    <w:p>
      <w:pPr>
        <w:spacing w:after="0" w:line="1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125"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Old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 Share Cash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PPACA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Prohibited 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Per Share Fair Market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Stock Incentive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US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409A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8.16(b)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5.12(b)(xii)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8.1(b)(xii)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5.23(a)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8.6(d)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7 Preface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6 Preface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8.3(f)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11.11(h)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10.5(a)</w:t>
      </w:r>
    </w:p>
    <w:p>
      <w:pPr>
        <w:spacing w:after="0" w:line="200" w:lineRule="exact"/>
        <w:rPr>
          <w:sz w:val="20"/>
          <w:szCs w:val="20"/>
          <w:color w:val="auto"/>
        </w:rPr>
      </w:pPr>
    </w:p>
    <w:p>
      <w:pPr>
        <w:sectPr>
          <w:pgSz w:w="11900" w:h="16838" w:orient="portrait"/>
          <w:cols w:equalWidth="0" w:num="2">
            <w:col w:w="7180" w:space="720"/>
            <w:col w:w="2319"/>
          </w:cols>
          <w:pgMar w:left="240" w:top="125" w:right="1440" w:bottom="1440" w:gutter="0" w:footer="0" w:header="0"/>
        </w:sectPr>
      </w:pP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125" w:right="1440"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20" w:firstLine="913"/>
        <w:spacing w:after="0" w:line="261"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25, 2015, is by and among Schlumberger Holdings Corporation, a Delaware corporation and an indirect wholly owned subsidiary of Schlumberger (“</w:t>
      </w:r>
      <w:r>
        <w:rPr>
          <w:rFonts w:ascii="Arial" w:cs="Arial" w:eastAsia="Arial" w:hAnsi="Arial"/>
          <w:sz w:val="18"/>
          <w:szCs w:val="18"/>
          <w:b w:val="1"/>
          <w:bCs w:val="1"/>
          <w:color w:val="auto"/>
        </w:rPr>
        <w:t>Schlumberger US</w:t>
      </w:r>
      <w:r>
        <w:rPr>
          <w:rFonts w:ascii="Arial" w:cs="Arial" w:eastAsia="Arial" w:hAnsi="Arial"/>
          <w:sz w:val="18"/>
          <w:szCs w:val="18"/>
          <w:color w:val="auto"/>
        </w:rPr>
        <w:t>”), Rain Merger Sub LLC, a Delaware limited liability company and a direct wholly owned subsidiary of Schlumberger US (“</w:t>
      </w:r>
      <w:r>
        <w:rPr>
          <w:rFonts w:ascii="Arial" w:cs="Arial" w:eastAsia="Arial" w:hAnsi="Arial"/>
          <w:sz w:val="18"/>
          <w:szCs w:val="18"/>
          <w:b w:val="1"/>
          <w:bCs w:val="1"/>
          <w:color w:val="auto"/>
        </w:rPr>
        <w:t>Merger Sub</w:t>
      </w:r>
      <w:r>
        <w:rPr>
          <w:rFonts w:ascii="Arial" w:cs="Arial" w:eastAsia="Arial" w:hAnsi="Arial"/>
          <w:sz w:val="18"/>
          <w:szCs w:val="18"/>
          <w:color w:val="auto"/>
        </w:rPr>
        <w:t>”), Schlumberger N.V., a Curaçao corporation (“</w:t>
      </w:r>
      <w:r>
        <w:rPr>
          <w:rFonts w:ascii="Arial" w:cs="Arial" w:eastAsia="Arial" w:hAnsi="Arial"/>
          <w:sz w:val="18"/>
          <w:szCs w:val="18"/>
          <w:b w:val="1"/>
          <w:bCs w:val="1"/>
          <w:color w:val="auto"/>
        </w:rPr>
        <w:t>Schlumberger</w:t>
      </w:r>
      <w:r>
        <w:rPr>
          <w:rFonts w:ascii="Arial" w:cs="Arial" w:eastAsia="Arial" w:hAnsi="Arial"/>
          <w:sz w:val="18"/>
          <w:szCs w:val="18"/>
          <w:color w:val="auto"/>
        </w:rPr>
        <w:t>”), and Cameron International Corporation, a Delaware corporation (“</w:t>
      </w:r>
      <w:r>
        <w:rPr>
          <w:rFonts w:ascii="Arial" w:cs="Arial" w:eastAsia="Arial" w:hAnsi="Arial"/>
          <w:sz w:val="18"/>
          <w:szCs w:val="18"/>
          <w:b w:val="1"/>
          <w:bCs w:val="1"/>
          <w:color w:val="auto"/>
        </w:rPr>
        <w:t>Cameron</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WHEREAS, the respective Boards of Directors of Cameron, Schlumberger US, Merger Sub and Schlumberger have deemed it advisable and in the best interests of their respective companies and equity holders that Cameron, Schlumberger US and Schlumberger engage in a business combination whereby Schlumberger US will acquire all of the outstanding capital stock of Cameron in exchange for shares of Schlumberger common stock, par value $0.01 per share (the “</w:t>
      </w:r>
      <w:r>
        <w:rPr>
          <w:rFonts w:ascii="Arial" w:cs="Arial" w:eastAsia="Arial" w:hAnsi="Arial"/>
          <w:sz w:val="18"/>
          <w:szCs w:val="18"/>
          <w:b w:val="1"/>
          <w:bCs w:val="1"/>
          <w:color w:val="auto"/>
        </w:rPr>
        <w:t>Schlumberger Common Stock</w:t>
      </w:r>
      <w:r>
        <w:rPr>
          <w:rFonts w:ascii="Arial" w:cs="Arial" w:eastAsia="Arial" w:hAnsi="Arial"/>
          <w:sz w:val="18"/>
          <w:szCs w:val="18"/>
          <w:color w:val="auto"/>
        </w:rPr>
        <w:t>”), and cash;</w:t>
      </w:r>
    </w:p>
    <w:p>
      <w:pPr>
        <w:spacing w:after="0" w:line="187"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WHEREAS, in furtherance thereof, the respective Boards of Directors of Cameron, Schlumberger US, Merger Sub and Schlumberger have approved and declared advisable (1) this Agreement and (2) the merger of Merger Sub with and into Cameron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the Delaware Limited Liability Company Act (the “</w:t>
      </w:r>
      <w:r>
        <w:rPr>
          <w:rFonts w:ascii="Arial" w:cs="Arial" w:eastAsia="Arial" w:hAnsi="Arial"/>
          <w:sz w:val="18"/>
          <w:szCs w:val="18"/>
          <w:b w:val="1"/>
          <w:bCs w:val="1"/>
          <w:color w:val="auto"/>
        </w:rPr>
        <w:t>Delaware LLC</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upon the terms and conditions set forth in this Agreement; and</w:t>
      </w:r>
    </w:p>
    <w:p>
      <w:pPr>
        <w:spacing w:after="0" w:line="18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WHEREAS, Schlumberger US, Merger Sub, Schlumberger and Cameron intend that the Merger be treated for United States federal income tax purposes as an acquisition by Schlumberger US of stock of Cameron that does not qualify as a reorganization under Section 368(a)(1)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therefore, that those stockholders of Cameron who are subject to United States federal income tax recognize gain or loss on the exchange of their stock of Cameron for Schlumberger Common Stock and cash;</w:t>
      </w:r>
    </w:p>
    <w:p>
      <w:pPr>
        <w:spacing w:after="0" w:line="17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NOW, THEREFORE, in consideration of the foregoing and their respective representations, warranties, covenants and agreements set forth in this Agreement, the parties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Upon the terms and subject to conditions of this Agreement, at the Effective Time, Merger Sub shall be merged with and into Cameron in accordance with this Agreement, and the separate limited liability company existence of Merger Sub shall thereupon cease. Cameron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 and the Delaware LLC Act.</w:t>
      </w:r>
    </w:p>
    <w:p>
      <w:pPr>
        <w:sectPr>
          <w:pgSz w:w="11900" w:h="16838" w:orient="portrait"/>
          <w:cols w:equalWidth="0" w:num="1">
            <w:col w:w="11400"/>
          </w:cols>
          <w:pgMar w:left="240" w:top="121" w:right="259" w:bottom="1440" w:gutter="0" w:footer="0" w:header="0"/>
        </w:sectPr>
      </w:pPr>
    </w:p>
    <w:bookmarkStart w:id="14" w:name="page15"/>
    <w:bookmarkEnd w:id="14"/>
    <w:p>
      <w:pPr>
        <w:ind w:right="100" w:firstLine="913"/>
        <w:spacing w:after="0" w:line="274"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The Closing</w:t>
      </w:r>
      <w:r>
        <w:rPr>
          <w:rFonts w:ascii="Arial" w:cs="Arial" w:eastAsia="Arial" w:hAnsi="Arial"/>
          <w:sz w:val="17"/>
          <w:szCs w:val="17"/>
          <w:color w:val="auto"/>
        </w:rPr>
        <w:t>. Upon the terms and subject to the conditions of this Agreement, the closing of the Merger (the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9 (other than those conditions that by their nature are to be fulfilled at the Closing, but subject to fulfillment or waiver of such conditions) shall be fulfilled or waived in accordance with this Agreement or (b) at such other time, date or place as Schlumberger and Cameron may agree. The date on which the Closing occurs is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8"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i w:val="1"/>
          <w:iCs w:val="1"/>
          <w:color w:val="auto"/>
        </w:rPr>
        <w:t>Effective Time</w:t>
      </w:r>
      <w:r>
        <w:rPr>
          <w:rFonts w:ascii="Arial" w:cs="Arial" w:eastAsia="Arial" w:hAnsi="Arial"/>
          <w:sz w:val="17"/>
          <w:szCs w:val="17"/>
          <w:color w:val="auto"/>
        </w:rPr>
        <w:t>. On the Closing Date, Schlumberger US, Merger Sub, Schlumberger and Cameron shall cause a certificate of merger (the “</w:t>
      </w:r>
      <w:r>
        <w:rPr>
          <w:rFonts w:ascii="Arial" w:cs="Arial" w:eastAsia="Arial" w:hAnsi="Arial"/>
          <w:sz w:val="17"/>
          <w:szCs w:val="17"/>
          <w:b w:val="1"/>
          <w:bCs w:val="1"/>
          <w:color w:val="auto"/>
        </w:rPr>
        <w:t>Certificate of Merger</w:t>
      </w:r>
      <w:r>
        <w:rPr>
          <w:rFonts w:ascii="Arial" w:cs="Arial" w:eastAsia="Arial" w:hAnsi="Arial"/>
          <w:sz w:val="17"/>
          <w:szCs w:val="17"/>
          <w:color w:val="auto"/>
        </w:rPr>
        <w:t>”) meeting the requirements of Section 251 of the DGCL and Section 18-209 of the Delaware LLC Act to be properly executed and filed in accordance with such sections. The Merger shall become effective at such time as the Certificate of Merger is duly filed with the Secretary of State of the State of Delaware in accordance with the DGCL and the Delaware LLC Act, or at such later time that Schlumberger and Cameron shall have agreed upon and designated in such filing as the effective time of the Merger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GOVERNING DOCUMENTS</w:t>
      </w:r>
    </w:p>
    <w:p>
      <w:pPr>
        <w:spacing w:after="0" w:line="229"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of the Effective Time, the certificate of incorporation of Cameron, as in effect immediately prior to the Effective Time, shall be the certificate of incorporation of the Surviving Entity, until thereafter duly amended as provided therein or by Applicable Law.</w:t>
      </w:r>
    </w:p>
    <w:p>
      <w:pPr>
        <w:spacing w:after="0" w:line="124"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As of the Effective Time, the bylaws of Cameron, as in effect immediately prior to the Effective Time, shall be the bylaws of the Surviving Entity, until thereafter duly amended as provided therein or by Applicable Law.</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The officers of Merger Sub immediately prior to the Effective Time shall, from and after the Effective Time, be the officers of the Surviving Entity until their successors have been duly elected or appointed and qualified or until their earlier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1"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death, resignation or removal in accordance with the governing documents of the Surviving Entity.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CONVERSION OF CAMERON COMMON STOCK</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Cameron and Merger Sub</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7"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Merger Consideration</w:t>
      </w:r>
      <w:r>
        <w:rPr>
          <w:rFonts w:ascii="Arial" w:cs="Arial" w:eastAsia="Arial" w:hAnsi="Arial"/>
          <w:sz w:val="17"/>
          <w:szCs w:val="17"/>
          <w:color w:val="auto"/>
        </w:rPr>
        <w:t>. At the Effective Time, subject to the other provisions of this Agreement, each share of common stock, par value $0.01</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of Cameron (“</w:t>
      </w:r>
      <w:r>
        <w:rPr>
          <w:rFonts w:ascii="Arial" w:cs="Arial" w:eastAsia="Arial" w:hAnsi="Arial"/>
          <w:sz w:val="17"/>
          <w:szCs w:val="17"/>
          <w:b w:val="1"/>
          <w:bCs w:val="1"/>
          <w:color w:val="auto"/>
        </w:rPr>
        <w:t>Cameron Common Stock</w:t>
      </w:r>
      <w:r>
        <w:rPr>
          <w:rFonts w:ascii="Arial" w:cs="Arial" w:eastAsia="Arial" w:hAnsi="Arial"/>
          <w:sz w:val="17"/>
          <w:szCs w:val="17"/>
          <w:color w:val="auto"/>
        </w:rPr>
        <w:t>”) issued and outstanding immediately prior to the Effective Time (excluding any Cameron Excluded Shares and Cameron Surviving Shares) shall, by virtue of the Merger and without any action on the part of the holder thereof, be converted into and shall thereafter represent the right to receive (i) 0.716 shares (the “</w:t>
      </w:r>
      <w:r>
        <w:rPr>
          <w:rFonts w:ascii="Arial" w:cs="Arial" w:eastAsia="Arial" w:hAnsi="Arial"/>
          <w:sz w:val="17"/>
          <w:szCs w:val="17"/>
          <w:b w:val="1"/>
          <w:bCs w:val="1"/>
          <w:color w:val="auto"/>
        </w:rPr>
        <w:t>Exchange Ratio</w:t>
      </w:r>
      <w:r>
        <w:rPr>
          <w:rFonts w:ascii="Arial" w:cs="Arial" w:eastAsia="Arial" w:hAnsi="Arial"/>
          <w:sz w:val="17"/>
          <w:szCs w:val="17"/>
          <w:color w:val="auto"/>
        </w:rPr>
        <w:t>”) of validly issued, fully paid and non-assessable shares of Schlumberger Common Stock and (ii) $14.44 in cash (the “</w:t>
      </w:r>
      <w:r>
        <w:rPr>
          <w:rFonts w:ascii="Arial" w:cs="Arial" w:eastAsia="Arial" w:hAnsi="Arial"/>
          <w:sz w:val="17"/>
          <w:szCs w:val="17"/>
          <w:b w:val="1"/>
          <w:bCs w:val="1"/>
          <w:color w:val="auto"/>
        </w:rPr>
        <w:t>Per Share Cash Amount</w:t>
      </w:r>
      <w:r>
        <w:rPr>
          <w:rFonts w:ascii="Arial" w:cs="Arial" w:eastAsia="Arial" w:hAnsi="Arial"/>
          <w:sz w:val="17"/>
          <w:szCs w:val="17"/>
          <w:color w:val="auto"/>
        </w:rPr>
        <w:t>”), without interest, subject to adjustment in accordance with Section 4.3 (together with any cash in lieu of fractional shares of Schlumberger Common Stock to be paid pursuant to Section 4.2(e)) (such shares and cash,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w:t>
      </w:r>
      <w:r>
        <w:rPr>
          <w:rFonts w:ascii="Arial" w:cs="Arial" w:eastAsia="Arial" w:hAnsi="Arial"/>
          <w:sz w:val="17"/>
          <w:szCs w:val="17"/>
          <w:color w:val="auto"/>
        </w:rPr>
        <w:t>”). Immediately before the Effective Time, Schlumberger will issue to Schlumberger US, by way of sale or as a contribution to the capital of</w:t>
      </w:r>
      <w:r>
        <w:rPr>
          <w:rFonts w:ascii="Arial" w:cs="Arial" w:eastAsia="Arial" w:hAnsi="Arial"/>
          <w:sz w:val="17"/>
          <w:szCs w:val="17"/>
          <w:b w:val="1"/>
          <w:bCs w:val="1"/>
          <w:color w:val="auto"/>
        </w:rPr>
        <w:t xml:space="preserve"> </w:t>
      </w:r>
      <w:r>
        <w:rPr>
          <w:rFonts w:ascii="Arial" w:cs="Arial" w:eastAsia="Arial" w:hAnsi="Arial"/>
          <w:sz w:val="17"/>
          <w:szCs w:val="17"/>
          <w:color w:val="auto"/>
        </w:rPr>
        <w:t>Schlumberger US or a combination thereof, that number of shares of Schlumberger Common Stock that are to be delivered by Schlumberger US to the holders of Cameron Common Stock pursuant to this Agreement.</w:t>
      </w:r>
    </w:p>
    <w:p>
      <w:pPr>
        <w:spacing w:after="0" w:line="181" w:lineRule="exact"/>
        <w:rPr>
          <w:rFonts w:ascii="Arial" w:cs="Arial" w:eastAsia="Arial" w:hAnsi="Arial"/>
          <w:sz w:val="17"/>
          <w:szCs w:val="17"/>
          <w:color w:val="auto"/>
        </w:rPr>
      </w:pPr>
    </w:p>
    <w:p>
      <w:pPr>
        <w:ind w:right="20" w:firstLine="921"/>
        <w:spacing w:after="0" w:line="288" w:lineRule="auto"/>
        <w:tabs>
          <w:tab w:leader="none" w:pos="116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Cameron Excluded Shares and Cameron Surviving Shares)</w:t>
      </w:r>
      <w:r>
        <w:rPr>
          <w:rFonts w:ascii="Arial" w:cs="Arial" w:eastAsia="Arial" w:hAnsi="Arial"/>
          <w:sz w:val="16"/>
          <w:szCs w:val="16"/>
          <w:color w:val="auto"/>
        </w:rPr>
        <w:t>. As a result of the Merger and without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on the part of the holders thereof, at the Effective Time, all shares of Cameron Common Stock (other than Cameron Excluded Shares and any Cameron Surviving Shares) shall cease to be outstanding and shall be canceled and retired and shall cease to exist, and each certificate that immediately prior to the Effective Time represented any shares of Cameron Common Stock (other than Cameron Excluded Shares and any Cameron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Cameron Common Stock formerly represented thereby, and any dividends or other distributions to which the holders thereof are entitled pursuant to Section 4.2(c). For purposes of this Agreement, “</w:t>
      </w:r>
      <w:r>
        <w:rPr>
          <w:rFonts w:ascii="Arial" w:cs="Arial" w:eastAsia="Arial" w:hAnsi="Arial"/>
          <w:sz w:val="16"/>
          <w:szCs w:val="16"/>
          <w:b w:val="1"/>
          <w:bCs w:val="1"/>
          <w:color w:val="auto"/>
        </w:rPr>
        <w:t>Cameron Excluded Shares</w:t>
      </w:r>
      <w:r>
        <w:rPr>
          <w:rFonts w:ascii="Arial" w:cs="Arial" w:eastAsia="Arial" w:hAnsi="Arial"/>
          <w:sz w:val="16"/>
          <w:szCs w:val="16"/>
          <w:color w:val="auto"/>
        </w:rPr>
        <w:t>” shall mean (i) any shares of Cameron Common Stock held by Schlumberger, Cameron or any direct or indirect wholly owned subsidiary of Schlumberger, in each case except for any such shares held on behalf of third parties, and (ii) any Dissenting Shares. “</w:t>
      </w:r>
      <w:r>
        <w:rPr>
          <w:rFonts w:ascii="Arial" w:cs="Arial" w:eastAsia="Arial" w:hAnsi="Arial"/>
          <w:sz w:val="16"/>
          <w:szCs w:val="16"/>
          <w:b w:val="1"/>
          <w:bCs w:val="1"/>
          <w:color w:val="auto"/>
        </w:rPr>
        <w:t>Cameron Surviving Shares</w:t>
      </w:r>
      <w:r>
        <w:rPr>
          <w:rFonts w:ascii="Arial" w:cs="Arial" w:eastAsia="Arial" w:hAnsi="Arial"/>
          <w:sz w:val="16"/>
          <w:szCs w:val="16"/>
          <w:color w:val="auto"/>
        </w:rPr>
        <w:t>” shall mean any shares of Cameron Common Stock held by any direct or indirect wholly owned subsidiary of Cameron except for any such shares held on behalf of third parties.</w:t>
      </w:r>
    </w:p>
    <w:p>
      <w:pPr>
        <w:spacing w:after="0" w:line="169" w:lineRule="exact"/>
        <w:rPr>
          <w:rFonts w:ascii="Arial" w:cs="Arial" w:eastAsia="Arial" w:hAnsi="Arial"/>
          <w:sz w:val="16"/>
          <w:szCs w:val="16"/>
          <w:color w:val="auto"/>
        </w:rPr>
      </w:pPr>
    </w:p>
    <w:p>
      <w:pPr>
        <w:jc w:val="both"/>
        <w:ind w:right="200" w:firstLine="921"/>
        <w:spacing w:after="0" w:line="264" w:lineRule="auto"/>
        <w:tabs>
          <w:tab w:leader="none" w:pos="115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Cancellation of Cameron Excluded Shares</w:t>
      </w:r>
      <w:r>
        <w:rPr>
          <w:rFonts w:ascii="Arial" w:cs="Arial" w:eastAsia="Arial" w:hAnsi="Arial"/>
          <w:sz w:val="18"/>
          <w:szCs w:val="18"/>
          <w:color w:val="auto"/>
        </w:rPr>
        <w:t>. Each Cameron Excluded Share at the Effective Time shall, by virtue of the Merger and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on the part of the holder thereof, cease to be outstanding and shall be canceled and retired without payment of any consideration therefor, and no Schlumberger Common Stock or other consideration shall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delivered in exchange therefor, subject to the right of the holder of any Dissenting Share to receive the payment to which reference is made in Section 4.4.</w:t>
      </w:r>
    </w:p>
    <w:p>
      <w:pPr>
        <w:spacing w:after="0" w:line="248" w:lineRule="exact"/>
        <w:rPr>
          <w:sz w:val="20"/>
          <w:szCs w:val="20"/>
          <w:color w:val="auto"/>
        </w:rPr>
      </w:pPr>
    </w:p>
    <w:p>
      <w:pPr>
        <w:ind w:firstLine="921"/>
        <w:spacing w:after="0" w:line="264"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Survival of Cameron Surviving Shares</w:t>
      </w:r>
      <w:r>
        <w:rPr>
          <w:rFonts w:ascii="Arial" w:cs="Arial" w:eastAsia="Arial" w:hAnsi="Arial"/>
          <w:sz w:val="18"/>
          <w:szCs w:val="18"/>
          <w:color w:val="auto"/>
        </w:rPr>
        <w:t>. Each Cameron Surviving Share at the Effective Time shall remain outstanding and shall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 as a share of common stock, par value $0.01 per share, of the Surviving Entity (“</w:t>
      </w:r>
      <w:r>
        <w:rPr>
          <w:rFonts w:ascii="Arial" w:cs="Arial" w:eastAsia="Arial" w:hAnsi="Arial"/>
          <w:sz w:val="18"/>
          <w:szCs w:val="18"/>
          <w:b w:val="1"/>
          <w:bCs w:val="1"/>
          <w:color w:val="auto"/>
        </w:rPr>
        <w:t>Surviving Entity Common Stock</w:t>
      </w:r>
      <w:r>
        <w:rPr>
          <w:rFonts w:ascii="Arial" w:cs="Arial" w:eastAsia="Arial" w:hAnsi="Arial"/>
          <w:sz w:val="18"/>
          <w:szCs w:val="18"/>
          <w:color w:val="auto"/>
        </w:rPr>
        <w:t>”) and shall not be canceled by virtue of the Merger and no Schlumberger Common Stock or other consideration shall be delivered in exchange therefor.</w:t>
      </w:r>
    </w:p>
    <w:p>
      <w:pPr>
        <w:spacing w:after="0" w:line="181" w:lineRule="exact"/>
        <w:rPr>
          <w:rFonts w:ascii="Arial" w:cs="Arial" w:eastAsia="Arial" w:hAnsi="Arial"/>
          <w:sz w:val="18"/>
          <w:szCs w:val="18"/>
          <w:color w:val="auto"/>
        </w:rPr>
      </w:pPr>
    </w:p>
    <w:p>
      <w:pPr>
        <w:ind w:right="40" w:firstLine="921"/>
        <w:spacing w:after="0" w:line="312" w:lineRule="auto"/>
        <w:tabs>
          <w:tab w:leader="none" w:pos="115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Merger Sub</w:t>
      </w:r>
      <w:r>
        <w:rPr>
          <w:rFonts w:ascii="Arial" w:cs="Arial" w:eastAsia="Arial" w:hAnsi="Arial"/>
          <w:sz w:val="16"/>
          <w:szCs w:val="16"/>
          <w:color w:val="auto"/>
        </w:rPr>
        <w:t>. At the Effective Time, the member interests of Merger Sub issued and outstanding immediately prior to the Effective Time shall,</w:t>
      </w:r>
      <w:r>
        <w:rPr>
          <w:rFonts w:ascii="Arial" w:cs="Arial" w:eastAsia="Arial" w:hAnsi="Arial"/>
          <w:sz w:val="16"/>
          <w:szCs w:val="16"/>
          <w:i w:val="1"/>
          <w:iCs w:val="1"/>
          <w:color w:val="auto"/>
        </w:rPr>
        <w:t xml:space="preserve"> </w:t>
      </w:r>
      <w:r>
        <w:rPr>
          <w:rFonts w:ascii="Arial" w:cs="Arial" w:eastAsia="Arial" w:hAnsi="Arial"/>
          <w:sz w:val="16"/>
          <w:szCs w:val="16"/>
          <w:color w:val="auto"/>
        </w:rPr>
        <w:t>by virtue of the Merger and without any action on the part of the holder thereof, be converted into and become a number of validly issued, fully paid and nonassessable shares of Surviving Entity Common Stock equal to the number of shares of Cameron Common Stock converted into the Merger Consideration.</w:t>
      </w:r>
    </w:p>
    <w:p>
      <w:pPr>
        <w:spacing w:after="0" w:line="146" w:lineRule="exact"/>
        <w:rPr>
          <w:rFonts w:ascii="Arial" w:cs="Arial" w:eastAsia="Arial" w:hAnsi="Arial"/>
          <w:sz w:val="16"/>
          <w:szCs w:val="16"/>
          <w:color w:val="auto"/>
        </w:rPr>
      </w:pPr>
    </w:p>
    <w:p>
      <w:pPr>
        <w:ind w:right="100" w:firstLine="921"/>
        <w:spacing w:after="0" w:line="291" w:lineRule="auto"/>
        <w:tabs>
          <w:tab w:leader="none" w:pos="113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Cameron Stock Options</w:t>
      </w:r>
      <w:r>
        <w:rPr>
          <w:rFonts w:ascii="Arial" w:cs="Arial" w:eastAsia="Arial" w:hAnsi="Arial"/>
          <w:sz w:val="16"/>
          <w:szCs w:val="16"/>
          <w:color w:val="auto"/>
        </w:rPr>
        <w:t>. At the Effective Time, all options to acquire shares of Cameron Common Stock outstanding and unexercised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the Effective Time under Cameron’s stock plans (collectively, the “</w:t>
      </w:r>
      <w:r>
        <w:rPr>
          <w:rFonts w:ascii="Arial" w:cs="Arial" w:eastAsia="Arial" w:hAnsi="Arial"/>
          <w:sz w:val="16"/>
          <w:szCs w:val="16"/>
          <w:b w:val="1"/>
          <w:bCs w:val="1"/>
          <w:color w:val="auto"/>
        </w:rPr>
        <w:t>Cameron Stock Plans</w:t>
      </w:r>
      <w:r>
        <w:rPr>
          <w:rFonts w:ascii="Arial" w:cs="Arial" w:eastAsia="Arial" w:hAnsi="Arial"/>
          <w:sz w:val="16"/>
          <w:szCs w:val="16"/>
          <w:color w:val="auto"/>
        </w:rPr>
        <w:t>”, which are identified in Section 4.1(f) of the</w:t>
      </w:r>
    </w:p>
    <w:p>
      <w:pPr>
        <w:spacing w:after="0"/>
        <w:rPr>
          <w:sz w:val="20"/>
          <w:szCs w:val="20"/>
          <w:color w:val="auto"/>
        </w:rPr>
      </w:pPr>
      <w:r>
        <w:rPr>
          <w:rFonts w:ascii="Arial" w:cs="Arial" w:eastAsia="Arial" w:hAnsi="Arial"/>
          <w:sz w:val="16"/>
          <w:szCs w:val="16"/>
          <w:color w:val="auto"/>
        </w:rPr>
        <w:t>Cameron Disclosure Letter), including all options to acquire shares of Cameron Common Stock issued after the date hereof in accordance with Section 8.1(b)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(iv) (each, a “</w:t>
      </w:r>
      <w:r>
        <w:rPr>
          <w:rFonts w:ascii="Arial" w:cs="Arial" w:eastAsia="Arial" w:hAnsi="Arial"/>
          <w:sz w:val="17"/>
          <w:szCs w:val="17"/>
          <w:b w:val="1"/>
          <w:bCs w:val="1"/>
          <w:color w:val="auto"/>
        </w:rPr>
        <w:t>Cameron Post-Signing Option</w:t>
      </w:r>
      <w:r>
        <w:rPr>
          <w:rFonts w:ascii="Arial" w:cs="Arial" w:eastAsia="Arial" w:hAnsi="Arial"/>
          <w:sz w:val="17"/>
          <w:szCs w:val="17"/>
          <w:color w:val="auto"/>
        </w:rPr>
        <w:t>”, and together with any other option to acquire shares of Cameron Common Stock, each a “</w:t>
      </w:r>
      <w:r>
        <w:rPr>
          <w:rFonts w:ascii="Arial" w:cs="Arial" w:eastAsia="Arial" w:hAnsi="Arial"/>
          <w:sz w:val="17"/>
          <w:szCs w:val="17"/>
          <w:b w:val="1"/>
          <w:bCs w:val="1"/>
          <w:color w:val="auto"/>
        </w:rPr>
        <w:t>Cameron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w:t>
      </w:r>
      <w:r>
        <w:rPr>
          <w:rFonts w:ascii="Arial" w:cs="Arial" w:eastAsia="Arial" w:hAnsi="Arial"/>
          <w:sz w:val="16"/>
          <w:szCs w:val="16"/>
          <w:color w:val="auto"/>
        </w:rPr>
        <w:t>”), shall cease to represent a right to acquire Cameron Common Stock and shall be converted automatically into an option (a “</w:t>
      </w:r>
      <w:r>
        <w:rPr>
          <w:rFonts w:ascii="Arial" w:cs="Arial" w:eastAsia="Arial" w:hAnsi="Arial"/>
          <w:sz w:val="16"/>
          <w:szCs w:val="16"/>
          <w:b w:val="1"/>
          <w:bCs w:val="1"/>
          <w:color w:val="auto"/>
        </w:rPr>
        <w:t>Converted Option</w:t>
      </w:r>
      <w:r>
        <w:rPr>
          <w:rFonts w:ascii="Arial" w:cs="Arial" w:eastAsia="Arial" w:hAnsi="Arial"/>
          <w:sz w:val="16"/>
          <w:szCs w:val="16"/>
          <w:color w:val="auto"/>
        </w:rPr>
        <w: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 shares of Schlumberger Common Stock in amounts and at an exercise price determined as provided in this Section 4.1(f) (and otherwise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Cameron Stock Plans, as applicable, under which they were issued and the agreements evidencing grants thereunder except as provided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4.1(f)). The number of shares of Schlumberger Common Stock to be subject to a Converted Option shall be equal to the product of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Cameron Common Stock subject to the Cameron Option immediately prior to the Effective Time multiplied by the Equity Award Exchange Ratio,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fractional shares of Schlumberger Common Stock resulting from such multiplication shall be rounded down to the nearest whole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per share of Schlumberger Common Stock under a Converted Option shall be equal to the exercise price per share of Cameron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the original Cameron Option immediately prior to the Effective Time divided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rounded up to the nearest whole cent. Notwithstanding the foregoing, the exercise price and/or the number of shares of Schlumberger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be purchased under each such Converted Option shall be further adjusted to the extent required to remain in compliance with, or exempt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requirements of Section 409A of the Code and the Treasury Regulations promulgated thereunder (collectively “</w:t>
      </w:r>
      <w:r>
        <w:rPr>
          <w:rFonts w:ascii="Arial" w:cs="Arial" w:eastAsia="Arial" w:hAnsi="Arial"/>
          <w:sz w:val="17"/>
          <w:szCs w:val="17"/>
          <w:b w:val="1"/>
          <w:bCs w:val="1"/>
          <w:color w:val="auto"/>
        </w:rPr>
        <w:t>Section 409A</w:t>
      </w:r>
      <w:r>
        <w:rPr>
          <w:rFonts w:ascii="Arial" w:cs="Arial" w:eastAsia="Arial" w:hAnsi="Arial"/>
          <w:sz w:val="17"/>
          <w:szCs w:val="17"/>
          <w:color w:val="auto"/>
        </w:rPr>
        <w:t>”) and, in the case of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Cameron Option that is intended to qualify as an “incentive stock option” within the meaning of Section 422 of the Code, the exercise price and the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shares of Schlumberger Common Stock subject to the Converted Option shall be determined in a manner consistent with the requirements of Section 424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Code and the Treasury Regulations promulgated thereunder. The duration and other terms of a Converted Option (including terms relating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acceleration of vesting upon termination of employment) shall otherwise remain the same as the original Cameron Option from which it was converted except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all references to “Cameron” in such original Cameron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7"/>
          <w:szCs w:val="17"/>
          <w:color w:val="auto"/>
        </w:rPr>
        <w:t>Option shall be deemed to be references to Schlumberger. For purposes of this Agreement, (1) “</w:t>
      </w:r>
      <w:r>
        <w:rPr>
          <w:rFonts w:ascii="Arial" w:cs="Arial" w:eastAsia="Arial" w:hAnsi="Arial"/>
          <w:sz w:val="17"/>
          <w:szCs w:val="17"/>
          <w:b w:val="1"/>
          <w:bCs w:val="1"/>
          <w:color w:val="auto"/>
        </w:rPr>
        <w:t>Equity Award Exchange Ratio</w:t>
      </w:r>
      <w:r>
        <w:rPr>
          <w:rFonts w:ascii="Arial" w:cs="Arial" w:eastAsia="Arial" w:hAnsi="Arial"/>
          <w:sz w:val="17"/>
          <w:szCs w:val="17"/>
          <w:color w:val="auto"/>
        </w:rPr>
        <w:t>” means the sum of (i) the Exchange Ratio and (ii) the quotient of the Per Share Cash Amount divided by the Schlumberger Per Share Fair Market Value, and (2) “</w:t>
      </w:r>
      <w:r>
        <w:rPr>
          <w:rFonts w:ascii="Arial" w:cs="Arial" w:eastAsia="Arial" w:hAnsi="Arial"/>
          <w:sz w:val="17"/>
          <w:szCs w:val="17"/>
          <w:b w:val="1"/>
          <w:bCs w:val="1"/>
          <w:color w:val="auto"/>
        </w:rPr>
        <w:t>Schlumberger Per</w:t>
      </w:r>
      <w:r>
        <w:rPr>
          <w:rFonts w:ascii="Arial" w:cs="Arial" w:eastAsia="Arial" w:hAnsi="Arial"/>
          <w:sz w:val="17"/>
          <w:szCs w:val="17"/>
          <w:color w:val="auto"/>
        </w:rPr>
        <w:t xml:space="preserve"> </w:t>
      </w:r>
      <w:r>
        <w:rPr>
          <w:rFonts w:ascii="Arial" w:cs="Arial" w:eastAsia="Arial" w:hAnsi="Arial"/>
          <w:sz w:val="17"/>
          <w:szCs w:val="17"/>
          <w:b w:val="1"/>
          <w:bCs w:val="1"/>
          <w:color w:val="auto"/>
        </w:rPr>
        <w:t>Share Fair Market Value</w:t>
      </w:r>
      <w:r>
        <w:rPr>
          <w:rFonts w:ascii="Arial" w:cs="Arial" w:eastAsia="Arial" w:hAnsi="Arial"/>
          <w:sz w:val="17"/>
          <w:szCs w:val="17"/>
          <w:color w:val="auto"/>
        </w:rPr>
        <w:t>” means the average of the volume weighted average price per share of Schlumberger Common Stock on the NYSE Composite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Tape (as reported by Bloomberg L.P. or such other authoritative source as mutually agreed between Cameron and Schlumberger) on each of the five consecutive trading days ending with the second complete trading day immediately prior to the Effective Time.</w:t>
      </w:r>
    </w:p>
    <w:p>
      <w:pPr>
        <w:spacing w:after="0" w:line="172" w:lineRule="exact"/>
        <w:rPr>
          <w:sz w:val="20"/>
          <w:szCs w:val="20"/>
          <w:color w:val="auto"/>
        </w:rPr>
      </w:pPr>
    </w:p>
    <w:p>
      <w:pPr>
        <w:ind w:right="300" w:firstLine="921"/>
        <w:spacing w:after="0" w:line="284" w:lineRule="auto"/>
        <w:tabs>
          <w:tab w:leader="none" w:pos="1168"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Cameron Restricted Stock Unit Awards</w:t>
      </w:r>
      <w:r>
        <w:rPr>
          <w:rFonts w:ascii="Arial" w:cs="Arial" w:eastAsia="Arial" w:hAnsi="Arial"/>
          <w:sz w:val="16"/>
          <w:szCs w:val="16"/>
          <w:color w:val="auto"/>
        </w:rPr>
        <w:t>. At the Effective Time, each restricted stock unit award granted under any Cameron Stock Plan</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Cameron Restricted Stock Unit Awards</w:t>
      </w:r>
      <w:r>
        <w:rPr>
          <w:rFonts w:ascii="Arial" w:cs="Arial" w:eastAsia="Arial" w:hAnsi="Arial"/>
          <w:sz w:val="16"/>
          <w:szCs w:val="16"/>
          <w:color w:val="auto"/>
        </w:rPr>
        <w:t>”) that is outstanding and unvested immediately prior to the Effective Time, including the Cameron Restricted Stock Unit Awards granted after the date hereof pursuant to Section 8.1(b)(iv) (“</w:t>
      </w:r>
      <w:r>
        <w:rPr>
          <w:rFonts w:ascii="Arial" w:cs="Arial" w:eastAsia="Arial" w:hAnsi="Arial"/>
          <w:sz w:val="16"/>
          <w:szCs w:val="16"/>
          <w:b w:val="1"/>
          <w:bCs w:val="1"/>
          <w:color w:val="auto"/>
        </w:rPr>
        <w:t>Cameron Post-Signing Restricted Stock Unit</w:t>
      </w:r>
      <w:r>
        <w:rPr>
          <w:rFonts w:ascii="Arial" w:cs="Arial" w:eastAsia="Arial" w:hAnsi="Arial"/>
          <w:sz w:val="16"/>
          <w:szCs w:val="16"/>
          <w:color w:val="auto"/>
        </w:rPr>
        <w:t xml:space="preserve"> </w:t>
      </w:r>
      <w:r>
        <w:rPr>
          <w:rFonts w:ascii="Arial" w:cs="Arial" w:eastAsia="Arial" w:hAnsi="Arial"/>
          <w:sz w:val="16"/>
          <w:szCs w:val="16"/>
          <w:b w:val="1"/>
          <w:bCs w:val="1"/>
          <w:color w:val="auto"/>
        </w:rPr>
        <w:t>Awards</w:t>
      </w:r>
      <w:r>
        <w:rPr>
          <w:rFonts w:ascii="Arial" w:cs="Arial" w:eastAsia="Arial" w:hAnsi="Arial"/>
          <w:sz w:val="16"/>
          <w:szCs w:val="16"/>
          <w:color w:val="auto"/>
        </w:rPr>
        <w:t>”), shall be converted into and become a right to receive a restricted stock unit with respect to Schlumberger Common Stock with substantially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terms as those of the applicable Cameron Restricted Stock Unit Award and the agreement by which such Cameron Restricted Stock Unit Award is evidenced, as in effect as of the date of this Agreement (all outstanding Cameron Restricted Stock Unit Awards that are assumed pursuant to this</w:t>
      </w:r>
    </w:p>
    <w:p>
      <w:pPr>
        <w:spacing w:after="0" w:line="4" w:lineRule="exact"/>
        <w:rPr>
          <w:rFonts w:ascii="Arial" w:cs="Arial" w:eastAsia="Arial" w:hAnsi="Arial"/>
          <w:sz w:val="16"/>
          <w:szCs w:val="16"/>
          <w:color w:val="auto"/>
        </w:rPr>
      </w:pPr>
    </w:p>
    <w:p>
      <w:pPr>
        <w:ind w:right="140"/>
        <w:spacing w:after="0" w:line="281" w:lineRule="auto"/>
        <w:rPr>
          <w:rFonts w:ascii="Arial" w:cs="Arial" w:eastAsia="Arial" w:hAnsi="Arial"/>
          <w:sz w:val="16"/>
          <w:szCs w:val="16"/>
          <w:color w:val="auto"/>
        </w:rPr>
      </w:pPr>
      <w:r>
        <w:rPr>
          <w:rFonts w:ascii="Arial" w:cs="Arial" w:eastAsia="Arial" w:hAnsi="Arial"/>
          <w:sz w:val="16"/>
          <w:szCs w:val="16"/>
          <w:color w:val="auto"/>
        </w:rPr>
        <w:t>Section 4.1(g) are hereafter referred to as “</w:t>
      </w:r>
      <w:r>
        <w:rPr>
          <w:rFonts w:ascii="Arial" w:cs="Arial" w:eastAsia="Arial" w:hAnsi="Arial"/>
          <w:sz w:val="16"/>
          <w:szCs w:val="16"/>
          <w:b w:val="1"/>
          <w:bCs w:val="1"/>
          <w:color w:val="auto"/>
        </w:rPr>
        <w:t>Assumed RSUs</w:t>
      </w:r>
      <w:r>
        <w:rPr>
          <w:rFonts w:ascii="Arial" w:cs="Arial" w:eastAsia="Arial" w:hAnsi="Arial"/>
          <w:sz w:val="16"/>
          <w:szCs w:val="16"/>
          <w:color w:val="auto"/>
        </w:rPr>
        <w:t>”). All rights to receive shares of Cameron Common Stock under Assumed RSUs shall thereupon be converted into rights to receive restricted stock units with respect to Schlumberger Common Stock. Accordingly, from and after the Effective Time:</w:t>
      </w:r>
    </w:p>
    <w:p>
      <w:pPr>
        <w:spacing w:after="0" w:line="1" w:lineRule="exact"/>
        <w:rPr>
          <w:rFonts w:ascii="Arial" w:cs="Arial" w:eastAsia="Arial" w:hAnsi="Arial"/>
          <w:sz w:val="16"/>
          <w:szCs w:val="16"/>
          <w:color w:val="auto"/>
        </w:rPr>
      </w:pPr>
    </w:p>
    <w:p>
      <w:pPr>
        <w:ind w:firstLine="8"/>
        <w:spacing w:after="0" w:line="270" w:lineRule="auto"/>
        <w:tabs>
          <w:tab w:leader="none" w:pos="295"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Assumed RSU award will be settled in shares of Schlumberger Common Stock; (B) the number of shares of Schlumberger Common Stock subject to each Assumed RSU award shall be determined by multiplying the number of shares of Cameron Common Stock that were subject to such Assumed RSU award immediately prior to the Effective Time by the Equity Award Exchange Ratio, and rounding the resulting number to the nearest whole number of shares of Schlumberger Common Stock; and (C) any conditions and restrictions on the receipt of any Assumed RSUs shall continue in full force and effect and the term, vesting schedule and other provisions of such Assumed RSUs (including terms relating to acceleration of vesting upon termination of employment) shall otherwise remain unchanged as a result of the assumption of such Assumed RSUs.</w:t>
      </w:r>
    </w:p>
    <w:p>
      <w:pPr>
        <w:spacing w:after="0" w:line="178" w:lineRule="exact"/>
        <w:rPr>
          <w:rFonts w:ascii="Arial" w:cs="Arial" w:eastAsia="Arial" w:hAnsi="Arial"/>
          <w:sz w:val="17"/>
          <w:szCs w:val="17"/>
          <w:color w:val="auto"/>
        </w:rPr>
      </w:pPr>
    </w:p>
    <w:p>
      <w:pPr>
        <w:ind w:right="240" w:firstLine="921"/>
        <w:spacing w:after="0" w:line="257" w:lineRule="auto"/>
        <w:tabs>
          <w:tab w:leader="none" w:pos="1168"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Cameron Deferred Stock Unit Awards</w:t>
      </w:r>
      <w:r>
        <w:rPr>
          <w:rFonts w:ascii="Arial" w:cs="Arial" w:eastAsia="Arial" w:hAnsi="Arial"/>
          <w:sz w:val="18"/>
          <w:szCs w:val="18"/>
          <w:color w:val="auto"/>
        </w:rPr>
        <w:t>. At the Effective Time, each deferred stock unit granted or deferred under any Cameron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Cameron Deferred Stock Unit Awards</w:t>
      </w:r>
      <w:r>
        <w:rPr>
          <w:rFonts w:ascii="Arial" w:cs="Arial" w:eastAsia="Arial" w:hAnsi="Arial"/>
          <w:sz w:val="18"/>
          <w:szCs w:val="18"/>
          <w:color w:val="auto"/>
        </w:rPr>
        <w:t>”) that is outstanding immediately prior to the Effective Time shall, by virtue of the Merger and without any action on the part of the holder thereof, Cameron, Schlumberger US, Merger Sub or Schlumberger, be cancelled and converted into the right to receive the Merger Consideration based on the total number of shares of Cameron Common Stock subject to such Cameron Deferred Stock Unit Award immediately prior to the Effective Time.</w:t>
      </w:r>
    </w:p>
    <w:p>
      <w:pPr>
        <w:spacing w:after="0" w:line="188" w:lineRule="exact"/>
        <w:rPr>
          <w:rFonts w:ascii="Arial" w:cs="Arial" w:eastAsia="Arial" w:hAnsi="Arial"/>
          <w:sz w:val="18"/>
          <w:szCs w:val="18"/>
          <w:color w:val="auto"/>
        </w:rPr>
      </w:pPr>
    </w:p>
    <w:p>
      <w:pPr>
        <w:ind w:right="100" w:firstLine="921"/>
        <w:spacing w:after="0" w:line="286" w:lineRule="auto"/>
        <w:tabs>
          <w:tab w:leader="none" w:pos="1128"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Cameron Performance Share Awards</w:t>
      </w:r>
      <w:r>
        <w:rPr>
          <w:rFonts w:ascii="Arial" w:cs="Arial" w:eastAsia="Arial" w:hAnsi="Arial"/>
          <w:sz w:val="17"/>
          <w:szCs w:val="17"/>
          <w:color w:val="auto"/>
        </w:rPr>
        <w:t>. At the Effective Time, each performance-based restricted stock unit award granted under any Cameron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Plan (collectively, the “</w:t>
      </w:r>
      <w:r>
        <w:rPr>
          <w:rFonts w:ascii="Arial" w:cs="Arial" w:eastAsia="Arial" w:hAnsi="Arial"/>
          <w:sz w:val="17"/>
          <w:szCs w:val="17"/>
          <w:b w:val="1"/>
          <w:bCs w:val="1"/>
          <w:color w:val="auto"/>
        </w:rPr>
        <w:t>Cameron Performance Share Awards</w:t>
      </w:r>
      <w:r>
        <w:rPr>
          <w:rFonts w:ascii="Arial" w:cs="Arial" w:eastAsia="Arial" w:hAnsi="Arial"/>
          <w:sz w:val="17"/>
          <w:szCs w:val="17"/>
          <w:color w:val="auto"/>
        </w:rPr>
        <w:t>”) that is outstanding and unvested immediately prior to the Effective Time shall be converted into and become a fully vested deferred stock unit with respect to Schlumberger Common Stock with the same payment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8" w:name="page19"/>
    <w:bookmarkEnd w:id="18"/>
    <w:p>
      <w:pPr>
        <w:ind w:right="120"/>
        <w:spacing w:after="0" w:line="286" w:lineRule="auto"/>
        <w:rPr>
          <w:sz w:val="20"/>
          <w:szCs w:val="20"/>
          <w:color w:val="auto"/>
        </w:rPr>
      </w:pPr>
      <w:r>
        <w:rPr>
          <w:rFonts w:ascii="Arial" w:cs="Arial" w:eastAsia="Arial" w:hAnsi="Arial"/>
          <w:sz w:val="16"/>
          <w:szCs w:val="16"/>
          <w:color w:val="auto"/>
        </w:rPr>
        <w:t>schedule as the applicable Cameron Performance Share Award and the agreement by which such Cameron Performance Share Award is evidenced, as in effect as of the date of this Agreement (all outstanding Cameron Performance Share Awards that are assumed pursuant to this Section 4.1(i) are hereafter referred to as “</w:t>
      </w:r>
      <w:r>
        <w:rPr>
          <w:rFonts w:ascii="Arial" w:cs="Arial" w:eastAsia="Arial" w:hAnsi="Arial"/>
          <w:sz w:val="16"/>
          <w:szCs w:val="16"/>
          <w:b w:val="1"/>
          <w:bCs w:val="1"/>
          <w:color w:val="auto"/>
        </w:rPr>
        <w:t>Converted Performance Shares</w:t>
      </w:r>
      <w:r>
        <w:rPr>
          <w:rFonts w:ascii="Arial" w:cs="Arial" w:eastAsia="Arial" w:hAnsi="Arial"/>
          <w:sz w:val="16"/>
          <w:szCs w:val="16"/>
          <w:color w:val="auto"/>
        </w:rPr>
        <w:t>”). All rights to receive shares of Cameron Common Stock under Converted Performance Shares shall thereupon be converted into fully vested deferred stock units with respect to Schlumberger Common Stock. Accordingly, from and after the Effective Time:</w:t>
      </w:r>
    </w:p>
    <w:p>
      <w:pPr>
        <w:spacing w:after="0" w:line="2" w:lineRule="exact"/>
        <w:rPr>
          <w:sz w:val="20"/>
          <w:szCs w:val="20"/>
          <w:color w:val="auto"/>
        </w:rPr>
      </w:pPr>
    </w:p>
    <w:p>
      <w:pPr>
        <w:ind w:right="60" w:firstLine="8"/>
        <w:spacing w:after="0" w:line="287" w:lineRule="auto"/>
        <w:tabs>
          <w:tab w:leader="none" w:pos="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Converted Performance Share award will be settled in shares of Schlumberger Common Stock; and (B) the number of shares of Schlumberger Common Stock subject to each Converted Performance Share award shall be determined by (i) for that portion of the Cameron Performance Share Award subject to performance against a TSR goal, multiplying the number of shares of Cameron Common Stock that were subject to such portion of the Converted Performance Share award earned at the attainment level determined by the Compensation Committee of the Cameron Board as of the Effective Time by the Equity Award Exchange Ratio plus (ii) for that portion of the Cameron Performance Share Award subject to performance against a ROIC goal, multiplying the number of shares of Cameron Common Stock that were subject to such portion of the Converted Performance Share award earned at the attainment level determined based on methodology set forth on Section 4.1(i) of the Cameron Disclosure Letter by the Equity Award Exchange Ratio, and rounding the resulting number to the nearest whole number of shares of Schlumberger Common Stock.</w:t>
      </w:r>
    </w:p>
    <w:p>
      <w:pPr>
        <w:spacing w:after="0" w:line="170" w:lineRule="exact"/>
        <w:rPr>
          <w:rFonts w:ascii="Arial" w:cs="Arial" w:eastAsia="Arial" w:hAnsi="Arial"/>
          <w:sz w:val="16"/>
          <w:szCs w:val="16"/>
          <w:color w:val="auto"/>
        </w:rPr>
      </w:pPr>
    </w:p>
    <w:p>
      <w:pPr>
        <w:ind w:firstLine="921"/>
        <w:spacing w:after="0" w:line="271" w:lineRule="auto"/>
        <w:tabs>
          <w:tab w:leader="none" w:pos="1128"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Assumed Awards</w:t>
      </w:r>
      <w:r>
        <w:rPr>
          <w:rFonts w:ascii="Arial" w:cs="Arial" w:eastAsia="Arial" w:hAnsi="Arial"/>
          <w:sz w:val="17"/>
          <w:szCs w:val="17"/>
          <w:color w:val="auto"/>
        </w:rPr>
        <w:t>. Notwithstanding the foregoing, (1) Schlumberger US shall assume all obligations with respect to each Converted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RSU award, and Converted Performance Share award (collectively the “</w:t>
      </w:r>
      <w:r>
        <w:rPr>
          <w:rFonts w:ascii="Arial" w:cs="Arial" w:eastAsia="Arial" w:hAnsi="Arial"/>
          <w:sz w:val="17"/>
          <w:szCs w:val="17"/>
          <w:b w:val="1"/>
          <w:bCs w:val="1"/>
          <w:color w:val="auto"/>
        </w:rPr>
        <w:t>Assumed Awards</w:t>
      </w:r>
      <w:r>
        <w:rPr>
          <w:rFonts w:ascii="Arial" w:cs="Arial" w:eastAsia="Arial" w:hAnsi="Arial"/>
          <w:sz w:val="17"/>
          <w:szCs w:val="17"/>
          <w:color w:val="auto"/>
        </w:rPr>
        <w:t>”), (2) each Assumed Award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Schlumberger Common Stock subsequent to the Effective Time; (3) the Compensation Committee of the Board of Directors of Schlumberger shall succeed to the authority and responsibility of the Cameron Board or any committee thereof with respect to each Assumed Award; (4) each Assumed Award shall be subject to administrative procedures consistent with those in effect under Schlumberger’s equity compensation plan; and (5) each Assumed Award shall be provided with dividend equivalent rights to the extent provided to Schlumberger awards of a comparable type.</w:t>
      </w:r>
    </w:p>
    <w:p>
      <w:pPr>
        <w:spacing w:after="0" w:line="178" w:lineRule="exact"/>
        <w:rPr>
          <w:rFonts w:ascii="Arial" w:cs="Arial" w:eastAsia="Arial" w:hAnsi="Arial"/>
          <w:sz w:val="17"/>
          <w:szCs w:val="17"/>
          <w:color w:val="auto"/>
        </w:rPr>
      </w:pPr>
    </w:p>
    <w:p>
      <w:pPr>
        <w:ind w:right="500" w:firstLine="921"/>
        <w:spacing w:after="0" w:line="286" w:lineRule="auto"/>
        <w:tabs>
          <w:tab w:leader="none" w:pos="1168"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Cameron shall make arrangements reasonably satisfactory to Schlumberger US to satisfy all employment and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requirements, if applicable, with respect to each Cameron Restricted Stock Unit Award, Cameron Performance Share Award or Cameron Deferred Stock Unit Award as a result of the consummation of the transactions as contemplated by this Agreement.</w:t>
      </w:r>
    </w:p>
    <w:p>
      <w:pPr>
        <w:spacing w:after="0" w:line="165" w:lineRule="exact"/>
        <w:rPr>
          <w:rFonts w:ascii="Arial" w:cs="Arial" w:eastAsia="Arial" w:hAnsi="Arial"/>
          <w:sz w:val="17"/>
          <w:szCs w:val="17"/>
          <w:color w:val="auto"/>
        </w:rPr>
      </w:pPr>
    </w:p>
    <w:p>
      <w:pPr>
        <w:jc w:val="both"/>
        <w:ind w:right="340" w:firstLine="921"/>
        <w:spacing w:after="0" w:line="288" w:lineRule="auto"/>
        <w:tabs>
          <w:tab w:leader="none" w:pos="1128"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Post-Signing Equity Awards</w:t>
      </w:r>
      <w:r>
        <w:rPr>
          <w:rFonts w:ascii="Arial" w:cs="Arial" w:eastAsia="Arial" w:hAnsi="Arial"/>
          <w:sz w:val="16"/>
          <w:szCs w:val="16"/>
          <w:color w:val="auto"/>
        </w:rPr>
        <w:t>. Any Cameron Post-Signing Restricted Stock Unit Award and Cameron Post-Signing Option shall,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Time, cease to represent a right to receive Cameron Common Stock and shall be converted into an award of applicable type (a “</w:t>
      </w:r>
      <w:r>
        <w:rPr>
          <w:rFonts w:ascii="Arial" w:cs="Arial" w:eastAsia="Arial" w:hAnsi="Arial"/>
          <w:sz w:val="16"/>
          <w:szCs w:val="16"/>
          <w:b w:val="1"/>
          <w:bCs w:val="1"/>
          <w:color w:val="auto"/>
        </w:rPr>
        <w:t>Schlumberger</w:t>
      </w:r>
      <w:r>
        <w:rPr>
          <w:rFonts w:ascii="Arial" w:cs="Arial" w:eastAsia="Arial" w:hAnsi="Arial"/>
          <w:sz w:val="16"/>
          <w:szCs w:val="16"/>
          <w:color w:val="auto"/>
        </w:rPr>
        <w:t xml:space="preserve"> </w:t>
      </w:r>
      <w:r>
        <w:rPr>
          <w:rFonts w:ascii="Arial" w:cs="Arial" w:eastAsia="Arial" w:hAnsi="Arial"/>
          <w:sz w:val="16"/>
          <w:szCs w:val="16"/>
          <w:b w:val="1"/>
          <w:bCs w:val="1"/>
          <w:color w:val="auto"/>
        </w:rPr>
        <w:t>Stock Incentive Award</w:t>
      </w:r>
      <w:r>
        <w:rPr>
          <w:rFonts w:ascii="Arial" w:cs="Arial" w:eastAsia="Arial" w:hAnsi="Arial"/>
          <w:sz w:val="16"/>
          <w:szCs w:val="16"/>
          <w:color w:val="auto"/>
        </w:rPr>
        <w:t>”) with respect to a number of whole shares of Schlumberger Common Stock in the same manner described in Section 4.1(f) and</w:t>
      </w:r>
    </w:p>
    <w:p>
      <w:pPr>
        <w:spacing w:after="0"/>
        <w:rPr>
          <w:rFonts w:ascii="Arial" w:cs="Arial" w:eastAsia="Arial" w:hAnsi="Arial"/>
          <w:sz w:val="16"/>
          <w:szCs w:val="16"/>
          <w:color w:val="auto"/>
        </w:rPr>
      </w:pPr>
      <w:r>
        <w:rPr>
          <w:rFonts w:ascii="Arial" w:cs="Arial" w:eastAsia="Arial" w:hAnsi="Arial"/>
          <w:sz w:val="18"/>
          <w:szCs w:val="18"/>
          <w:color w:val="auto"/>
        </w:rPr>
        <w:t>(g) above.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19" w:name="page20"/>
    <w:bookmarkEnd w:id="19"/>
    <w:p>
      <w:pPr>
        <w:ind w:left="8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r>
        <w:rPr>
          <w:rFonts w:ascii="Arial" w:cs="Arial" w:eastAsia="Arial" w:hAnsi="Arial"/>
          <w:sz w:val="18"/>
          <w:szCs w:val="18"/>
          <w:color w:val="auto"/>
        </w:rPr>
        <w:t>.</w:t>
      </w:r>
    </w:p>
    <w:p>
      <w:pPr>
        <w:spacing w:after="0" w:line="225" w:lineRule="exact"/>
        <w:rPr>
          <w:sz w:val="20"/>
          <w:szCs w:val="20"/>
          <w:color w:val="auto"/>
        </w:rPr>
      </w:pPr>
    </w:p>
    <w:p>
      <w:pPr>
        <w:ind w:left="-60" w:right="80" w:firstLine="921"/>
        <w:spacing w:after="0" w:line="288" w:lineRule="auto"/>
        <w:tabs>
          <w:tab w:leader="none" w:pos="1097"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US shall appoint a commercial bank or trust company or such other party as is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satisfactory to Cameron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Immediately after receiving the shares of Schlumberger Common Stock from Schlumberger pursuant to the last sentence of Section 4.1(a), Schlumberger US shall deposit with the Exchange Agent, in trust for the benefit of holders of shares of Cameron Common Stock, the number of shares of Schlumberger Common Stock that are issuable pursuant to Section 4.1 and an amount of cash representing the aggregate cash consideration payable pursuant to Section 4.1. Schlumberger US shall deposit such shares of Schlumberger Common Stock with the Exchange Agent by providing to the Exchange Agent an uncertificated book-entry for such shares. In addition, Schlumberger US shall make available to the Exchange Agent from time to time as needed, cash sufficient to make payments for the cash consideration pursuant to Section 4.1, payments in lieu of fractional shares pursuant to Section 4.2(e) and any dividends and other distributions pursuant to Section 4.2(c). Any cash and shares of Schlumberger Common Stock deposited by Schlumberger US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60" w:firstLine="921"/>
        <w:spacing w:after="0" w:line="285" w:lineRule="auto"/>
        <w:tabs>
          <w:tab w:leader="none" w:pos="110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US shall cause the Exchange Agent to mail to each holder of record of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shares of Cameron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Cameron Common Stock shall pass, only upon delivery of the corresponding Certificates to the Exchange Agent or receipt by the Exchange Agent of an “agent’s message” with respect to Book Entry Shares, which letter shall be in customary form and have such other provisions as Schlumberger US may reasonably specify, and (ii) instructions for effecting the surrender of such Certificates or Book Entry Shares in exchange for the Merger Consideration. Each holder of shares of Cameron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and which shall represent, in the aggregate, the whole number of shares that such holder has the right to receive pursuant to Section 4.1(a) (after taking into account all shares of Cameron Common Stock then held by such holder) and (ii) a check in the amount equal to any cash that such holder has the right to receive pursuant to this Article 4, consisting of the cash consideration pursuant to Section 4.1, cash in lieu of any fractional shares of Schlumberger Common Stock pursuant to Section 4.2(e) and any dividends and other distributions pursuant to Section 4.2(c). No interest will be paid or will accrue on any cash payable pursuant to Section 4.2(c) or Section 4.2(e). In the event of a transfer of ownership of Cameron Common Stock that is not registered in the transfer records of Cameron, one or more shares of Schlumberger Common Stock evidencing, in the aggregate, the proper number of shares of Schlumberger Common Stock and a check in the amount equal to any cash that is payable pursuant to Section 4.1(a) and any cash in lieu of any fractional shares of Schlumberger Common Stock pursuant to Section 4.2(e) and any dividends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125" w:right="27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7"/>
          <w:szCs w:val="17"/>
          <w:color w:val="auto"/>
        </w:rPr>
        <w:t>or other distributions to which such holder is entitled pursuant to Section 4.2(c), may be issued with respect to such Cameron Common Stock, as the case may be, to such a transferee if the Certificate representing such shares of Cameron Common Stock is presented to the Exchange Agent, accompanied by all documents required to evidence and effect such transfer and to evidence that any applicable stock transfer Taxes have been paid.</w:t>
      </w:r>
    </w:p>
    <w:p>
      <w:pPr>
        <w:spacing w:after="0" w:line="166" w:lineRule="exact"/>
        <w:rPr>
          <w:sz w:val="20"/>
          <w:szCs w:val="20"/>
          <w:color w:val="auto"/>
        </w:rPr>
      </w:pPr>
    </w:p>
    <w:p>
      <w:pPr>
        <w:ind w:right="20" w:firstLine="921"/>
        <w:spacing w:after="0" w:line="288" w:lineRule="auto"/>
        <w:tabs>
          <w:tab w:leader="none" w:pos="1157"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Schlumberger Common Stock to be issued pursuant to the Merger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issued and outstanding as of the Effective Time. No dividends or other distributions declared or made in respect of Schlumberger Common Stock shall be paid to the holder of any shares of Cameron Common Stock until the holder of such shares shall surrender such shares in accordance with this Article</w:t>
      </w:r>
    </w:p>
    <w:p>
      <w:pPr>
        <w:ind w:right="160" w:firstLine="8"/>
        <w:spacing w:after="0" w:line="29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Subject to Applicable Law, following surrender of any such shares, there shall be issued and/or paid to the holder of the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62" w:lineRule="exact"/>
        <w:rPr>
          <w:rFonts w:ascii="Arial" w:cs="Arial" w:eastAsia="Arial" w:hAnsi="Arial"/>
          <w:sz w:val="16"/>
          <w:szCs w:val="16"/>
          <w:color w:val="auto"/>
        </w:rPr>
      </w:pPr>
    </w:p>
    <w:p>
      <w:pPr>
        <w:ind w:right="60" w:firstLine="921"/>
        <w:spacing w:after="0" w:line="259" w:lineRule="auto"/>
        <w:tabs>
          <w:tab w:leader="none" w:pos="1168"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No Further Ownership Rights in Cameron Common Stock</w:t>
      </w:r>
      <w:r>
        <w:rPr>
          <w:rFonts w:ascii="Arial" w:cs="Arial" w:eastAsia="Arial" w:hAnsi="Arial"/>
          <w:sz w:val="18"/>
          <w:szCs w:val="18"/>
          <w:color w:val="auto"/>
        </w:rPr>
        <w:t>. All shares of Schlumberger Common Stock issued and cash paid upon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Cameron Common Stock in accordance with the terms of this Article 4 (including any cash paid pursuant to Section 4.2(c) or Section 4.2(e)) shall be deemed to have been issued or paid in full satisfaction of all rights pertaining to the shares of Cameron Common Stock previously represented by such Certificates and/or Book Entry Shares.</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80" w:firstLine="421"/>
        <w:spacing w:after="0" w:line="286" w:lineRule="auto"/>
        <w:tabs>
          <w:tab w:leader="none" w:pos="1555" w:val="left"/>
        </w:tabs>
        <w:numPr>
          <w:ilvl w:val="2"/>
          <w:numId w:val="10"/>
        </w:numPr>
        <w:rPr>
          <w:rFonts w:ascii="Arial" w:cs="Arial" w:eastAsia="Arial" w:hAnsi="Arial"/>
          <w:sz w:val="17"/>
          <w:szCs w:val="17"/>
          <w:color w:val="auto"/>
        </w:rPr>
      </w:pPr>
      <w:r>
        <w:rPr>
          <w:rFonts w:ascii="Arial" w:cs="Arial" w:eastAsia="Arial" w:hAnsi="Arial"/>
          <w:sz w:val="17"/>
          <w:szCs w:val="17"/>
          <w:color w:val="auto"/>
        </w:rPr>
        <w:t>No certificates or scrip or shares of Schlumberger Common Stock representing fractional shares of Schlumberger Common Stock or book-entry credit of the same shall be issued upon the surrender for exchange of Certificates and/or Book Entry Shares and such fractional share interests will not entitle the owner thereof to vote or to have any rights of a stockholder of Schlumberger.</w:t>
      </w:r>
    </w:p>
    <w:p>
      <w:pPr>
        <w:spacing w:after="0" w:line="57" w:lineRule="exact"/>
        <w:rPr>
          <w:rFonts w:ascii="Arial" w:cs="Arial" w:eastAsia="Arial" w:hAnsi="Arial"/>
          <w:sz w:val="17"/>
          <w:szCs w:val="17"/>
          <w:color w:val="auto"/>
        </w:rPr>
      </w:pPr>
    </w:p>
    <w:p>
      <w:pPr>
        <w:ind w:left="920" w:firstLine="421"/>
        <w:spacing w:after="0" w:line="276" w:lineRule="auto"/>
        <w:tabs>
          <w:tab w:leader="none" w:pos="1605" w:val="left"/>
        </w:tabs>
        <w:numPr>
          <w:ilvl w:val="2"/>
          <w:numId w:val="1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each holder of shares of Cameron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21" w:name="page22"/>
    <w:bookmarkEnd w:id="21"/>
    <w:p>
      <w:pPr>
        <w:ind w:left="900" w:right="60" w:firstLine="421"/>
        <w:spacing w:after="0" w:line="259" w:lineRule="auto"/>
        <w:tabs>
          <w:tab w:leader="none" w:pos="16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promptly as practicable after the determination of the amount of cash, if any, to be paid to holders of fractional interests, the Exchange Agent shall so notify Schlumberger US, and Schlumberger US shall deposit or cause the Surviving Entity to deposit such amount with the Exchange Agent and shall cause the Exchange Agent to forward payments to such holders of fractional interests subject to and in accordance with the terms hereof.</w:t>
      </w:r>
    </w:p>
    <w:p>
      <w:pPr>
        <w:spacing w:after="0" w:line="186" w:lineRule="exact"/>
        <w:rPr>
          <w:rFonts w:ascii="Arial" w:cs="Arial" w:eastAsia="Arial" w:hAnsi="Arial"/>
          <w:sz w:val="18"/>
          <w:szCs w:val="18"/>
          <w:color w:val="auto"/>
        </w:rPr>
      </w:pPr>
    </w:p>
    <w:p>
      <w:pPr>
        <w:ind w:left="-20" w:firstLine="921"/>
        <w:spacing w:after="0" w:line="270" w:lineRule="auto"/>
        <w:tabs>
          <w:tab w:leader="none" w:pos="111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Termination of Exchange Fund</w:t>
      </w:r>
      <w:r>
        <w:rPr>
          <w:rFonts w:ascii="Arial" w:cs="Arial" w:eastAsia="Arial" w:hAnsi="Arial"/>
          <w:sz w:val="17"/>
          <w:szCs w:val="17"/>
          <w:color w:val="auto"/>
        </w:rPr>
        <w:t>. Schlumberger US shall be entitled to require the Exchange Agent to deliver to Schlumberger US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instruction of Schlumberger US any portion of the Exchange Fund that remains undistributed to the holders of Certificates and/or Book Entry Shares as of the date six months after the Effective Time, and any holders of the Certificates and/or Book Entry Shares who have not theretofore complied with this Article 4 shall thereafter look only to Schlumberger US for the Merger Consideration with respect to the shares of Cameron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Cameron Common Stock five years after the Effective Time (or such earlier date immediately prior to such time as such amounts would otherwise escheat to or become property of any Governmental Entity) shall, to the extent permitted by Applicable Law, become the property of Schlumberger US free and clear of any claims or interest of any person previously entitled thereto.</w:t>
      </w:r>
    </w:p>
    <w:p>
      <w:pPr>
        <w:spacing w:after="0" w:line="177" w:lineRule="exact"/>
        <w:rPr>
          <w:rFonts w:ascii="Arial" w:cs="Arial" w:eastAsia="Arial" w:hAnsi="Arial"/>
          <w:sz w:val="17"/>
          <w:szCs w:val="17"/>
          <w:color w:val="auto"/>
        </w:rPr>
      </w:pPr>
    </w:p>
    <w:p>
      <w:pPr>
        <w:ind w:left="-20" w:right="200" w:firstLine="921"/>
        <w:spacing w:after="0" w:line="264" w:lineRule="auto"/>
        <w:tabs>
          <w:tab w:leader="none" w:pos="11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US, Merger Sub, Schlumberger, Cameron, the Surviving Entity, any affiliate of any of the foregoing 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Agent shall be liable to any person in respect of any Merger Consideration from the Exchange Fund delivered to a public official or Governmental Entity pursuant to any applicable abandoned property, escheat or similar law.</w:t>
      </w:r>
    </w:p>
    <w:p>
      <w:pPr>
        <w:spacing w:after="0" w:line="181" w:lineRule="exact"/>
        <w:rPr>
          <w:rFonts w:ascii="Arial" w:cs="Arial" w:eastAsia="Arial" w:hAnsi="Arial"/>
          <w:sz w:val="18"/>
          <w:szCs w:val="18"/>
          <w:color w:val="auto"/>
        </w:rPr>
      </w:pPr>
    </w:p>
    <w:p>
      <w:pPr>
        <w:ind w:left="-20" w:right="40" w:firstLine="921"/>
        <w:spacing w:after="0" w:line="255" w:lineRule="auto"/>
        <w:tabs>
          <w:tab w:leader="none" w:pos="11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Investment of the Exchange Fund</w:t>
      </w:r>
      <w:r>
        <w:rPr>
          <w:rFonts w:ascii="Arial" w:cs="Arial" w:eastAsia="Arial" w:hAnsi="Arial"/>
          <w:sz w:val="18"/>
          <w:szCs w:val="18"/>
          <w:color w:val="auto"/>
        </w:rPr>
        <w:t>. The Exchange Agent shall invest any cash included in the Exchange Fund as directed by Schlumberger 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a daily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gain or loss thereon shall affect the amounts payable to the stockholders of Cameron pursuant to this Article 4 and that if at any time prior to the termination of the Exchange Fund pursuant to Section 4.2(f), the amount of cash included in the Exchange Fund is reduced below the amount necessary to pay any cash that is payable pursuant to Section 4.1(a) and any cash in lieu of fractional shares of Schlumberger Common Stock payable pursuant to Section 4.2(e), and dividends and distributions payable pursuant to Section 4.2(c), Schlumberger US shall promptly deposit additional cash into the Exchange Fund sufficient to rectify this deficiency. Any interest and other income resulting from such investments shall be paid promptly to Schlumberger US.</w:t>
      </w:r>
    </w:p>
    <w:p>
      <w:pPr>
        <w:spacing w:after="0" w:line="189" w:lineRule="exact"/>
        <w:rPr>
          <w:rFonts w:ascii="Arial" w:cs="Arial" w:eastAsia="Arial" w:hAnsi="Arial"/>
          <w:sz w:val="18"/>
          <w:szCs w:val="18"/>
          <w:color w:val="auto"/>
        </w:rPr>
      </w:pPr>
    </w:p>
    <w:p>
      <w:pPr>
        <w:ind w:left="-20" w:right="20" w:firstLine="921"/>
        <w:spacing w:after="0" w:line="259" w:lineRule="auto"/>
        <w:tabs>
          <w:tab w:leader="none" w:pos="110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Lost Certificates</w:t>
      </w:r>
      <w:r>
        <w:rPr>
          <w:rFonts w:ascii="Arial" w:cs="Arial" w:eastAsia="Arial" w:hAnsi="Arial"/>
          <w:sz w:val="18"/>
          <w:szCs w:val="18"/>
          <w:color w:val="auto"/>
        </w:rPr>
        <w:t>. If any Certificate shall have been lost, stolen or destroyed, upon the making of an affidavit of that fact by the person</w:t>
      </w:r>
      <w:r>
        <w:rPr>
          <w:rFonts w:ascii="Arial" w:cs="Arial" w:eastAsia="Arial" w:hAnsi="Arial"/>
          <w:sz w:val="18"/>
          <w:szCs w:val="18"/>
          <w:i w:val="1"/>
          <w:iCs w:val="1"/>
          <w:color w:val="auto"/>
        </w:rPr>
        <w:t xml:space="preserve"> </w:t>
      </w:r>
      <w:r>
        <w:rPr>
          <w:rFonts w:ascii="Arial" w:cs="Arial" w:eastAsia="Arial" w:hAnsi="Arial"/>
          <w:sz w:val="18"/>
          <w:szCs w:val="18"/>
          <w:color w:val="auto"/>
        </w:rPr>
        <w:t>claiming such Certificate to be lost, stolen or destroyed and, if reasonably required by Schlumberger, the posting by such person of a bond in such reasonable amount as Schlumberger US may direct as indemnity against any claim that may be made against it with respect to such Certificate, the Exchange Agent shall deliver in exchange for such lost, stolen or destroyed Certificate the applicable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125"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Cameron Common Stock formerly represented by such lost, stolen or destroyed Certificate.</w:t>
      </w:r>
    </w:p>
    <w:p>
      <w:pPr>
        <w:spacing w:after="0" w:line="166" w:lineRule="exact"/>
        <w:rPr>
          <w:sz w:val="20"/>
          <w:szCs w:val="20"/>
          <w:color w:val="auto"/>
        </w:rPr>
      </w:pPr>
    </w:p>
    <w:p>
      <w:pPr>
        <w:ind w:right="20" w:firstLine="921"/>
        <w:spacing w:after="0" w:line="270" w:lineRule="auto"/>
        <w:tabs>
          <w:tab w:leader="none" w:pos="112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Withholding Rights</w:t>
      </w:r>
      <w:r>
        <w:rPr>
          <w:rFonts w:ascii="Arial" w:cs="Arial" w:eastAsia="Arial" w:hAnsi="Arial"/>
          <w:sz w:val="17"/>
          <w:szCs w:val="17"/>
          <w:color w:val="auto"/>
        </w:rPr>
        <w:t>. Each of the Exchange Agent, Schlumberger US and the Surviving Entity shall be entitled, without duplication, to deduct</w:t>
      </w:r>
      <w:r>
        <w:rPr>
          <w:rFonts w:ascii="Arial" w:cs="Arial" w:eastAsia="Arial" w:hAnsi="Arial"/>
          <w:sz w:val="17"/>
          <w:szCs w:val="17"/>
          <w:i w:val="1"/>
          <w:iCs w:val="1"/>
          <w:color w:val="auto"/>
        </w:rPr>
        <w:t xml:space="preserve"> </w:t>
      </w:r>
      <w:r>
        <w:rPr>
          <w:rFonts w:ascii="Arial" w:cs="Arial" w:eastAsia="Arial" w:hAnsi="Arial"/>
          <w:sz w:val="17"/>
          <w:szCs w:val="17"/>
          <w:color w:val="auto"/>
        </w:rPr>
        <w:t>and withhold from the consideration otherwise payable pursuant to this Agreement to any holder of shares of Cameron Common Stock or any other equity rights in Cameron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81" w:lineRule="exact"/>
        <w:rPr>
          <w:rFonts w:ascii="Arial" w:cs="Arial" w:eastAsia="Arial" w:hAnsi="Arial"/>
          <w:sz w:val="17"/>
          <w:szCs w:val="17"/>
          <w:color w:val="auto"/>
        </w:rPr>
      </w:pPr>
    </w:p>
    <w:p>
      <w:pPr>
        <w:jc w:val="both"/>
        <w:ind w:right="120" w:firstLine="921"/>
        <w:spacing w:after="0" w:line="279"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After the Effective Time, the officers and directors of the Surviving Entity will be authorized to execute and deliver,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name and on behalf of Cameron, any deeds, bills of sale, assignments or assurances and to take and do, in the name and on behalf of Cameron,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71" w:lineRule="exact"/>
        <w:rPr>
          <w:rFonts w:ascii="Arial" w:cs="Arial" w:eastAsia="Arial" w:hAnsi="Arial"/>
          <w:sz w:val="17"/>
          <w:szCs w:val="17"/>
          <w:color w:val="auto"/>
        </w:rPr>
      </w:pPr>
    </w:p>
    <w:p>
      <w:pPr>
        <w:ind w:right="60" w:firstLine="921"/>
        <w:spacing w:after="0" w:line="255" w:lineRule="auto"/>
        <w:tabs>
          <w:tab w:leader="none" w:pos="112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Cameron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Cameron Common Stock thereafter on the records of Cameron. At or after the Effective Time, any Certificates or Book Entry Shares presented to the Exchange Agent or Schlumberger US for any reason shall represent the right to receive the Merger Consideration with respect to the shares of Cameron Common Stock formerly represented thereby (including any cash in lieu of fractional shares of Schlumberger Common Stock to which the holders thereof are entitled pursuant to Section 4.2(e)) and any dividends or other distributions to which the holders thereof are entitled pursuant to Section 4.2(c).</w:t>
      </w:r>
    </w:p>
    <w:p>
      <w:pPr>
        <w:spacing w:after="0" w:line="193"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Certain Adjustments</w:t>
      </w:r>
      <w:r>
        <w:rPr>
          <w:rFonts w:ascii="Arial" w:cs="Arial" w:eastAsia="Arial" w:hAnsi="Arial"/>
          <w:sz w:val="18"/>
          <w:szCs w:val="18"/>
          <w:color w:val="auto"/>
        </w:rPr>
        <w:t>. If, subsequent to the date of this Agreement but prior to the Effective Time, the outstanding Schlumberger Common Stock or Cameron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Per Share Cash Amount, the Merger Consideration, the Equity Award Exchange Ratio and any other similarly dependent items, as the case may be, shall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23" w:name="page24"/>
    <w:bookmarkEnd w:id="23"/>
    <w:p>
      <w:pPr>
        <w:ind w:right="440"/>
        <w:spacing w:after="0" w:line="277" w:lineRule="auto"/>
        <w:rPr>
          <w:sz w:val="20"/>
          <w:szCs w:val="20"/>
          <w:color w:val="auto"/>
        </w:rPr>
      </w:pPr>
      <w:r>
        <w:rPr>
          <w:rFonts w:ascii="Arial" w:cs="Arial" w:eastAsia="Arial" w:hAnsi="Arial"/>
          <w:sz w:val="18"/>
          <w:szCs w:val="18"/>
          <w:color w:val="auto"/>
        </w:rPr>
        <w:t>appropriately adjusted to provide to the holders of Cameron Common Stock consideration having the same economic effect as was contemplated by this Agreement prior to such event.</w:t>
      </w:r>
    </w:p>
    <w:p>
      <w:pPr>
        <w:spacing w:after="0" w:line="16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Appraisal Rights</w:t>
      </w:r>
      <w:r>
        <w:rPr>
          <w:rFonts w:ascii="Arial" w:cs="Arial" w:eastAsia="Arial" w:hAnsi="Arial"/>
          <w:sz w:val="16"/>
          <w:szCs w:val="16"/>
          <w:color w:val="auto"/>
        </w:rPr>
        <w:t>. No holder of Dissenting Shares (a “</w:t>
      </w:r>
      <w:r>
        <w:rPr>
          <w:rFonts w:ascii="Arial" w:cs="Arial" w:eastAsia="Arial" w:hAnsi="Arial"/>
          <w:sz w:val="16"/>
          <w:szCs w:val="16"/>
          <w:b w:val="1"/>
          <w:bCs w:val="1"/>
          <w:color w:val="auto"/>
        </w:rPr>
        <w:t>Dissenting Stockholder</w:t>
      </w:r>
      <w:r>
        <w:rPr>
          <w:rFonts w:ascii="Arial" w:cs="Arial" w:eastAsia="Arial" w:hAnsi="Arial"/>
          <w:sz w:val="16"/>
          <w:szCs w:val="16"/>
          <w:color w:val="auto"/>
        </w:rPr>
        <w:t>”) shall be entitled to any Merger Consideration or dividends or other distributions pursuant to Section 4.2(c) in respect of such Dissenting Shares unless and until such holder shall have failed to perfect or shall have effectively withdrawn or lost such holder’s right to seek appraisal of its Dissenting Shares under the DGCL, and any Dissenting Stockholder shall be entitled to receive only the payment provided by Section 262 of the DGCL with respect to the Dissenting Shares owned by such Dissenting Stockholder. If any person who otherwise would be deemed a Dissenting Stockholder shall have failed properly to perfect or shall have effectively withdrawn or lost the right to seek appraisal with respect to any Dissenting Shares, such Dissenting Shares shall thereupon be treated as though such Dissenting Shares had been converted into the Merger Consideration pursuant to Section 4.1. Cameron shall give Schlumberger US (a) prompt notice of any written demands for appraisal, attempted withdrawals of such demands, and any other instruments served pursuant to Applicable Law received by Cameron relating to stockholders’ rights of appraisal and (b) the opportunity to direct all negotiations and proceedings with respect to demand for appraisal under the DGCL. Cameron shall not, except with the prior written consent of Schlumberger US, voluntarily make any payment with respect to any demands for appraisals of Dissenting Shares, offer to settle or settle any such demands or approve any withdrawal of any such demands. For purposes of this Agreement, “</w:t>
      </w:r>
      <w:r>
        <w:rPr>
          <w:rFonts w:ascii="Arial" w:cs="Arial" w:eastAsia="Arial" w:hAnsi="Arial"/>
          <w:sz w:val="16"/>
          <w:szCs w:val="16"/>
          <w:b w:val="1"/>
          <w:bCs w:val="1"/>
          <w:color w:val="auto"/>
        </w:rPr>
        <w:t>Dissenting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means shares of Cameron Common Stock as to which the holder thereof has exercised appraisal rights pursuant to Section 262 of the DGCL.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CAMERON</w:t>
      </w:r>
    </w:p>
    <w:p>
      <w:pPr>
        <w:spacing w:after="0" w:line="22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Except (i) as set forth in the disclosure letter delivered to Schlumberger US and Schlumberger by Cameron at or prior to the execution hereof (the “</w:t>
      </w:r>
      <w:r>
        <w:rPr>
          <w:rFonts w:ascii="Arial" w:cs="Arial" w:eastAsia="Arial" w:hAnsi="Arial"/>
          <w:sz w:val="16"/>
          <w:szCs w:val="16"/>
          <w:b w:val="1"/>
          <w:bCs w:val="1"/>
          <w:color w:val="auto"/>
        </w:rPr>
        <w:t>Cameron Disclosure Letter</w:t>
      </w:r>
      <w:r>
        <w:rPr>
          <w:rFonts w:ascii="Arial" w:cs="Arial" w:eastAsia="Arial" w:hAnsi="Arial"/>
          <w:sz w:val="16"/>
          <w:szCs w:val="16"/>
          <w:color w:val="auto"/>
        </w:rPr>
        <w:t>”) and making reference to the particular subsection of this Agreement to which exception is being taken, subject to</w:t>
      </w:r>
    </w:p>
    <w:p>
      <w:pPr>
        <w:ind w:right="100"/>
        <w:spacing w:after="0" w:line="253" w:lineRule="auto"/>
        <w:rPr>
          <w:sz w:val="20"/>
          <w:szCs w:val="20"/>
          <w:color w:val="auto"/>
        </w:rPr>
      </w:pPr>
      <w:r>
        <w:rPr>
          <w:rFonts w:ascii="Arial" w:cs="Arial" w:eastAsia="Arial" w:hAnsi="Arial"/>
          <w:sz w:val="18"/>
          <w:szCs w:val="18"/>
          <w:color w:val="auto"/>
        </w:rPr>
        <w:t>Section 11.10, (ii) with respect to the Subsea segment of Cameron (the “</w:t>
      </w:r>
      <w:r>
        <w:rPr>
          <w:rFonts w:ascii="Arial" w:cs="Arial" w:eastAsia="Arial" w:hAnsi="Arial"/>
          <w:sz w:val="18"/>
          <w:szCs w:val="18"/>
          <w:b w:val="1"/>
          <w:bCs w:val="1"/>
          <w:color w:val="auto"/>
        </w:rPr>
        <w:t>Joint Venture</w:t>
      </w:r>
      <w:r>
        <w:rPr>
          <w:rFonts w:ascii="Arial" w:cs="Arial" w:eastAsia="Arial" w:hAnsi="Arial"/>
          <w:sz w:val="18"/>
          <w:szCs w:val="18"/>
          <w:color w:val="auto"/>
        </w:rPr>
        <w:t>”) and its Subsidiaries, assets, liabilities, businesses, operations and results of operations, to the extent actually known to the Schlumberger representatives on the governing board of the Joint Venture, or (iii) as disclosed in the Cameron Reports filed or furnished after December 31, 2014 and prior to the date hereof (excluding any disclosures in such Cameron Reports in any risk factors section, in any section related to forward looking statements and other disclosures that are predictive or forward-looking in nature), Cameron represents and warrants to Schlumberger US and Schlumberger that:</w:t>
      </w:r>
    </w:p>
    <w:p>
      <w:pPr>
        <w:spacing w:after="0" w:line="191" w:lineRule="exact"/>
        <w:rPr>
          <w:sz w:val="20"/>
          <w:szCs w:val="20"/>
          <w:color w:val="auto"/>
        </w:rPr>
      </w:pPr>
    </w:p>
    <w:p>
      <w:pPr>
        <w:ind w:right="260" w:firstLine="913"/>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Cameron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Cameron and its Subsidiaries is duly qualified to do business and is in good standing under the laws of any jurisdiction in which the character of the properties owned or leased by it therein or in which the transaction of its business makes such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t>qualification necessary, except where the failure to be so qualified has not had and would not reasonably be expected to have, individually or in the aggregate, a Cameron Material Adverse Effect. Cameron has made available to Schlumberger true and correct copies of Cameron’s certificate of incorporation and bylaws, each as amended to date, and each as so delivered is in full force and effect.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73" w:lineRule="auto"/>
        <w:tabs>
          <w:tab w:leader="none" w:pos="11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Cameron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Cameron Stockholder Approval. The execution and delivery of this Agreement and the consummation by Cameron of the transactions contemplated hereby have been duly authorized by all requisite corporate action on behalf of Cameron, other than the Cameron Stockholder Approval and the filing of the Certificate of Merger. This Agreement has been duly executed and delivered by Cameron and constitutes the valid and legally binding obligation of Cameron, enforceable against Cameron in accordance with its terms.</w:t>
      </w:r>
    </w:p>
    <w:p>
      <w:pPr>
        <w:spacing w:after="0" w:line="174" w:lineRule="exact"/>
        <w:rPr>
          <w:rFonts w:ascii="Arial" w:cs="Arial" w:eastAsia="Arial" w:hAnsi="Arial"/>
          <w:sz w:val="17"/>
          <w:szCs w:val="17"/>
          <w:color w:val="auto"/>
        </w:rPr>
      </w:pPr>
    </w:p>
    <w:p>
      <w:pPr>
        <w:ind w:firstLine="921"/>
        <w:spacing w:after="0" w:line="270" w:lineRule="auto"/>
        <w:tabs>
          <w:tab w:leader="none" w:pos="11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Board of Directors of Cameron (the “</w:t>
      </w:r>
      <w:r>
        <w:rPr>
          <w:rFonts w:ascii="Arial" w:cs="Arial" w:eastAsia="Arial" w:hAnsi="Arial"/>
          <w:sz w:val="17"/>
          <w:szCs w:val="17"/>
          <w:b w:val="1"/>
          <w:bCs w:val="1"/>
          <w:color w:val="auto"/>
        </w:rPr>
        <w:t>Cameron Board</w:t>
      </w:r>
      <w:r>
        <w:rPr>
          <w:rFonts w:ascii="Arial" w:cs="Arial" w:eastAsia="Arial" w:hAnsi="Arial"/>
          <w:sz w:val="17"/>
          <w:szCs w:val="17"/>
          <w:color w:val="auto"/>
        </w:rPr>
        <w:t>”), at a meeting duly called and held on or prior to the date hereof, has unanimously (i) determined that this Agreement, the Merger and the other transactions contemplated hereby are advisable, (ii) approved this Agreement and approved the Merger and the other transactions contemplated hereby, (iii) resolved to recommend the adoption of this Agreement to the holders of Cameron Common Stock (such recommendations being the “</w:t>
      </w:r>
      <w:r>
        <w:rPr>
          <w:rFonts w:ascii="Arial" w:cs="Arial" w:eastAsia="Arial" w:hAnsi="Arial"/>
          <w:sz w:val="17"/>
          <w:szCs w:val="17"/>
          <w:b w:val="1"/>
          <w:bCs w:val="1"/>
          <w:color w:val="auto"/>
        </w:rPr>
        <w:t>Cameron Recommendation</w:t>
      </w:r>
      <w:r>
        <w:rPr>
          <w:rFonts w:ascii="Arial" w:cs="Arial" w:eastAsia="Arial" w:hAnsi="Arial"/>
          <w:sz w:val="17"/>
          <w:szCs w:val="17"/>
          <w:color w:val="auto"/>
        </w:rPr>
        <w:t>”), subject to Section 8.3(b) and Section 8.3(d), and (iv) directed that this Agreement be submitted to the holders of Cameron Common Stock for their adoption. The Cameron Board has received the opinion of Cameron’s financial advisor, Credit Suisse Securities (USA) LLC, dated the date this Agreement was approved by the Cameron Board, to the effect that, as of such date and subject to the assumptions, qualifications, limitations and other matters considered in connection with the preparation of such opinion, the Merger Consideration to be received by the holders of Cameron Common Stock in the Merger pursuant to this Agreement is fair, from a financial point of view, to the holders of Cameron Common Stock (a written copy of which opinion will be provided to Schlumberger for informational purposes only promptly after receipt thereof by the Cameron Board).</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55" w:lineRule="auto"/>
        <w:tabs>
          <w:tab w:leader="none" w:pos="1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authorized capital stock of Cameron consists of 400,000,000 shares of Cameron Common Stock and 10,000,000 shares of preferred stock, par value $0.01 per share (“</w:t>
      </w:r>
      <w:r>
        <w:rPr>
          <w:rFonts w:ascii="Arial" w:cs="Arial" w:eastAsia="Arial" w:hAnsi="Arial"/>
          <w:sz w:val="18"/>
          <w:szCs w:val="18"/>
          <w:b w:val="1"/>
          <w:bCs w:val="1"/>
          <w:color w:val="auto"/>
        </w:rPr>
        <w:t>Cameron Preferred Stock</w:t>
      </w:r>
      <w:r>
        <w:rPr>
          <w:rFonts w:ascii="Arial" w:cs="Arial" w:eastAsia="Arial" w:hAnsi="Arial"/>
          <w:sz w:val="18"/>
          <w:szCs w:val="18"/>
          <w:color w:val="auto"/>
        </w:rPr>
        <w:t>”). As of August 21, 2015, there were (i) 190,615,263 outstanding shares of Cameron Common Stock and 72,496,209 shares of Cameron Common Stock held in the treasury of Cameron, (ii) 3,739,386 shares of Cameron Common Stock reserved for issuance upon exercise of outstanding Cameron Options, (iii) 1,233,874 shares of Cameron Common Stock reserved for issuance under outstanding Cameron Restricted Stock Unit Awards, (iv) 115,099 shares of Cameron Common Stock reserved for issuance under outstanding Cameron Deferred Stock Unit Awards, (v) 562,794 shares of Cameron Common Stock reserved for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25" w:name="page26"/>
    <w:bookmarkEnd w:id="25"/>
    <w:p>
      <w:pPr>
        <w:ind w:right="60"/>
        <w:spacing w:after="0" w:line="283" w:lineRule="auto"/>
        <w:rPr>
          <w:sz w:val="20"/>
          <w:szCs w:val="20"/>
          <w:color w:val="auto"/>
        </w:rPr>
      </w:pPr>
      <w:r>
        <w:rPr>
          <w:rFonts w:ascii="Arial" w:cs="Arial" w:eastAsia="Arial" w:hAnsi="Arial"/>
          <w:sz w:val="16"/>
          <w:szCs w:val="16"/>
          <w:color w:val="auto"/>
        </w:rPr>
        <w:t>issuance under outstanding Cameron Performance Share Awards, (vi) 67,977 shares of Cameron Common Stock (rounded up to the nearest whole share) reserved for issuance under outstanding phantom shares under the Cameron International Corporation Deferred Compensation Plan, the Cameron International Deferred Compensation Plan for Non-Employee Directors and the OneSubsea LLC Nonqualified Deferred Compensation Plan (collectively, the “</w:t>
      </w:r>
      <w:r>
        <w:rPr>
          <w:rFonts w:ascii="Arial" w:cs="Arial" w:eastAsia="Arial" w:hAnsi="Arial"/>
          <w:sz w:val="16"/>
          <w:szCs w:val="16"/>
          <w:b w:val="1"/>
          <w:bCs w:val="1"/>
          <w:color w:val="auto"/>
        </w:rPr>
        <w:t>Cameron Deferred Compensation Plans</w:t>
      </w:r>
      <w:r>
        <w:rPr>
          <w:rFonts w:ascii="Arial" w:cs="Arial" w:eastAsia="Arial" w:hAnsi="Arial"/>
          <w:sz w:val="16"/>
          <w:szCs w:val="16"/>
          <w:color w:val="auto"/>
        </w:rPr>
        <w:t>”), which are payable in whole or in part in shares of Cameron Common Stock, (vii) no issued or outstanding shares of restricted Cameron Common Stock the restrictions on which have not previously lapsed and (viii) no issued or outstanding shares of Cameron Preferred Stock. All of the issued and outstanding shares of Cameron Common Stock have been duly authorized and validly issued and are fully paid and nonassessable. Except as set forth in this Section 5.3 and except for changes since the close of business on August 21, 2015 resulting from the exercise of employee stock options or settlement of Cameron Restricted Stock Unit Awards, Cameron Deferred Stock Unit Awards or Cameron Performance Share Awards outstanding on such date or other securities issued as permitted by Section 8.1, there are outstanding (A) no shares of capital stock or other voting securities of Cameron, (B) no Cameron Options and (C) (1) no options, warrants or other rights to acquire from Cameron any capital stock, voting securities or other ownership interests in, or any securities convertible into or exchangeable for capital stock, voting securities or ownership interests in, Cameron and</w:t>
      </w:r>
    </w:p>
    <w:p>
      <w:pPr>
        <w:spacing w:after="0" w:line="5" w:lineRule="exact"/>
        <w:rPr>
          <w:sz w:val="20"/>
          <w:szCs w:val="20"/>
          <w:color w:val="auto"/>
        </w:rPr>
      </w:pPr>
    </w:p>
    <w:p>
      <w:pPr>
        <w:ind w:right="60" w:firstLine="8"/>
        <w:spacing w:after="0" w:line="288"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preemptive or similar rights, subscription or other rights, convertible securities, agreements, arrangements or commitments of any character, relating to the capital stock of Cameron, obligating Cameron to issue, transfer or sell any capital stock, voting securities or other ownership interests in, or any securities convertible into or exchangeable for capital stock, voting securities or other ownership interests in, Cameron or obligating Cameron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Cameron Securities</w:t>
      </w:r>
      <w:r>
        <w:rPr>
          <w:rFonts w:ascii="Arial" w:cs="Arial" w:eastAsia="Arial" w:hAnsi="Arial"/>
          <w:sz w:val="16"/>
          <w:szCs w:val="16"/>
          <w:color w:val="auto"/>
        </w:rPr>
        <w:t>”). Except as required by the terms of any Cameron Options, Cameron Restricted Stock Unit Awards, Cameron Deferred Stock Unit Awards or Cameron Performance Share Awards outstanding as of the date hereof or issued as permitted by Section 8.1, there are no outstanding obligations of Cameron or any of its Subsidiaries to repurchase, redeem or otherwise acquire any Cameron Securities.</w:t>
      </w:r>
    </w:p>
    <w:p>
      <w:pPr>
        <w:spacing w:after="0" w:line="168" w:lineRule="exact"/>
        <w:rPr>
          <w:rFonts w:ascii="Arial" w:cs="Arial" w:eastAsia="Arial" w:hAnsi="Arial"/>
          <w:sz w:val="16"/>
          <w:szCs w:val="16"/>
          <w:color w:val="auto"/>
        </w:rPr>
      </w:pPr>
    </w:p>
    <w:p>
      <w:pPr>
        <w:ind w:firstLine="921"/>
        <w:spacing w:after="0" w:line="257" w:lineRule="auto"/>
        <w:tabs>
          <w:tab w:leader="none" w:pos="11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for directors’ qualifying shares, all of the outstanding capital stock of, or other ownership interests in, each Subsidiary of Cameron have been validly issued and are fully paid and nonassessable and are owned by Cameron,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8"/>
          <w:szCs w:val="18"/>
          <w:b w:val="1"/>
          <w:bCs w:val="1"/>
          <w:color w:val="auto"/>
        </w:rPr>
        <w:t>Liens</w:t>
      </w:r>
      <w:r>
        <w:rPr>
          <w:rFonts w:ascii="Arial" w:cs="Arial" w:eastAsia="Arial" w:hAnsi="Arial"/>
          <w:sz w:val="18"/>
          <w:szCs w:val="18"/>
          <w:color w:val="auto"/>
        </w:rPr>
        <w:t>”) (including any restriction on the right to vote, sell or otherwise dispose of such capital stock or other ownership interests).</w:t>
      </w:r>
    </w:p>
    <w:p>
      <w:pPr>
        <w:spacing w:after="0" w:line="188" w:lineRule="exact"/>
        <w:rPr>
          <w:rFonts w:ascii="Arial" w:cs="Arial" w:eastAsia="Arial" w:hAnsi="Arial"/>
          <w:sz w:val="18"/>
          <w:szCs w:val="18"/>
          <w:color w:val="auto"/>
        </w:rPr>
      </w:pPr>
    </w:p>
    <w:p>
      <w:pPr>
        <w:ind w:right="40" w:firstLine="921"/>
        <w:spacing w:after="0" w:line="276" w:lineRule="auto"/>
        <w:tabs>
          <w:tab w:leader="none" w:pos="1158"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There are outstanding (i) no securities of Cameron or any of its Subsidiaries convertible into or exchangeable for shares of capital stock or other voting securities or ownership interests in any Subsidiary of Cameron, (ii) no options, warrants or other rights to acquire from Cameron or any of its Subsidiaries any capital stock, voting securities or other ownership interests in, or any securities convertible into or exchangeable for any capital stock, voting securities or ownership interests in, any Subsidiary of Cameron and (iii) except as provided by Applicable Law, no preemptive or similar rights, subscription or other rights, convertible securities, agreements, arrangements or commitments of any character, relating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capital stock of any Subsidiary of Cameron, obligating Cameron or any of its Subsidiaries to issue, transfer or sell, any capital stock, voting securities or other ownership interests in, or any securities convertible into or exchangeable for any capital stock, voting securities or ownership interests in, any Subsidiary of Cameron or obligating Cameron or any Subsidiary of Cameron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8"/>
          <w:szCs w:val="18"/>
          <w:b w:val="1"/>
          <w:bCs w:val="1"/>
          <w:color w:val="auto"/>
        </w:rPr>
        <w:t>Cameron</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Securities</w:t>
      </w:r>
      <w:r>
        <w:rPr>
          <w:rFonts w:ascii="Arial" w:cs="Arial" w:eastAsia="Arial" w:hAnsi="Arial"/>
          <w:sz w:val="18"/>
          <w:szCs w:val="18"/>
          <w:color w:val="auto"/>
        </w:rPr>
        <w:t>”). There are no outstanding obligations of Cameron or any of its Subsidiaries to repurchase, redeem or otherwise acquire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Cameron Subsidiary Securities.</w:t>
      </w:r>
    </w:p>
    <w:p>
      <w:pPr>
        <w:spacing w:after="0" w:line="193" w:lineRule="exact"/>
        <w:rPr>
          <w:sz w:val="20"/>
          <w:szCs w:val="20"/>
          <w:color w:val="auto"/>
        </w:rPr>
      </w:pPr>
    </w:p>
    <w:p>
      <w:pPr>
        <w:ind w:right="280" w:firstLine="921"/>
        <w:spacing w:after="0" w:line="264" w:lineRule="auto"/>
        <w:tabs>
          <w:tab w:leader="none" w:pos="11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for the capital stock or other voting securities or ownership interests in any Subsidiary of Cameron, neither Cameron nor any of its Subsidiaries owns, directly or indirectly, any capital stock or other voting securities or ownership interests in, or any securities convertible into or exchangeable for any capital stock, voting securities or ownership interests in, any person.</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Subsidiary of Cameron owns any shares of Cameron Common Stock.</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Cameron Material Adverse Effect:</w:t>
      </w:r>
    </w:p>
    <w:p>
      <w:pPr>
        <w:spacing w:after="0" w:line="62" w:lineRule="exact"/>
        <w:rPr>
          <w:sz w:val="20"/>
          <w:szCs w:val="20"/>
          <w:color w:val="auto"/>
        </w:rPr>
      </w:pPr>
    </w:p>
    <w:p>
      <w:pPr>
        <w:ind w:left="460" w:right="120" w:firstLine="443"/>
        <w:spacing w:after="0" w:line="312" w:lineRule="auto"/>
        <w:tabs>
          <w:tab w:leader="none" w:pos="11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Cameron nor any of its Subsidiaries is in violation of any law, regulation, ordinance, code or legally binding directive, governmental determination, guideline, order, treaty, convention or governmental certification requirement, U.S. or non-U.S., of any Governmental Entity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and no claim is pending or, to the knowledge of Cameron, threatened with respect to any such matters.</w:t>
      </w:r>
    </w:p>
    <w:p>
      <w:pPr>
        <w:spacing w:after="0" w:line="38" w:lineRule="exact"/>
        <w:rPr>
          <w:rFonts w:ascii="Arial" w:cs="Arial" w:eastAsia="Arial" w:hAnsi="Arial"/>
          <w:sz w:val="16"/>
          <w:szCs w:val="16"/>
          <w:color w:val="auto"/>
        </w:rPr>
      </w:pPr>
    </w:p>
    <w:p>
      <w:pPr>
        <w:ind w:left="460" w:firstLine="443"/>
        <w:spacing w:after="0" w:line="25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Cameron and each Subsidiary of Cameron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Cameron Permits</w:t>
      </w:r>
      <w:r>
        <w:rPr>
          <w:rFonts w:ascii="Arial" w:cs="Arial" w:eastAsia="Arial" w:hAnsi="Arial"/>
          <w:sz w:val="18"/>
          <w:szCs w:val="18"/>
          <w:color w:val="auto"/>
        </w:rPr>
        <w:t>”). All Cameron Permits are in full force and effect and there exists no default thereunder or breach thereof, and Cameron has no notice or knowledge that such Cameron Permits will not be renewed in the ordinary course after the Effective Time. No Governmental Entity has given, or to the knowledge of Cameron, threatened to give, any action to terminate, cancel or reform any Cameron Permit.</w:t>
      </w:r>
    </w:p>
    <w:p>
      <w:pPr>
        <w:spacing w:after="0" w:line="80" w:lineRule="exact"/>
        <w:rPr>
          <w:rFonts w:ascii="Arial" w:cs="Arial" w:eastAsia="Arial" w:hAnsi="Arial"/>
          <w:sz w:val="18"/>
          <w:szCs w:val="18"/>
          <w:color w:val="auto"/>
        </w:rPr>
      </w:pPr>
    </w:p>
    <w:p>
      <w:pPr>
        <w:ind w:left="460" w:right="240" w:firstLine="443"/>
        <w:spacing w:after="0" w:line="257"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Cameron and each Subsidiary of Cameron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Cameron,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Section 5.4 does not relate to Tax matters, employee benefits matters, labor matters, environmental matters, intellectual property matters, export control or trade matters, 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Foreign Corrupt Practices Act, which are the subjects of Sections 5.11, 5.12, 5.13, 5.15, 5.16, 5.23 and 5.24, respectively.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execution, delivery and performance by Cameron of this Agreement do not, and the consummation by Cameron of the Merger and the other transactions contemplated by this Agreement in accordance with the terms hereof will not, (i) subject to receipt of the Cameron Stockholder Approval, conflict with or result in a breach of any provisions of the certificate of incorporation or bylaws of Cameron,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Cameron or its Subsidiaries under, or result in being declared void, voidable, or without further binding effect, or otherwise result in a detriment to Cameron or any of its Subsidiaries under, any of the terms, conditions or provisions of, any loan or credit agreement, note, bond, mortgage, indenture, deed of trust, license, concession, franchise, permit, lease, contract, agreement, joint venture or other instrument or obligation to which Cameron or any of its Subsidiaries is a party, or by which Cameron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Cameron Material Adverse Effect.</w:t>
      </w:r>
    </w:p>
    <w:p>
      <w:pPr>
        <w:spacing w:after="0" w:line="168" w:lineRule="exact"/>
        <w:rPr>
          <w:rFonts w:ascii="Arial" w:cs="Arial" w:eastAsia="Arial" w:hAnsi="Arial"/>
          <w:sz w:val="16"/>
          <w:szCs w:val="16"/>
          <w:color w:val="auto"/>
        </w:rPr>
      </w:pPr>
    </w:p>
    <w:p>
      <w:pPr>
        <w:ind w:right="20" w:firstLine="921"/>
        <w:spacing w:after="0" w:line="269" w:lineRule="auto"/>
        <w:tabs>
          <w:tab w:leader="none" w:pos="11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 (ii) rules and regulations of the New York Stock Exchange, LLC (the “</w:t>
      </w:r>
      <w:r>
        <w:rPr>
          <w:rFonts w:ascii="Arial" w:cs="Arial" w:eastAsia="Arial" w:hAnsi="Arial"/>
          <w:sz w:val="17"/>
          <w:szCs w:val="17"/>
          <w:b w:val="1"/>
          <w:bCs w:val="1"/>
          <w:color w:val="auto"/>
        </w:rPr>
        <w:t>NYSE</w:t>
      </w:r>
      <w:r>
        <w:rPr>
          <w:rFonts w:ascii="Arial" w:cs="Arial" w:eastAsia="Arial" w:hAnsi="Arial"/>
          <w:sz w:val="17"/>
          <w:szCs w:val="17"/>
          <w:color w:val="auto"/>
        </w:rPr>
        <w:t>”), (iii)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Council Regulation (EC) No. 139/2004 of 20 January 2004 on the control of concentrations between undertakings (published in the Official Journal of the European Union on January 29, 2004 at L 24/1) (the “</w:t>
      </w:r>
      <w:r>
        <w:rPr>
          <w:rFonts w:ascii="Arial" w:cs="Arial" w:eastAsia="Arial" w:hAnsi="Arial"/>
          <w:sz w:val="17"/>
          <w:szCs w:val="17"/>
          <w:b w:val="1"/>
          <w:bCs w:val="1"/>
          <w:color w:val="auto"/>
        </w:rPr>
        <w:t>EC Merger Regulation</w:t>
      </w:r>
      <w:r>
        <w:rPr>
          <w:rFonts w:ascii="Arial" w:cs="Arial" w:eastAsia="Arial" w:hAnsi="Arial"/>
          <w:sz w:val="17"/>
          <w:szCs w:val="17"/>
          <w:color w:val="auto"/>
        </w:rPr>
        <w:t>”) and such applicable competition, antitrust or premerger notification laws of the other jurisdictions set forth in Section 5.5 of the Cameron Disclosure Letter, (iv)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(v)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(vi) state securities or “Blue Sky” laws and (vii) other Governmental Entities having jurisdiction over the Merger set forth in Section 5.5 of the Cameron Disclosure Letter, neither the execution, delivery or performance by Cameron of this Agreement, nor the consummation by Cameron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Cameron Material Adverse Effect.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8" w:name="page29"/>
    <w:bookmarkEnd w:id="28"/>
    <w:p>
      <w:pPr>
        <w:ind w:left="-8" w:firstLine="921"/>
        <w:spacing w:after="0" w:line="287" w:lineRule="auto"/>
        <w:tabs>
          <w:tab w:leader="none" w:pos="11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Cameron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2012 (collectively, the “</w:t>
      </w:r>
      <w:r>
        <w:rPr>
          <w:rFonts w:ascii="Arial" w:cs="Arial" w:eastAsia="Arial" w:hAnsi="Arial"/>
          <w:sz w:val="16"/>
          <w:szCs w:val="16"/>
          <w:b w:val="1"/>
          <w:bCs w:val="1"/>
          <w:color w:val="auto"/>
        </w:rPr>
        <w:t>Cameron Reports</w:t>
      </w:r>
      <w:r>
        <w:rPr>
          <w:rFonts w:ascii="Arial" w:cs="Arial" w:eastAsia="Arial" w:hAnsi="Arial"/>
          <w:sz w:val="16"/>
          <w:szCs w:val="16"/>
          <w:color w:val="auto"/>
        </w:rPr>
        <w:t>”) and has made available to Schlumberger each such document it has so filed or furnished, in the form filed with or furnished to the SEC. Cameron has made available to Schlumberger copies of all material comment letters from the SEC and Cameron’s responses thereto since January 1, 2012 through the date hereof. As of the date of this Agreement, there are no outstanding or unresolved comments received from the SEC staff with respect to the Cameron Reports. No Subsidiary of Cameron is required to file any registration statement, prospectus, report, schedule, form, statement or any other document with the SEC. No Subsidiary of Cameron is, or since January 1, 2012 has been, subject to any requirement to file periodic reports under the Exchange Act. As of their respective dates (or, if amended, as of the date of such amendment), the Cameron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Cameron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68" w:lineRule="exact"/>
        <w:rPr>
          <w:rFonts w:ascii="Arial" w:cs="Arial" w:eastAsia="Arial" w:hAnsi="Arial"/>
          <w:sz w:val="16"/>
          <w:szCs w:val="16"/>
          <w:color w:val="auto"/>
        </w:rPr>
      </w:pPr>
    </w:p>
    <w:p>
      <w:pPr>
        <w:ind w:left="-8" w:right="140" w:firstLine="921"/>
        <w:spacing w:after="0" w:line="291" w:lineRule="auto"/>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Cameron Reports (including the related notes and schedules) fairly presents, in all material respects, the consolidated financial position of Cameron and its Subsidiaries as of its date, and each of the consolidated statements of comprehensive income, cash flows and changes in equity included in or incorporated by reference into the Cameron Reports (including any related notes and schedules) fairly presents, in all material respects, the results of operations, cash flows or changes in equity, as the case may be, of Cameron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as may be noted therein.</w:t>
      </w:r>
    </w:p>
    <w:p>
      <w:pPr>
        <w:spacing w:after="0" w:line="167" w:lineRule="exact"/>
        <w:rPr>
          <w:rFonts w:ascii="Arial" w:cs="Arial" w:eastAsia="Arial" w:hAnsi="Arial"/>
          <w:sz w:val="16"/>
          <w:szCs w:val="16"/>
          <w:color w:val="auto"/>
        </w:rPr>
      </w:pPr>
    </w:p>
    <w:p>
      <w:pPr>
        <w:ind w:left="-8" w:right="20" w:firstLine="921"/>
        <w:spacing w:after="0" w:line="288" w:lineRule="auto"/>
        <w:tabs>
          <w:tab w:leader="none" w:pos="11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There are no liabilities or obligations of Cameron or any of its Subsidiaries (whether accrued, absolute, contingent or otherwise and whether or not required to be disclosed) that would be required to be reflected on, or reserved against in, a balance sheet of Cameron or in the notes thereto prepared in accordance with GAAP, other than liabilities or obligations to the extent (i) (A) reflected or reserved against on the consolidated balance sheet of Cameron or</w:t>
      </w:r>
    </w:p>
    <w:p>
      <w:pPr>
        <w:jc w:val="both"/>
        <w:ind w:left="-8" w:firstLine="8"/>
        <w:spacing w:after="0" w:line="254" w:lineRule="auto"/>
        <w:tabs>
          <w:tab w:leader="none" w:pos="2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Cameron’s annual report on Form 10-K for the year ended December 31, 2014 or Cameron’s quarterly report on Form 10-Q for the period ended June 30, 2015, (ii) liabilities or obligations incurred in the ordinary course of business since June 30, 2015 or (iii) liabilities or obligations which have not had and would not reasonably be expected to have, individually or in the aggregate, a Cameron Material Adverse Effect.</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125" w:right="239" w:bottom="1440" w:gutter="0" w:footer="0" w:header="0"/>
        </w:sectPr>
      </w:pPr>
    </w:p>
    <w:bookmarkStart w:id="29" w:name="page30"/>
    <w:bookmarkEnd w:id="29"/>
    <w:p>
      <w:pPr>
        <w:ind w:left="-60" w:right="40" w:firstLine="921"/>
        <w:spacing w:after="0" w:line="255"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June 30, 2015, there was no outstanding indebtedness for borrowed money of Cameron or any of its Subsidiaries, other than indebtedness in the amounts identified by instrument in Section 5.6 of the Cameron Disclosure Letter, and excluding inter-company indebtedness among Cameron and its wholly owned Subsidiaries and any indebtedness for borrowed money in an individual amount not in excess of $50 million and in the aggregate not in excess of $250 million. Since June 30, 2015, neither Cameron nor any of its Subsidiaries has incurred any indebtedness for borrowed money except in the ordinary course of business consistent with past practice, excluding intercompany indebtedness among Cameron and its wholly owned Subsidiaries.</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1" w:lineRule="exact"/>
        <w:rPr>
          <w:sz w:val="20"/>
          <w:szCs w:val="20"/>
          <w:color w:val="auto"/>
        </w:rPr>
      </w:pPr>
    </w:p>
    <w:p>
      <w:pPr>
        <w:ind w:left="-60" w:right="80" w:firstLine="921"/>
        <w:spacing w:after="0" w:line="266" w:lineRule="auto"/>
        <w:tabs>
          <w:tab w:leader="none" w:pos="10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Cameron has been and is in compliance in all material respects with (i) the applicable provisions of the Sarbanes-Oxley Act and (ii) the applicable listing and corporate governance rules and regulations of the NYSE.</w:t>
      </w:r>
    </w:p>
    <w:p>
      <w:pPr>
        <w:spacing w:after="0" w:line="180" w:lineRule="exact"/>
        <w:rPr>
          <w:rFonts w:ascii="Arial" w:cs="Arial" w:eastAsia="Arial" w:hAnsi="Arial"/>
          <w:sz w:val="18"/>
          <w:szCs w:val="18"/>
          <w:color w:val="auto"/>
        </w:rPr>
      </w:pPr>
    </w:p>
    <w:p>
      <w:pPr>
        <w:ind w:left="-60" w:right="140" w:firstLine="921"/>
        <w:spacing w:after="0" w:line="302" w:lineRule="auto"/>
        <w:tabs>
          <w:tab w:leader="none" w:pos="11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Cameron (or each former principal executive officer and former principal financial officer of Cameron, as applicable) has made all certifications required under Sections 302 and 906 of the Sarbanes-Oxley Act and the related rules and regulations promulgated thereunder and under the Exchange Act with respect to the Cameron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left="-60" w:right="420" w:firstLine="921"/>
        <w:spacing w:after="0" w:line="276" w:lineRule="auto"/>
        <w:tabs>
          <w:tab w:leader="none" w:pos="10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Cameron has (i) designed and maintained disclosure controls and procedures (as defined in Rule 13a-15(e) under the Exchange Act) as required by Rule 13a-15 under the Exchange Act, and (ii) disclosed, based on its most recent evaluation and knowledge, to its auditors and the audit committee of the Cameron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72" w:lineRule="exact"/>
        <w:rPr>
          <w:rFonts w:ascii="Arial" w:cs="Arial" w:eastAsia="Arial" w:hAnsi="Arial"/>
          <w:sz w:val="17"/>
          <w:szCs w:val="17"/>
          <w:color w:val="auto"/>
        </w:rPr>
      </w:pPr>
    </w:p>
    <w:p>
      <w:pPr>
        <w:ind w:left="-60" w:firstLine="921"/>
        <w:spacing w:after="0" w:line="254"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Cameron has designed and maintains a system of internal controls over financial reporting (as defined in Rule 13a-15(f) and 15d-15(f) under the Exchange Act) as required by Rule 13a-15 under the Exchange Act. Cameron’s management, with the participation of Cameron’s principal executive and financial officers, has completed an assessment of the effectiveness of Cameron’s internal controls over financial reporting in compliance with the requirements of Section 404 of the Sarbanes-Oxley Act for the year ended December 31, 2014, and such assessment concluded that such internal controls were effective using the framework specified in Cameron’s annual report on Form 10-K for the year ended December 31, 2014. To the knowledge of Cameron,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300" w:top="125" w:right="279" w:bottom="1440" w:gutter="0" w:footer="0" w:header="0"/>
        </w:sectPr>
      </w:pPr>
    </w:p>
    <w:bookmarkStart w:id="30" w:name="page31"/>
    <w:bookmarkEnd w:id="30"/>
    <w:p>
      <w:pPr>
        <w:ind w:right="440" w:firstLine="921"/>
        <w:spacing w:after="0" w:line="308" w:lineRule="auto"/>
        <w:tabs>
          <w:tab w:leader="none" w:pos="11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personal loan or other extension of credit by Cameron to any of its or their executive officers or directors has been made or modified (other than as permitted by Section 13 of the Exchange Act and Section 402 of the Sarbanes-Oxley Act) since July 30, 2002.</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91" w:lineRule="auto"/>
        <w:tabs>
          <w:tab w:leader="none" w:pos="1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Cameron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Cameron will comply as to form in all material respects with the provisions of the Exchange Act and the rules and regulations thereunder.</w:t>
      </w:r>
    </w:p>
    <w:p>
      <w:pPr>
        <w:spacing w:after="0" w:line="167" w:lineRule="exact"/>
        <w:rPr>
          <w:rFonts w:ascii="Arial" w:cs="Arial" w:eastAsia="Arial" w:hAnsi="Arial"/>
          <w:sz w:val="16"/>
          <w:szCs w:val="16"/>
          <w:color w:val="auto"/>
        </w:rPr>
      </w:pPr>
    </w:p>
    <w:p>
      <w:pPr>
        <w:jc w:val="both"/>
        <w:ind w:right="200" w:firstLine="921"/>
        <w:spacing w:after="0" w:line="264"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5.8, no representation or warranty is made by Cameron with respect to statements made or incorporated by reference in the Form S-4 or the Proxy Statement/Prospectus based on information supplied by Schlumberger US or Schlumberger for inclusion or incorporation by reference therein.</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Cameron, threatened against Cameron or any of its Subsidiaries or their respective assets, or any director, officer or employee of Cameron or any of its Subsidiaries or other affiliates, in each case, for whom Cameron or any of its Subsidiaries may be liable, or (b) litigations, arbitrations, investigations or other proceedings, or injunctions or final judgments relating thereto, pending or, to the knowledge of Cameron, threatened before any Governmental Entity or arbitrator against Cameron or any of its Subsidiaries or their respective assets, or any director, officer or employee of Cameron or any of its Subsidiaries or other affiliates, in each case, for whom Cameron or any of its Subsidiaries may be liable, except in the case of either clause (a) or (b), for those that would not, individually or in the aggregate, reasonably be expected to result in a Cameron Material Adverse Effect. None of Cameron or any of its Subsidiaries or their respective assets, or any director, officer or employee of Cameron or any of its Subsidiaries or other affiliates, in each case, for whom Cameron or any of its Subsidiaries may be liable, is a party to or subject to the provisions of any judgment, order, writ, injunction, decree or award of any Governmental Entity which would, individually or in the aggregate, reasonably be expected to result in a Cameron Material Adverse Effect. This Section 5.9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169"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Cameron Material Adverse Effect or any event, occurrence, change, discovery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development of a state of circumstances or facts which would, individually or in the aggregate, reasonably be expected to result in a Cameron Material Adverse Effect. Since December 31, 2014 and prior to the execution and delivery hereof, except for the execution and performance of this Agreement and the discussions, negotiations and transactions related thereto, the business of Cameron and its Subsidiaries has been carried on and conducted in all material respects in the ordinary course of business.</w:t>
      </w:r>
    </w:p>
    <w:p>
      <w:pPr>
        <w:spacing w:after="0" w:line="18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Taxes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166" w:lineRule="exact"/>
        <w:rPr>
          <w:sz w:val="20"/>
          <w:szCs w:val="20"/>
          <w:color w:val="auto"/>
        </w:rPr>
      </w:pPr>
    </w:p>
    <w:p>
      <w:pPr>
        <w:ind w:right="40" w:firstLine="921"/>
        <w:spacing w:after="0" w:line="273" w:lineRule="auto"/>
        <w:tabs>
          <w:tab w:leader="none" w:pos="11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all tax returns, statements, reports, declarations, estimates and forms required to be filed with respect to Taxes (“</w:t>
      </w:r>
      <w:r>
        <w:rPr>
          <w:rFonts w:ascii="Arial" w:cs="Arial" w:eastAsia="Arial" w:hAnsi="Arial"/>
          <w:sz w:val="17"/>
          <w:szCs w:val="17"/>
          <w:b w:val="1"/>
          <w:bCs w:val="1"/>
          <w:color w:val="auto"/>
        </w:rPr>
        <w:t>Returns</w:t>
      </w:r>
      <w:r>
        <w:rPr>
          <w:rFonts w:ascii="Arial" w:cs="Arial" w:eastAsia="Arial" w:hAnsi="Arial"/>
          <w:sz w:val="17"/>
          <w:szCs w:val="17"/>
          <w:color w:val="auto"/>
        </w:rPr>
        <w:t>”) by or with respect to Cameron or any of its Subsidiaries (including any Return required to be filed by an affiliated, consolidated, combined, unitary or similar group that includes Cameron or any of its Subsidiaries) on or prior to the date hereof have been properly filed on a timely basis with the appropriate Governmental Entities, and (ii) all Taxes required to be paid by Cameron or any of its Subsidiaries (whether or not shown on any Return) have been duly paid, and all Taxes that Cameron or any of its Subsidiaries are obligated to withhold from amounts payable to any employee, creditor, shareholder or other third party have been duly withheld and deposited, in each case in full and on a timely basis, except, in each case of clause (i) and (ii), with respect to matters contested in good faith or adequately reserved for, in accordance with GAAP;</w:t>
      </w:r>
    </w:p>
    <w:p>
      <w:pPr>
        <w:spacing w:after="0" w:line="176" w:lineRule="exact"/>
        <w:rPr>
          <w:rFonts w:ascii="Arial" w:cs="Arial" w:eastAsia="Arial" w:hAnsi="Arial"/>
          <w:sz w:val="17"/>
          <w:szCs w:val="17"/>
          <w:color w:val="auto"/>
        </w:rPr>
      </w:pPr>
    </w:p>
    <w:p>
      <w:pPr>
        <w:ind w:left="1180" w:hanging="259"/>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Cameron or any of its Subsidiaries;</w:t>
      </w:r>
    </w:p>
    <w:p>
      <w:pPr>
        <w:spacing w:after="0" w:line="248" w:lineRule="exact"/>
        <w:rPr>
          <w:rFonts w:ascii="Arial" w:cs="Arial" w:eastAsia="Arial" w:hAnsi="Arial"/>
          <w:sz w:val="16"/>
          <w:szCs w:val="16"/>
          <w:color w:val="auto"/>
        </w:rPr>
      </w:pPr>
    </w:p>
    <w:p>
      <w:pPr>
        <w:ind w:right="620" w:firstLine="921"/>
        <w:spacing w:after="0" w:line="277"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Governmental Entity is asserting in writing any deficiency or claim for Taxes or any adjustment to Taxes of Cameron or any of its Subsidiaries which have not been fully paid or finally settled or adequately reserved for, in accordance with GAAP;</w:t>
      </w:r>
    </w:p>
    <w:p>
      <w:pPr>
        <w:spacing w:after="0" w:line="170" w:lineRule="exact"/>
        <w:rPr>
          <w:rFonts w:ascii="Arial" w:cs="Arial" w:eastAsia="Arial" w:hAnsi="Arial"/>
          <w:sz w:val="18"/>
          <w:szCs w:val="18"/>
          <w:color w:val="auto"/>
        </w:rPr>
      </w:pPr>
    </w:p>
    <w:p>
      <w:pPr>
        <w:ind w:firstLine="921"/>
        <w:spacing w:after="0" w:line="25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Cameron nor any of its Subsidiaries has any liability for Taxes of any Person (A) under Treasury Regulation § 1.1502-6 or any similar provision of state, local, or non-U.S. tax law, except for Taxes of the affiliated group of which Cameron or any of its Subsidiaries is or was the common parent, within the meaning of Section 1504(a)(1) of the Code or any similar provision of state, local, or non-U.S. tax law, or (B) as a transferee or successor, by contract or otherwise, except for Taxes of Cameron or any of its Subsidiaries or for which Cameron or its Subsidiaries are entitled to indemnification from third parties;</w:t>
      </w:r>
    </w:p>
    <w:p>
      <w:pPr>
        <w:spacing w:after="0" w:line="188" w:lineRule="exact"/>
        <w:rPr>
          <w:rFonts w:ascii="Arial" w:cs="Arial" w:eastAsia="Arial" w:hAnsi="Arial"/>
          <w:sz w:val="18"/>
          <w:szCs w:val="18"/>
          <w:color w:val="auto"/>
        </w:rPr>
      </w:pPr>
    </w:p>
    <w:p>
      <w:pPr>
        <w:ind w:right="520" w:firstLine="921"/>
        <w:spacing w:after="0" w:line="342" w:lineRule="auto"/>
        <w:tabs>
          <w:tab w:leader="none" w:pos="11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Cameron nor any of its Subsidiaries has granted any currently effective requests, agreements, consents or waivers to extend the statutory period of limitations applicable to the assessment of any Taxes with respect to any Returns of Cameron or any of its Subsidiaries;</w:t>
      </w:r>
    </w:p>
    <w:p>
      <w:pPr>
        <w:spacing w:after="0" w:line="123" w:lineRule="exact"/>
        <w:rPr>
          <w:rFonts w:ascii="Arial" w:cs="Arial" w:eastAsia="Arial" w:hAnsi="Arial"/>
          <w:sz w:val="16"/>
          <w:szCs w:val="16"/>
          <w:color w:val="auto"/>
        </w:rPr>
      </w:pPr>
    </w:p>
    <w:p>
      <w:pPr>
        <w:ind w:right="360" w:firstLine="921"/>
        <w:spacing w:after="0" w:line="277" w:lineRule="auto"/>
        <w:tabs>
          <w:tab w:leader="none" w:pos="11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any closing agreement described in Section 7121 of the Code or any predecessor provision thereof or any similar agreement under state, local, or non-U.S. tax law;</w:t>
      </w:r>
    </w:p>
    <w:p>
      <w:pPr>
        <w:spacing w:after="0" w:line="170"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is bound by, or has any obligation under, any tax sharing, allocation or indemnity agreement or any similar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agreement or arrangement, except for any such agreement or arrangement solely between or among any of Cameron and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 neither Cameron nor any of its Subsidiaries has participated in any “listed transaction,” within the meaning of Treasury Regulation §1.6011-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4(b)(2);</w:t>
      </w:r>
    </w:p>
    <w:p>
      <w:pPr>
        <w:spacing w:after="0" w:line="211" w:lineRule="exact"/>
        <w:rPr>
          <w:sz w:val="20"/>
          <w:szCs w:val="20"/>
          <w:color w:val="auto"/>
        </w:rPr>
      </w:pPr>
    </w:p>
    <w:p>
      <w:pPr>
        <w:ind w:right="300" w:firstLine="921"/>
        <w:spacing w:after="0" w:line="308" w:lineRule="auto"/>
        <w:tabs>
          <w:tab w:leader="none" w:pos="11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Cameron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46" w:lineRule="exact"/>
        <w:rPr>
          <w:rFonts w:ascii="Arial" w:cs="Arial" w:eastAsia="Arial" w:hAnsi="Arial"/>
          <w:sz w:val="17"/>
          <w:szCs w:val="17"/>
          <w:color w:val="auto"/>
        </w:rPr>
      </w:pPr>
    </w:p>
    <w:p>
      <w:pPr>
        <w:ind w:left="1140" w:hanging="219"/>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no liens for Taxes (other than Permitted Liens) upon any of the assets of Cameron or any of its Subsidiaries;</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claim has been made in the last five years by an authority in a jurisdiction where any of Cameron or its Subsidiaries does not file Returns that Cameron or any of its Subsidiaries is or may be subject to taxation in that jurisdiction;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Subsidiary of Cameron is or has ever been a passive foreign investment company within the meaning of Section 1297 of the Code; and</w:t>
      </w:r>
    </w:p>
    <w:p>
      <w:pPr>
        <w:spacing w:after="0" w:line="248" w:lineRule="exact"/>
        <w:rPr>
          <w:rFonts w:ascii="Arial" w:cs="Arial" w:eastAsia="Arial" w:hAnsi="Arial"/>
          <w:sz w:val="16"/>
          <w:szCs w:val="16"/>
          <w:color w:val="auto"/>
        </w:rPr>
      </w:pPr>
    </w:p>
    <w:p>
      <w:pPr>
        <w:jc w:val="both"/>
        <w:ind w:right="40" w:firstLine="921"/>
        <w:spacing w:after="0" w:line="264" w:lineRule="auto"/>
        <w:tabs>
          <w:tab w:leader="none" w:pos="12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charges, accruals and reserves for Taxes with respect to Cameron and its Subsidiaries reflected in each of the consolidated balance sheets included in or incorporated by reference into the Cameron Reports (including the related notes and schedules) are adequate under GAAP to cover unpaid Tax liabilities accruing through the date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Within 20 business days after the date hereof, Cameron will provide Schlumberger with a list of all Cameron Benefit Plans and make available to Schlumberger a true and correct copy of each Cameron Benefit Plan. The term “</w:t>
      </w:r>
      <w:r>
        <w:rPr>
          <w:rFonts w:ascii="Arial" w:cs="Arial" w:eastAsia="Arial" w:hAnsi="Arial"/>
          <w:sz w:val="16"/>
          <w:szCs w:val="16"/>
          <w:b w:val="1"/>
          <w:bCs w:val="1"/>
          <w:color w:val="auto"/>
        </w:rPr>
        <w:t>Cameron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Cameron or any of its Subsidiaries, to which Cameron or any of its Subsidiaries is a party or is required to provide benefits under Applicable Law. As of the date hereof, except as has not had and would not reasonably be expected to have, individually or in the aggregate, a Cameron Material Adverse Effect, there is no unsatisfied liability associated with any terminated Cameron Benefit Plan. With respect to each Cameron U.S. Benefit Plan (as defined below), within 20 business days after the date hereof, Cameron will make available to Schlumberger a true and correct copy of (i) the most recent annual report (Form 5500) filed with the applicable Governmental Entity (with respect to Cameron U.S. Benefit Plans for which Form 5500’s are filed), (ii) each such Cameron U.S. Benefit Plan that has been reduced to writing and all amendments thereto, (iii) each trust agreement, insurance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33" w:name="page34"/>
    <w:bookmarkEnd w:id="33"/>
    <w:p>
      <w:pPr>
        <w:ind w:right="80"/>
        <w:spacing w:after="0" w:line="273" w:lineRule="auto"/>
        <w:rPr>
          <w:sz w:val="20"/>
          <w:szCs w:val="20"/>
          <w:color w:val="auto"/>
        </w:rPr>
      </w:pPr>
      <w:r>
        <w:rPr>
          <w:rFonts w:ascii="Arial" w:cs="Arial" w:eastAsia="Arial" w:hAnsi="Arial"/>
          <w:sz w:val="17"/>
          <w:szCs w:val="17"/>
          <w:color w:val="auto"/>
        </w:rPr>
        <w:t>contract or administration agreement relating to each such Cameron U.S. Benefit Plan, (iv) the most recent summary plan description or other written explanation of each Cameron U.S. Benefit Plan provided to participants, (vi) the most recent actuarial report or valuation relating to a Cameron U.S. Benefit Plan subject to Title IV of ERISA, (vii) the most recent determination letter or opinion letter, if any, issued by the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with respect to any Cameron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year.</w:t>
      </w:r>
    </w:p>
    <w:p>
      <w:pPr>
        <w:spacing w:after="0" w:line="174" w:lineRule="exact"/>
        <w:rPr>
          <w:sz w:val="20"/>
          <w:szCs w:val="20"/>
          <w:color w:val="auto"/>
        </w:rPr>
      </w:pPr>
    </w:p>
    <w:p>
      <w:pPr>
        <w:ind w:right="160" w:firstLine="921"/>
        <w:spacing w:after="0" w:line="266" w:lineRule="auto"/>
        <w:tabs>
          <w:tab w:leader="none" w:pos="11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each Cameron Benefit Plan subject to the laws of the United States (each a “</w:t>
      </w:r>
      <w:r>
        <w:rPr>
          <w:rFonts w:ascii="Arial" w:cs="Arial" w:eastAsia="Arial" w:hAnsi="Arial"/>
          <w:sz w:val="18"/>
          <w:szCs w:val="18"/>
          <w:b w:val="1"/>
          <w:bCs w:val="1"/>
          <w:color w:val="auto"/>
        </w:rPr>
        <w:t>Cameron U.S. Benefit Plan</w:t>
      </w:r>
      <w:r>
        <w:rPr>
          <w:rFonts w:ascii="Arial" w:cs="Arial" w:eastAsia="Arial" w:hAnsi="Arial"/>
          <w:sz w:val="18"/>
          <w:szCs w:val="18"/>
          <w:color w:val="auto"/>
        </w:rPr>
        <w:t>” and collectively, the “</w:t>
      </w:r>
      <w:r>
        <w:rPr>
          <w:rFonts w:ascii="Arial" w:cs="Arial" w:eastAsia="Arial" w:hAnsi="Arial"/>
          <w:sz w:val="18"/>
          <w:szCs w:val="18"/>
          <w:b w:val="1"/>
          <w:bCs w:val="1"/>
          <w:color w:val="auto"/>
        </w:rPr>
        <w:t>Cameron U.S. Benefit Plans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72" w:lineRule="exact"/>
        <w:rPr>
          <w:rFonts w:ascii="Arial" w:cs="Arial" w:eastAsia="Arial" w:hAnsi="Arial"/>
          <w:sz w:val="18"/>
          <w:szCs w:val="18"/>
          <w:color w:val="auto"/>
        </w:rPr>
      </w:pPr>
    </w:p>
    <w:p>
      <w:pPr>
        <w:ind w:left="1560" w:hanging="219"/>
        <w:spacing w:after="0"/>
        <w:tabs>
          <w:tab w:leader="none" w:pos="15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117" w:lineRule="exact"/>
        <w:rPr>
          <w:rFonts w:ascii="Arial" w:cs="Arial" w:eastAsia="Arial" w:hAnsi="Arial"/>
          <w:sz w:val="18"/>
          <w:szCs w:val="18"/>
          <w:color w:val="auto"/>
        </w:rPr>
      </w:pPr>
    </w:p>
    <w:p>
      <w:pPr>
        <w:ind w:left="920" w:right="80" w:firstLine="421"/>
        <w:spacing w:after="0" w:line="277" w:lineRule="auto"/>
        <w:tabs>
          <w:tab w:leader="none" w:pos="16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the extent applicable, such Cameron U.S. Benefit Plan complies and has complied with the requirements of ERISA, the Code, other Applicable Law and with the operative documents for each such plan;</w:t>
      </w:r>
    </w:p>
    <w:p>
      <w:pPr>
        <w:spacing w:after="0" w:line="62"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Cameron U.S. Benefit Plan intended to be qualified under Section 401(a) of the Code has received a favorable determination letter or opinion letter, as applicable, from the IRS;</w:t>
      </w:r>
    </w:p>
    <w:p>
      <w:pPr>
        <w:spacing w:after="0" w:line="62" w:lineRule="exact"/>
        <w:rPr>
          <w:rFonts w:ascii="Arial" w:cs="Arial" w:eastAsia="Arial" w:hAnsi="Arial"/>
          <w:sz w:val="18"/>
          <w:szCs w:val="18"/>
          <w:color w:val="auto"/>
        </w:rPr>
      </w:pPr>
    </w:p>
    <w:p>
      <w:pPr>
        <w:ind w:left="920" w:right="20" w:firstLine="421"/>
        <w:spacing w:after="0" w:line="277" w:lineRule="auto"/>
        <w:tabs>
          <w:tab w:leader="none" w:pos="16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Cameron U.S. Benefit Plans have been maintained and operated in accordance with their terms, and, to the knowledge of Cameron, there have been no breaches of fiduciary duty in connection with Cameron Benefit Plans;</w:t>
      </w:r>
    </w:p>
    <w:p>
      <w:pPr>
        <w:spacing w:after="0" w:line="62" w:lineRule="exact"/>
        <w:rPr>
          <w:rFonts w:ascii="Arial" w:cs="Arial" w:eastAsia="Arial" w:hAnsi="Arial"/>
          <w:sz w:val="18"/>
          <w:szCs w:val="18"/>
          <w:color w:val="auto"/>
        </w:rPr>
      </w:pPr>
    </w:p>
    <w:p>
      <w:pPr>
        <w:ind w:left="920" w:right="180" w:firstLine="421"/>
        <w:spacing w:after="0" w:line="264" w:lineRule="auto"/>
        <w:tabs>
          <w:tab w:leader="none" w:pos="1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are no pending or, to the knowledge of Cameron, threatened claims against or otherwise involving any Cameron U.S. Benefit Plan, and no suit, action or other litigation (excluding claims for benefits incurred in the ordinary course of Cameron Benefit Plan activities) is pending against or with respect to any such Cameron Benefit Plan;</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Cameron U.S. Benefit Plan;</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material contributions required to be made as of the date hereof to Cameron U.S. Benefit Plans have been made or provided for;</w:t>
      </w:r>
    </w:p>
    <w:p>
      <w:pPr>
        <w:spacing w:after="0" w:line="140" w:lineRule="exact"/>
        <w:rPr>
          <w:rFonts w:ascii="Arial" w:cs="Arial" w:eastAsia="Arial" w:hAnsi="Arial"/>
          <w:sz w:val="16"/>
          <w:szCs w:val="16"/>
          <w:color w:val="auto"/>
        </w:rPr>
      </w:pPr>
    </w:p>
    <w:p>
      <w:pPr>
        <w:jc w:val="both"/>
        <w:ind w:left="920" w:right="80" w:firstLine="421"/>
        <w:spacing w:after="0" w:line="264" w:lineRule="auto"/>
        <w:tabs>
          <w:tab w:leader="none" w:pos="17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Cameron has not engaged in a transaction with respect to any Cameron U.S. Benefit Plan for which it would reasonably be expected to be subject (either directly or indirectly) to a liability for either a civil penalty assessed pursuant to Section 502(i) of ERISA or a Tax imposed by Section 4975 of the Code;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34" w:name="page35"/>
    <w:bookmarkEnd w:id="34"/>
    <w:p>
      <w:pPr>
        <w:jc w:val="both"/>
        <w:ind w:left="-280" w:right="240" w:firstLine="421"/>
        <w:spacing w:after="0" w:line="279" w:lineRule="auto"/>
        <w:tabs>
          <w:tab w:leader="none" w:pos="4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since January 1, 2005, each nonqualified deferred compensation plan or arrangement has been maintained in good faith operational compliance with Section 409A of the Code and, as of December 31, 2014,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63" w:lineRule="exact"/>
        <w:rPr>
          <w:rFonts w:ascii="Arial" w:cs="Arial" w:eastAsia="Arial" w:hAnsi="Arial"/>
          <w:sz w:val="17"/>
          <w:szCs w:val="17"/>
          <w:color w:val="auto"/>
        </w:rPr>
      </w:pPr>
    </w:p>
    <w:p>
      <w:pPr>
        <w:ind w:left="-280" w:firstLine="421"/>
        <w:spacing w:after="0" w:line="269" w:lineRule="auto"/>
        <w:tabs>
          <w:tab w:leader="none" w:pos="3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with respect to Cameron U.S. Benefit Plans or any “employee pension benefit plans,” as defined in Section 3(2) of ERISA, that are subject to Title IV of ERISA and have been maintained or contributed to within six years prior to the date hereof by Cameron, any of its Subsidiaries or any trade or business (whether or not incorporated) which is under common control, or which is treated as a single employer, with Cameron or any of its Subsidiaries under Section 414(b), (c), (m) or (o) of the Code (a “</w:t>
      </w:r>
      <w:r>
        <w:rPr>
          <w:rFonts w:ascii="Arial" w:cs="Arial" w:eastAsia="Arial" w:hAnsi="Arial"/>
          <w:sz w:val="17"/>
          <w:szCs w:val="17"/>
          <w:b w:val="1"/>
          <w:bCs w:val="1"/>
          <w:color w:val="auto"/>
        </w:rPr>
        <w:t>Cameron ERISA affiliate</w:t>
      </w:r>
      <w:r>
        <w:rPr>
          <w:rFonts w:ascii="Arial" w:cs="Arial" w:eastAsia="Arial" w:hAnsi="Arial"/>
          <w:sz w:val="17"/>
          <w:szCs w:val="17"/>
          <w:color w:val="auto"/>
        </w:rPr>
        <w:t>”), neither Cameron nor any Cameron ERISA affiliate has incurred any direct or indirect liability under Title IV of ERISA in connection with any termination thereof or withdrawal therefrom which remains unsatisfied, (B) with respect to Cameron U.S. Benefits Plans, none has failed to meet the minimum funding standards within the meaning of Section 412 of the Code or Section 302 of ERISA, whether or not waived, (C) with respect to Cameron U.S. Benefit Plans, since January 1, 2013, there has been no “reportable event,” as that term is defined in Section 4043 of ERISA for which the 30-day reporting requirement has not been waived, and (D) with respect to Cameron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74" w:lineRule="exact"/>
        <w:rPr>
          <w:rFonts w:ascii="Arial" w:cs="Arial" w:eastAsia="Arial" w:hAnsi="Arial"/>
          <w:sz w:val="17"/>
          <w:szCs w:val="17"/>
          <w:color w:val="auto"/>
        </w:rPr>
      </w:pPr>
    </w:p>
    <w:p>
      <w:pPr>
        <w:ind w:left="-280" w:right="220" w:firstLine="421"/>
        <w:spacing w:after="0" w:line="264" w:lineRule="auto"/>
        <w:tabs>
          <w:tab w:leader="none" w:pos="4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Cameron or any Subsidiary of Cameron, whether as an employee, independent contractor or “leased employee” (as defined in Section 414(n) of the Code) are, and have been, properly classified for purposes of withholding Taxes and eligibility to participate in, and coverage under, any Cameron U.S. Benefit Plan;</w:t>
      </w:r>
    </w:p>
    <w:p>
      <w:pPr>
        <w:spacing w:after="0" w:line="73" w:lineRule="exact"/>
        <w:rPr>
          <w:rFonts w:ascii="Arial" w:cs="Arial" w:eastAsia="Arial" w:hAnsi="Arial"/>
          <w:sz w:val="18"/>
          <w:szCs w:val="18"/>
          <w:color w:val="auto"/>
        </w:rPr>
      </w:pPr>
    </w:p>
    <w:p>
      <w:pPr>
        <w:ind w:left="-280" w:right="60" w:firstLine="421"/>
        <w:spacing w:after="0" w:line="273" w:lineRule="auto"/>
        <w:tabs>
          <w:tab w:leader="none" w:pos="4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respect to each Cameron U.S. Benefit Plan which is a group health plan, Cameron and each of the Cameron ERISA affiliates have complied in all material respects with (i) the applicable health care continuation and notice provisions of the Consolidated Omnibus Budget Reconciliation Act of 1985, as amended (“</w:t>
      </w:r>
      <w:r>
        <w:rPr>
          <w:rFonts w:ascii="Arial" w:cs="Arial" w:eastAsia="Arial" w:hAnsi="Arial"/>
          <w:sz w:val="17"/>
          <w:szCs w:val="17"/>
          <w:b w:val="1"/>
          <w:bCs w:val="1"/>
          <w:color w:val="auto"/>
        </w:rPr>
        <w:t>COBRA</w:t>
      </w:r>
      <w:r>
        <w:rPr>
          <w:rFonts w:ascii="Arial" w:cs="Arial" w:eastAsia="Arial" w:hAnsi="Arial"/>
          <w:sz w:val="17"/>
          <w:szCs w:val="17"/>
          <w:color w:val="auto"/>
        </w:rPr>
        <w:t>”), and the applicable COBRA regulations, (ii) the applicable requirements of the Health Insurance Portability and Accountability Act of 1996 and the regulations thereunder, and (iii) and the Patient Protection and Affordable Care Act of 2010, as amended (“</w:t>
      </w:r>
      <w:r>
        <w:rPr>
          <w:rFonts w:ascii="Arial" w:cs="Arial" w:eastAsia="Arial" w:hAnsi="Arial"/>
          <w:sz w:val="17"/>
          <w:szCs w:val="17"/>
          <w:b w:val="1"/>
          <w:bCs w:val="1"/>
          <w:color w:val="auto"/>
        </w:rPr>
        <w:t>PPACA</w:t>
      </w:r>
      <w:r>
        <w:rPr>
          <w:rFonts w:ascii="Arial" w:cs="Arial" w:eastAsia="Arial" w:hAnsi="Arial"/>
          <w:sz w:val="17"/>
          <w:szCs w:val="17"/>
          <w:color w:val="auto"/>
        </w:rPr>
        <w:t>”) and the regulations thereunder, and neither Cameron nor any Cameron ERISA affiliate has incurred any liability under Section 4980 of the Code or the excise tax or penalty provisions of PPACA;</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125" w:right="239" w:bottom="1440" w:gutter="0" w:footer="0" w:header="0"/>
        </w:sectPr>
      </w:pPr>
    </w:p>
    <w:bookmarkStart w:id="35" w:name="page36"/>
    <w:bookmarkEnd w:id="35"/>
    <w:p>
      <w:pPr>
        <w:ind w:left="912" w:right="80" w:firstLine="421"/>
        <w:spacing w:after="0" w:line="259" w:lineRule="auto"/>
        <w:tabs>
          <w:tab w:leader="none" w:pos="1737" w:val="left"/>
        </w:tabs>
        <w:numPr>
          <w:ilvl w:val="2"/>
          <w:numId w:val="31"/>
        </w:numPr>
        <w:rPr>
          <w:rFonts w:ascii="Arial" w:cs="Arial" w:eastAsia="Arial" w:hAnsi="Arial"/>
          <w:sz w:val="18"/>
          <w:szCs w:val="18"/>
          <w:color w:val="auto"/>
        </w:rPr>
      </w:pPr>
      <w:r>
        <w:rPr>
          <w:rFonts w:ascii="Arial" w:cs="Arial" w:eastAsia="Arial" w:hAnsi="Arial"/>
          <w:sz w:val="18"/>
          <w:szCs w:val="18"/>
          <w:color w:val="auto"/>
        </w:rPr>
        <w:t>Cameron, its Subsidiaries and any Cameron ERISA affiliate, since December 31, 2014, (i) have calculated the hours of service for employees of Cameron and any of its Subsidiaries in accordance with Section 4980H of the Code and the regulations thereunder and maintained appropriate documentation thereof and (ii) have or have made arrangements to properly document and report health insurance coverage information in compliance with Sections 6055 and 6056 of the Code; and</w:t>
      </w:r>
    </w:p>
    <w:p>
      <w:pPr>
        <w:spacing w:after="0" w:line="78" w:lineRule="exact"/>
        <w:rPr>
          <w:rFonts w:ascii="Arial" w:cs="Arial" w:eastAsia="Arial" w:hAnsi="Arial"/>
          <w:sz w:val="18"/>
          <w:szCs w:val="18"/>
          <w:color w:val="auto"/>
        </w:rPr>
      </w:pPr>
    </w:p>
    <w:p>
      <w:pPr>
        <w:ind w:left="912" w:right="40" w:firstLine="421"/>
        <w:spacing w:after="0" w:line="259" w:lineRule="auto"/>
        <w:tabs>
          <w:tab w:leader="none" w:pos="1727" w:val="left"/>
        </w:tabs>
        <w:numPr>
          <w:ilvl w:val="2"/>
          <w:numId w:val="31"/>
        </w:numPr>
        <w:rPr>
          <w:rFonts w:ascii="Arial" w:cs="Arial" w:eastAsia="Arial" w:hAnsi="Arial"/>
          <w:sz w:val="18"/>
          <w:szCs w:val="18"/>
          <w:color w:val="auto"/>
        </w:rPr>
      </w:pPr>
      <w:r>
        <w:rPr>
          <w:rFonts w:ascii="Arial" w:cs="Arial" w:eastAsia="Arial" w:hAnsi="Arial"/>
          <w:sz w:val="18"/>
          <w:szCs w:val="18"/>
          <w:color w:val="auto"/>
        </w:rPr>
        <w:t>neither Cameron nor any of its Subsidiaries nor any Cameron ERISA affiliate contributes to, or has an obligation to contribute to, and has not within six years prior to the Effective Time contributed to, or had an obligation to contribute to, a “multiemployer plan” within the meaning of Section 3(37) of ERISA, a “multiple employer welfare association” within the meaning of Section 3(40) of ERISA or a “voluntary employees’ beneficiary association” within the meaning of Section 501(c)(9) of the Code.</w:t>
      </w:r>
    </w:p>
    <w:p>
      <w:pPr>
        <w:spacing w:after="0" w:line="186" w:lineRule="exact"/>
        <w:rPr>
          <w:rFonts w:ascii="Arial" w:cs="Arial" w:eastAsia="Arial" w:hAnsi="Arial"/>
          <w:sz w:val="18"/>
          <w:szCs w:val="18"/>
          <w:color w:val="auto"/>
        </w:rPr>
      </w:pPr>
    </w:p>
    <w:p>
      <w:pPr>
        <w:ind w:left="-8" w:firstLine="921"/>
        <w:spacing w:after="0" w:line="255" w:lineRule="auto"/>
        <w:tabs>
          <w:tab w:leader="none" w:pos="11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Except as provided in Section 5.12(c) of the Cameron Disclosure Letter, no Cameron U.S. Benefit Plan provides medical, surgical, hospitalization, death or similar benefits (whether or not insured) for employees or former employees of Cameron or any Subsidiary of Cameron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Cameron Material Adverse Effect, each Cameron U.S. Benefit Plan which provides post-employment medical, surgical, hospitalization, death or similar benefits may be unilaterally amended or terminated by Cameron without material liability, except as to claims incurred prior to amendment or termination.</w:t>
      </w:r>
    </w:p>
    <w:p>
      <w:pPr>
        <w:spacing w:after="0" w:line="189" w:lineRule="exact"/>
        <w:rPr>
          <w:rFonts w:ascii="Arial" w:cs="Arial" w:eastAsia="Arial" w:hAnsi="Arial"/>
          <w:sz w:val="18"/>
          <w:szCs w:val="18"/>
          <w:color w:val="auto"/>
        </w:rPr>
      </w:pPr>
    </w:p>
    <w:p>
      <w:pPr>
        <w:jc w:val="both"/>
        <w:ind w:left="-8" w:firstLine="921"/>
        <w:spacing w:after="0" w:line="288" w:lineRule="auto"/>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Except as provided in Section 5.12(d) of the Cameron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Cameron or any of its Subsidiaries,</w:t>
      </w:r>
    </w:p>
    <w:p>
      <w:pPr>
        <w:ind w:left="-8" w:right="180" w:firstLine="8"/>
        <w:spacing w:after="0" w:line="302" w:lineRule="auto"/>
        <w:tabs>
          <w:tab w:leader="none" w:pos="2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 any benefits otherwise payable under any Cameron Benefit Plans, (iii) result in the acceleration of the time of payment or vesting of any such benefits or (iv) result in the incurrence or acceleration of any other obligation related to the Cameron Benefit Plans or to any employee, former employee or group of employees or former employees, including the payment of any “excess parachute payments” within the meaning of Section 280G of the Code.</w:t>
      </w:r>
    </w:p>
    <w:p>
      <w:pPr>
        <w:spacing w:after="0" w:line="155" w:lineRule="exact"/>
        <w:rPr>
          <w:rFonts w:ascii="Arial" w:cs="Arial" w:eastAsia="Arial" w:hAnsi="Arial"/>
          <w:sz w:val="16"/>
          <w:szCs w:val="16"/>
          <w:color w:val="auto"/>
        </w:rPr>
      </w:pPr>
    </w:p>
    <w:p>
      <w:pPr>
        <w:ind w:left="-8" w:right="300" w:firstLine="921"/>
        <w:spacing w:after="0" w:line="277" w:lineRule="auto"/>
        <w:tabs>
          <w:tab w:leader="none" w:pos="11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Section 5.12(e) of the Cameron Disclosure Letter contains a list of all funded Cameron Benefit Plans with assets containing stock or other securities issued by Cameron or any of its Subsidiaries.</w:t>
      </w:r>
    </w:p>
    <w:p>
      <w:pPr>
        <w:spacing w:after="0" w:line="166" w:lineRule="exact"/>
        <w:rPr>
          <w:rFonts w:ascii="Arial" w:cs="Arial" w:eastAsia="Arial" w:hAnsi="Arial"/>
          <w:sz w:val="18"/>
          <w:szCs w:val="18"/>
          <w:color w:val="auto"/>
        </w:rPr>
      </w:pPr>
    </w:p>
    <w:p>
      <w:pPr>
        <w:ind w:left="-8" w:right="20" w:firstLine="921"/>
        <w:spacing w:after="0" w:line="266" w:lineRule="auto"/>
        <w:tabs>
          <w:tab w:leader="none" w:pos="11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With respect to each Cameron Benefit Plan that is not a Cameron U.S. Benefit Plan (each a “</w:t>
      </w:r>
      <w:r>
        <w:rPr>
          <w:rFonts w:ascii="Arial" w:cs="Arial" w:eastAsia="Arial" w:hAnsi="Arial"/>
          <w:sz w:val="18"/>
          <w:szCs w:val="18"/>
          <w:b w:val="1"/>
          <w:bCs w:val="1"/>
          <w:color w:val="auto"/>
        </w:rPr>
        <w:t>Cameron Foreign Benefit Plan</w:t>
      </w:r>
      <w:r>
        <w:rPr>
          <w:rFonts w:ascii="Arial" w:cs="Arial" w:eastAsia="Arial" w:hAnsi="Arial"/>
          <w:sz w:val="18"/>
          <w:szCs w:val="18"/>
          <w:color w:val="auto"/>
        </w:rPr>
        <w:t>” and collectively, the “</w:t>
      </w:r>
      <w:r>
        <w:rPr>
          <w:rFonts w:ascii="Arial" w:cs="Arial" w:eastAsia="Arial" w:hAnsi="Arial"/>
          <w:sz w:val="18"/>
          <w:szCs w:val="18"/>
          <w:b w:val="1"/>
          <w:bCs w:val="1"/>
          <w:color w:val="auto"/>
        </w:rPr>
        <w:t>Cameron Foreign Benefit Plans</w:t>
      </w:r>
      <w:r>
        <w:rPr>
          <w:rFonts w:ascii="Arial" w:cs="Arial" w:eastAsia="Arial" w:hAnsi="Arial"/>
          <w:sz w:val="18"/>
          <w:szCs w:val="18"/>
          <w:color w:val="auto"/>
        </w:rPr>
        <w:t>”), except as would not have, individually or in the aggregate, a Cameron Material Adverse Effect, (i) each such Cameron Foreign Benefit Plan is in material compliance with all</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125" w:right="259" w:bottom="1440" w:gutter="0" w:footer="0" w:header="0"/>
        </w:sectPr>
      </w:pPr>
    </w:p>
    <w:bookmarkStart w:id="36" w:name="page37"/>
    <w:bookmarkEnd w:id="36"/>
    <w:p>
      <w:pPr>
        <w:ind w:right="200"/>
        <w:spacing w:after="0" w:line="264" w:lineRule="auto"/>
        <w:rPr>
          <w:sz w:val="20"/>
          <w:szCs w:val="20"/>
          <w:color w:val="auto"/>
        </w:rPr>
      </w:pPr>
      <w:r>
        <w:rPr>
          <w:rFonts w:ascii="Arial" w:cs="Arial" w:eastAsia="Arial" w:hAnsi="Arial"/>
          <w:sz w:val="18"/>
          <w:szCs w:val="18"/>
          <w:color w:val="auto"/>
        </w:rPr>
        <w:t>Applicable Laws and has been operated in accordance with its terms, (ii) all contributions required to have been made under such Cameron Foreign Benefit Plans have been timely made and all liabilities thereunder have been properly accrued on the most recent financial statements of Cameron and its Subsidiaries, and (iii) each Cameron Foreign Benefit Plan is either fully funded or a fully insured plan.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21"/>
        <w:spacing w:after="0" w:line="312" w:lineRule="auto"/>
        <w:tabs>
          <w:tab w:leader="none" w:pos="11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knowledge of Cameron, there are no organizational efforts with respect to the formation of a collective bargaining unit presently being made or threatened. Within 20 business days after the date hereof, Cameron will provide Schlumberger US and Schlumberger with a true and correct copy of any material collective bargaining agreements or similar contract, agreement or understanding with a labor union or similar labor organization.</w:t>
      </w:r>
    </w:p>
    <w:p>
      <w:pPr>
        <w:spacing w:after="0" w:line="146" w:lineRule="exact"/>
        <w:rPr>
          <w:rFonts w:ascii="Arial" w:cs="Arial" w:eastAsia="Arial" w:hAnsi="Arial"/>
          <w:sz w:val="16"/>
          <w:szCs w:val="16"/>
          <w:color w:val="auto"/>
        </w:rPr>
      </w:pPr>
    </w:p>
    <w:p>
      <w:pPr>
        <w:ind w:right="100" w:firstLine="921"/>
        <w:spacing w:after="0" w:line="272" w:lineRule="auto"/>
        <w:tabs>
          <w:tab w:leader="none" w:pos="11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reasonably be expected to have a Cameron Material Adverse Effect, (i) Cameron and its Subsidiaries have complied with all Applicable Laws respecting the employment of labor; (ii) neither Cameron nor any Subsidiary of Cameron has received any written complaint of any unfair labor practice or other unlawful employment practice or any written notice of any violation of any Applicable Law with respect to the employment of individuals by, or the employment practices of, Cameron or any Subsidiary of Cameron or the work conditions or the terms and conditions of employment and wages and hours of their respective businesses and (iii) there are no unfair labor practice charges or other employee related complaints against Cameron or any Subsidiary of Cameron pending or, to the knowledge of Cameron, threatened, before any Governmental Entity by or concerning the employees working in their respective businesses.</w:t>
      </w:r>
    </w:p>
    <w:p>
      <w:pPr>
        <w:spacing w:after="0" w:line="17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Properties</w:t>
      </w:r>
      <w:r>
        <w:rPr>
          <w:rFonts w:ascii="Arial" w:cs="Arial" w:eastAsia="Arial" w:hAnsi="Arial"/>
          <w:sz w:val="18"/>
          <w:szCs w:val="18"/>
          <w:color w:val="auto"/>
        </w:rPr>
        <w:t>. Except as has not had and as would not reasonably be expected to have a Cameron Material Adverse Effect, (a) each of Cameron and its Subsidiaries has good and marketable title to, or valid leasehold interests in, all properties and assets purported to be owned or leased by it, respectively, in the Cameron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Cameron and its Subsidiaries has complied with the terms of all leases, subleases, easements, licenses and other occupancy agreements to which it is a party and under which it is in occupancy, and all such agreements are in full force and effect; and (d) each of Cameron and its Subsidiaries enjoys peaceful and undisturbed possession under all such agreements.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Environmental Matters</w:t>
      </w:r>
      <w:r>
        <w:rPr>
          <w:rFonts w:ascii="Arial" w:cs="Arial" w:eastAsia="Arial" w:hAnsi="Arial"/>
          <w:sz w:val="16"/>
          <w:szCs w:val="16"/>
          <w:color w:val="auto"/>
        </w:rPr>
        <w:t>. Except as have not had and would not reasonably be expected to have, individually or in the aggregate,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Cameron Material Adverse Effect:</w:t>
      </w:r>
    </w:p>
    <w:p>
      <w:pPr>
        <w:spacing w:after="0" w:line="211" w:lineRule="exact"/>
        <w:rPr>
          <w:sz w:val="20"/>
          <w:szCs w:val="20"/>
          <w:color w:val="auto"/>
        </w:rPr>
      </w:pPr>
    </w:p>
    <w:p>
      <w:pPr>
        <w:ind w:right="40" w:firstLine="921"/>
        <w:spacing w:after="0" w:line="264" w:lineRule="auto"/>
        <w:tabs>
          <w:tab w:leader="none" w:pos="11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Cameron and each of its Subsidiaries has been and is in compliance with all orders of any court, Governmental Entity or arbitration board or tribunal applicable to it and any Applicable Law (including common law) related to (i) pollutants, contaminants, hazardous, toxic or radioactive substances or wastes (including petroleum, asbestos and silica) (“</w:t>
      </w:r>
      <w:r>
        <w:rPr>
          <w:rFonts w:ascii="Arial" w:cs="Arial" w:eastAsia="Arial" w:hAnsi="Arial"/>
          <w:sz w:val="18"/>
          <w:szCs w:val="18"/>
          <w:b w:val="1"/>
          <w:bCs w:val="1"/>
          <w:color w:val="auto"/>
        </w:rPr>
        <w:t>Hazardous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37" w:name="page38"/>
    <w:bookmarkEnd w:id="37"/>
    <w:p>
      <w:pPr>
        <w:ind w:right="280"/>
        <w:spacing w:after="0" w:line="282" w:lineRule="auto"/>
        <w:rPr>
          <w:sz w:val="20"/>
          <w:szCs w:val="20"/>
          <w:color w:val="auto"/>
        </w:rPr>
      </w:pPr>
      <w:r>
        <w:rPr>
          <w:rFonts w:ascii="Arial" w:cs="Arial" w:eastAsia="Arial" w:hAnsi="Arial"/>
          <w:sz w:val="18"/>
          <w:szCs w:val="18"/>
          <w:b w:val="1"/>
          <w:bCs w:val="1"/>
          <w:color w:val="auto"/>
        </w:rPr>
        <w:t>Materials</w:t>
      </w:r>
      <w:r>
        <w:rPr>
          <w:rFonts w:ascii="Arial" w:cs="Arial" w:eastAsia="Arial" w:hAnsi="Arial"/>
          <w:sz w:val="18"/>
          <w:szCs w:val="18"/>
          <w:color w:val="auto"/>
        </w:rPr>
        <w:t>”), or (ii) human health, worker safety, process safety, mine safety, product safety and stewardship, exploration, production and mining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reclamation obligations), natural resources,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66" w:lineRule="exact"/>
        <w:rPr>
          <w:sz w:val="20"/>
          <w:szCs w:val="20"/>
          <w:color w:val="auto"/>
        </w:rPr>
      </w:pPr>
    </w:p>
    <w:p>
      <w:pPr>
        <w:ind w:firstLine="921"/>
        <w:spacing w:after="0" w:line="297" w:lineRule="auto"/>
        <w:tabs>
          <w:tab w:leader="none" w:pos="1168"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Cameron and each Subsidiary of Cameron hold all permits, licenses, certifications, variations, exemptions, orders, franchises and approvals of all Governmental Entities required under Environmental Laws for the conduct of their respective businesses (the “</w:t>
      </w:r>
      <w:r>
        <w:rPr>
          <w:rFonts w:ascii="Arial" w:cs="Arial" w:eastAsia="Arial" w:hAnsi="Arial"/>
          <w:sz w:val="16"/>
          <w:szCs w:val="16"/>
          <w:b w:val="1"/>
          <w:bCs w:val="1"/>
          <w:color w:val="auto"/>
        </w:rPr>
        <w:t>Cameron Environmental Permits</w:t>
      </w:r>
      <w:r>
        <w:rPr>
          <w:rFonts w:ascii="Arial" w:cs="Arial" w:eastAsia="Arial" w:hAnsi="Arial"/>
          <w:sz w:val="16"/>
          <w:szCs w:val="16"/>
          <w:color w:val="auto"/>
        </w:rPr>
        <w:t>”). All Cameron Environmental Permits are in full force and effect and there exists no default thereunder or breach thereof, and Cameron has no notice or knowledge that such Cameron Environmental Permits will not be renewed in the ordinary course after the Effective Time. No Governmental Entity has given, or to the knowledge of Cameron, threatened to give, any action to terminate, cancel or reform any Cameron Environmental Permit.</w:t>
      </w:r>
    </w:p>
    <w:p>
      <w:pPr>
        <w:spacing w:after="0" w:line="158" w:lineRule="exact"/>
        <w:rPr>
          <w:rFonts w:ascii="Arial" w:cs="Arial" w:eastAsia="Arial" w:hAnsi="Arial"/>
          <w:sz w:val="16"/>
          <w:szCs w:val="16"/>
          <w:color w:val="auto"/>
        </w:rPr>
      </w:pPr>
    </w:p>
    <w:p>
      <w:pPr>
        <w:ind w:right="140" w:firstLine="921"/>
        <w:spacing w:after="0" w:line="264"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Cameron, threatened in writing against Cameron or its Subsidiaries that allege the violation of or seek to impose liability pursuant to any Environmental Law.</w:t>
      </w:r>
    </w:p>
    <w:p>
      <w:pPr>
        <w:spacing w:after="0" w:line="181" w:lineRule="exact"/>
        <w:rPr>
          <w:rFonts w:ascii="Arial" w:cs="Arial" w:eastAsia="Arial" w:hAnsi="Arial"/>
          <w:sz w:val="18"/>
          <w:szCs w:val="18"/>
          <w:color w:val="auto"/>
        </w:rPr>
      </w:pPr>
    </w:p>
    <w:p>
      <w:pPr>
        <w:ind w:right="180" w:firstLine="921"/>
        <w:spacing w:after="0" w:line="259"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Cameron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86"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Hazardous Materials at, in, under or migrating to or from properties owned or leased by Cameron or each Subsidiary that require removal or remediation under Environmental Laws.</w:t>
      </w:r>
    </w:p>
    <w:p>
      <w:pPr>
        <w:spacing w:after="0" w:line="170" w:lineRule="exact"/>
        <w:rPr>
          <w:rFonts w:ascii="Arial" w:cs="Arial" w:eastAsia="Arial" w:hAnsi="Arial"/>
          <w:sz w:val="18"/>
          <w:szCs w:val="18"/>
          <w:color w:val="auto"/>
        </w:rPr>
      </w:pPr>
    </w:p>
    <w:p>
      <w:pPr>
        <w:ind w:right="540" w:firstLine="921"/>
        <w:spacing w:after="0" w:line="277" w:lineRule="auto"/>
        <w:tabs>
          <w:tab w:leader="none" w:pos="11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Cameron nor its Subsidiaries has been named as a defendant in any litigation, or has received written notice of noncompliance, violation, liability or potential liability from any Governmental Entity, based on exposure to Hazardous Materials.</w:t>
      </w:r>
    </w:p>
    <w:p>
      <w:pPr>
        <w:spacing w:after="0" w:line="17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Intellectual Property</w:t>
      </w:r>
      <w:r>
        <w:rPr>
          <w:rFonts w:ascii="Arial" w:cs="Arial" w:eastAsia="Arial" w:hAnsi="Arial"/>
          <w:sz w:val="17"/>
          <w:szCs w:val="17"/>
          <w:color w:val="auto"/>
        </w:rPr>
        <w:t>. Except as has not had and as would not reasonably be expected to have a Cameron Material Adverse Effect, Cameron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necessary for the conduct of their respective businesses as currently being conducted. There are no assertions or claims challenging the validity of any Intellectual Property Rights that are reasonably expected to have, individually or in the aggregate, a Cameron Material Adverse Effect. No claims are pending or, to the knowledge of Cameron, threatened that Cameron and its Subsidiaries are infringing or otherwise adversely affecting the rights of any person with regard to any Intellectual Property Rights, except for any such claims that, individually or in the aggregate, have not had and would not reasonably be expected to have a Cameron Material Adverse Effect. The conduct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Cameron’s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Cameron Material Adverse Effect. There is no infringement of any proprietary right owned by or licensed by or to Cameron or any of its Subsidiaries that is reasonably expected to have, individually or in the aggregate, a Cameron Material Adverse Effect.</w:t>
      </w:r>
    </w:p>
    <w:p>
      <w:pPr>
        <w:spacing w:after="0" w:line="187"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Cameron Material Adverse Effect, (a) no order, writ, fine, injunction, decree, judgment, award or determination of any court or Governmental Entity or any arbitral or other dispute resolution body has been issued or entered against Cameron or any of its Subsidiaries that continues to be in effect that affects the ownership or operation of any of their respective assets or that involves an amount greater than $10 million and (b) since December 31, 2012, no criminal order, writ, fine, injunction, decree, judgment or determination of any Governmental Entity has been issued against Cameron or any of its Subsidiaries.</w:t>
      </w:r>
    </w:p>
    <w:p>
      <w:pPr>
        <w:spacing w:after="0" w:line="158"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Insurance</w:t>
      </w:r>
      <w:r>
        <w:rPr>
          <w:rFonts w:ascii="Arial" w:cs="Arial" w:eastAsia="Arial" w:hAnsi="Arial"/>
          <w:sz w:val="17"/>
          <w:szCs w:val="17"/>
          <w:color w:val="auto"/>
        </w:rPr>
        <w:t>. Except as have not had and would not reasonably be expected to have, individually or in the aggregate, a Cameron Material Adverse Effect, Cameron and its Subsidiaries maintain insurance policies, including with respect to fire, liability, workers’ compensation, and title insurance, containing coverages in such amounts and against such losses as are customary in the industries in which Cameron and its Subsidiaries operate on the date hereof. Except as have not had and would not reasonably be expected to have, individually or in the aggregate, a Cameron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No Brokers</w:t>
      </w:r>
      <w:r>
        <w:rPr>
          <w:rFonts w:ascii="Arial" w:cs="Arial" w:eastAsia="Arial" w:hAnsi="Arial"/>
          <w:sz w:val="18"/>
          <w:szCs w:val="18"/>
          <w:color w:val="auto"/>
        </w:rPr>
        <w:t>. Cameron has not entered into any contract, arrangement or understanding with any person or firm which may result in the obligation of Cameron, Schlumberger or their respective affiliates to pay any finder’s fees, brokerage or other like payments in connection with the negotiations leading to this Agreement or the consummation of the Merger and the other transactions contemplated by this Agreement, except that Cameron has retained Credit Suisse Securities (USA) LLC as its financial advisor, the arrangements with which have been disclosed to Schlumberger prior to the date hereof.</w:t>
      </w:r>
    </w:p>
    <w:p>
      <w:pPr>
        <w:spacing w:after="0" w:line="18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Cameron nor any of its Subsidiaries owns any shares of capital stock of Schlumberger or any other securities convertible into or otherwise exercisable for shares of capital stock of Schlumberger.</w:t>
      </w:r>
    </w:p>
    <w:p>
      <w:pPr>
        <w:spacing w:after="0" w:line="170"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 xml:space="preserve">Section 5.21 </w:t>
      </w:r>
      <w:r>
        <w:rPr>
          <w:rFonts w:ascii="Arial" w:cs="Arial" w:eastAsia="Arial" w:hAnsi="Arial"/>
          <w:sz w:val="16"/>
          <w:szCs w:val="16"/>
          <w:i w:val="1"/>
          <w:iCs w:val="1"/>
          <w:color w:val="auto"/>
        </w:rPr>
        <w:t>Vote Required</w:t>
      </w:r>
      <w:r>
        <w:rPr>
          <w:rFonts w:ascii="Arial" w:cs="Arial" w:eastAsia="Arial" w:hAnsi="Arial"/>
          <w:sz w:val="16"/>
          <w:szCs w:val="16"/>
          <w:color w:val="auto"/>
        </w:rPr>
        <w:t>. The only vote of the holders of any class or series of Cameron capital stock necessary to adopt and approve this Agreement and the transactions contemplated by this Agreement (including the Merger) is the affirmative vote of the holders of at least a majority of the outstanding shares of Cameron Common Stock (such approval being referred to as the “</w:t>
      </w:r>
      <w:r>
        <w:rPr>
          <w:rFonts w:ascii="Arial" w:cs="Arial" w:eastAsia="Arial" w:hAnsi="Arial"/>
          <w:sz w:val="16"/>
          <w:szCs w:val="16"/>
          <w:b w:val="1"/>
          <w:bCs w:val="1"/>
          <w:color w:val="auto"/>
        </w:rPr>
        <w:t>Cameron Stockholder Approval</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39" w:name="page40"/>
    <w:bookmarkEnd w:id="39"/>
    <w:p>
      <w:pPr>
        <w:ind w:firstLine="913"/>
        <w:spacing w:after="0" w:line="272"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i w:val="1"/>
          <w:iCs w:val="1"/>
          <w:color w:val="auto"/>
        </w:rPr>
        <w:t>Certain Contracts</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required to be filed pursuant to Item 601(b)(2), (4), (9) or (10) of Regulation S-K under the Securities Act regardless of when such Contract is executed or in effect. Except as set forth as an exhibit to the Cameron Reports, as of the date hereof, neither Cameron nor any of its Subsidiaries is a party to or bound by any Material Contract. As of the date of this Agreement, except as would not, individually or in the aggregate, reasonably be expected to have, a Cameron Material Adverse Effect and except with respect to any agreement, lease, easement, license, contract, note, mortgage, indenture or other legally binding obligation (each, a “</w:t>
      </w:r>
      <w:r>
        <w:rPr>
          <w:rFonts w:ascii="Arial" w:cs="Arial" w:eastAsia="Arial" w:hAnsi="Arial"/>
          <w:sz w:val="17"/>
          <w:szCs w:val="17"/>
          <w:b w:val="1"/>
          <w:bCs w:val="1"/>
          <w:color w:val="auto"/>
        </w:rPr>
        <w:t>Contract</w:t>
      </w:r>
      <w:r>
        <w:rPr>
          <w:rFonts w:ascii="Arial" w:cs="Arial" w:eastAsia="Arial" w:hAnsi="Arial"/>
          <w:sz w:val="17"/>
          <w:szCs w:val="17"/>
          <w:color w:val="auto"/>
        </w:rPr>
        <w:t>”) that has previously expired in accordance with its terms, been terminated, restated or replaced, each Material Contract is a valid and binding obligation of Cameron or one of its Subsidiaries, as the case may be, and is in full force and effect, and neither Cameron nor any of its Subsidiaries nor, to the knowledge of Cameron, any other party thereto, is in default or breach under the terms of any such Material Contract.</w:t>
      </w:r>
    </w:p>
    <w:p>
      <w:pPr>
        <w:spacing w:after="0" w:line="176"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170" w:lineRule="exact"/>
        <w:rPr>
          <w:sz w:val="20"/>
          <w:szCs w:val="20"/>
          <w:color w:val="auto"/>
        </w:rPr>
      </w:pPr>
    </w:p>
    <w:p>
      <w:pPr>
        <w:ind w:firstLine="921"/>
        <w:spacing w:after="0" w:line="286" w:lineRule="auto"/>
        <w:tabs>
          <w:tab w:leader="none" w:pos="11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Cameron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Cameron, neither Cameron,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68" w:lineRule="exact"/>
        <w:rPr>
          <w:rFonts w:ascii="Arial" w:cs="Arial" w:eastAsia="Arial" w:hAnsi="Arial"/>
          <w:sz w:val="16"/>
          <w:szCs w:val="16"/>
          <w:color w:val="auto"/>
        </w:rPr>
      </w:pPr>
    </w:p>
    <w:p>
      <w:pPr>
        <w:ind w:right="520" w:firstLine="921"/>
        <w:spacing w:after="0" w:line="277"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Cameron and its affiliates have developed and implemented an export control and trade sanctions compliance program which includes corporate policies and procedures designed to ensure compliance with Applicable Laws relating to export control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1" w:right="29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trade sanctions, including obtaining licenses or other authorizations as required for access by foreign nationals in the U.S. to controlled technology.</w:t>
      </w:r>
    </w:p>
    <w:p>
      <w:pPr>
        <w:spacing w:after="0" w:line="237" w:lineRule="exact"/>
        <w:rPr>
          <w:sz w:val="20"/>
          <w:szCs w:val="20"/>
          <w:color w:val="auto"/>
        </w:rPr>
      </w:pPr>
    </w:p>
    <w:p>
      <w:pPr>
        <w:ind w:right="80" w:firstLine="921"/>
        <w:spacing w:after="0" w:line="264"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Cameron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Cameron’s knowledge, Cameron and its affiliates have not been since January 1, 2012 and, to the knowledge of Cameron,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120" w:firstLine="921"/>
        <w:spacing w:after="0" w:line="264" w:lineRule="auto"/>
        <w:tabs>
          <w:tab w:leader="none" w:pos="11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Cameron’s knowledge, none of Cameron or its affiliates has undergone or is undergoing any internal or external audit, review, inspection, investigation, survey or examination of records relating to Cameron’s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170" w:lineRule="exact"/>
        <w:rPr>
          <w:sz w:val="20"/>
          <w:szCs w:val="20"/>
          <w:color w:val="auto"/>
        </w:rPr>
      </w:pPr>
    </w:p>
    <w:p>
      <w:pPr>
        <w:ind w:right="60" w:firstLine="921"/>
        <w:spacing w:after="0" w:line="284" w:lineRule="auto"/>
        <w:tabs>
          <w:tab w:leader="none" w:pos="1158" w:val="left"/>
        </w:tabs>
        <w:numPr>
          <w:ilvl w:val="1"/>
          <w:numId w:val="39"/>
        </w:numPr>
        <w:rPr>
          <w:rFonts w:ascii="Arial" w:cs="Arial" w:eastAsia="Arial" w:hAnsi="Arial"/>
          <w:sz w:val="16"/>
          <w:szCs w:val="16"/>
          <w:color w:val="auto"/>
        </w:rPr>
      </w:pPr>
      <w:r>
        <w:rPr>
          <w:rFonts w:ascii="Arial" w:cs="Arial" w:eastAsia="Arial" w:hAnsi="Arial"/>
          <w:sz w:val="16"/>
          <w:szCs w:val="16"/>
          <w:color w:val="auto"/>
        </w:rPr>
        <w:t>Cameron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Cameron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4" w:lineRule="exact"/>
        <w:rPr>
          <w:rFonts w:ascii="Arial" w:cs="Arial" w:eastAsia="Arial" w:hAnsi="Arial"/>
          <w:sz w:val="16"/>
          <w:szCs w:val="16"/>
          <w:color w:val="auto"/>
        </w:rPr>
      </w:pPr>
    </w:p>
    <w:p>
      <w:pPr>
        <w:ind w:firstLine="8"/>
        <w:spacing w:after="0" w:line="281" w:lineRule="auto"/>
        <w:tabs>
          <w:tab w:leader="none" w:pos="2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Cameron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jc w:val="both"/>
        <w:ind w:right="8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41" w:name="page42"/>
    <w:bookmarkEnd w:id="41"/>
    <w:p>
      <w:pPr>
        <w:jc w:val="both"/>
        <w:ind w:right="180" w:firstLine="921"/>
        <w:spacing w:after="0" w:line="342" w:lineRule="auto"/>
        <w:tabs>
          <w:tab w:leader="none" w:pos="1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Cameron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340" w:firstLine="921"/>
        <w:spacing w:after="0" w:line="312" w:lineRule="auto"/>
        <w:tabs>
          <w:tab w:leader="none" w:pos="11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Cameron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46" w:lineRule="exact"/>
        <w:rPr>
          <w:rFonts w:ascii="Arial" w:cs="Arial" w:eastAsia="Arial" w:hAnsi="Arial"/>
          <w:sz w:val="16"/>
          <w:szCs w:val="16"/>
          <w:color w:val="auto"/>
        </w:rPr>
      </w:pPr>
    </w:p>
    <w:p>
      <w:pPr>
        <w:ind w:right="40" w:firstLine="921"/>
        <w:spacing w:after="0" w:line="279" w:lineRule="auto"/>
        <w:tabs>
          <w:tab w:leader="none" w:pos="11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Cameron’s knowledge, Cameron and its affiliates have not been since January 1, 2012 and are not now under any administrative, civil or criminal investigation or indictment involving alleged violations of the Foreign Corrupt Practices Act or any other applicable anticorruption or antibribery laws. Neither Cameron nor any of its affiliates are participating in any investigation by a Governmental Entity relating to alleged violations by Cameron or its affiliates of the Foreign Corrupt Practices Act or any other applicable anticorruption or antibribery laws.</w:t>
      </w:r>
    </w:p>
    <w:p>
      <w:pPr>
        <w:spacing w:after="0" w:line="171" w:lineRule="exact"/>
        <w:rPr>
          <w:rFonts w:ascii="Arial" w:cs="Arial" w:eastAsia="Arial" w:hAnsi="Arial"/>
          <w:sz w:val="17"/>
          <w:szCs w:val="17"/>
          <w:color w:val="auto"/>
        </w:rPr>
      </w:pPr>
    </w:p>
    <w:p>
      <w:pPr>
        <w:ind w:right="40" w:firstLine="921"/>
        <w:spacing w:after="0" w:line="308" w:lineRule="auto"/>
        <w:tabs>
          <w:tab w:leader="none" w:pos="11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Neither the U.S. Government nor any other Governmental Entity has notified Cameron or any of its affiliates in writing since January 1, 2012 of any actual or alleged violation or breach of the Foreign Corrupt Practices Act or any other applicable anticorruption or antibribery law.</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i w:val="1"/>
          <w:iCs w:val="1"/>
          <w:color w:val="auto"/>
        </w:rPr>
        <w:t>Charter Provisions; Takeover Laws</w:t>
      </w:r>
      <w:r>
        <w:rPr>
          <w:rFonts w:ascii="Arial" w:cs="Arial" w:eastAsia="Arial" w:hAnsi="Arial"/>
          <w:sz w:val="18"/>
          <w:szCs w:val="18"/>
          <w:color w:val="auto"/>
        </w:rPr>
        <w:t>. Assuming the accuracy of the representations and warranties set forth in Section 6.10 and Section 7.10, Cameron has taken all action necessary to render the restrictions on business combinations set forth in Article Fifth of Cameron’s certificate of incorporation inapplicable to this Agreement, the Merger and the other transactions contemplated by this Agreement. Assuming the accuracy of the representations and warranties set forth in Section 6.10 and Section 7.10,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9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i w:val="1"/>
          <w:iCs w:val="1"/>
          <w:color w:val="auto"/>
        </w:rPr>
        <w:t>Relationships with Customers and Suppliers</w:t>
      </w:r>
      <w:r>
        <w:rPr>
          <w:rFonts w:ascii="Arial" w:cs="Arial" w:eastAsia="Arial" w:hAnsi="Arial"/>
          <w:sz w:val="18"/>
          <w:szCs w:val="18"/>
          <w:color w:val="auto"/>
        </w:rPr>
        <w:t>. Since December 31, 2014, no customer or supplier of Cameron or any of its Subsidiaries has canceled or otherwise terminated, or provided notice, whether in writing or otherwise, to Cameron or any of its Subsidiaries of its intent, or, to the knowledge of Cameron, threatened, to terminate its relationship with Cameron or the applicable Subsidiary, or, since December 31, 2014, decreased or limited or provided notice to Cameron or any of its Subsidiaries of its intent, or, to the knowledge of Cameron, threatened, to decrease or limit its purchases from or sales to Cameron or any of its Subsidiaries, in each case except as would not, individually or in the aggregate, reasonably be expected to result in a Cameron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SCHLUMBERGER US AND MERGER SUB</w:t>
      </w:r>
    </w:p>
    <w:p>
      <w:pPr>
        <w:spacing w:after="0" w:line="20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Except as (i) set forth in the disclosure letter delivered to Cameron by Schlumberger US at or prior to the execution hereof (the “</w:t>
      </w:r>
      <w:r>
        <w:rPr>
          <w:rFonts w:ascii="Arial" w:cs="Arial" w:eastAsia="Arial" w:hAnsi="Arial"/>
          <w:sz w:val="16"/>
          <w:szCs w:val="16"/>
          <w:b w:val="1"/>
          <w:bCs w:val="1"/>
          <w:color w:val="auto"/>
        </w:rPr>
        <w:t>Schlumberger</w:t>
      </w:r>
      <w:r>
        <w:rPr>
          <w:rFonts w:ascii="Arial" w:cs="Arial" w:eastAsia="Arial" w:hAnsi="Arial"/>
          <w:sz w:val="16"/>
          <w:szCs w:val="16"/>
          <w:color w:val="auto"/>
        </w:rPr>
        <w:t xml:space="preserve"> </w:t>
      </w:r>
      <w:r>
        <w:rPr>
          <w:rFonts w:ascii="Arial" w:cs="Arial" w:eastAsia="Arial" w:hAnsi="Arial"/>
          <w:sz w:val="16"/>
          <w:szCs w:val="16"/>
          <w:b w:val="1"/>
          <w:bCs w:val="1"/>
          <w:color w:val="auto"/>
        </w:rPr>
        <w:t>US Disclosure Letter</w:t>
      </w:r>
      <w:r>
        <w:rPr>
          <w:rFonts w:ascii="Arial" w:cs="Arial" w:eastAsia="Arial" w:hAnsi="Arial"/>
          <w:sz w:val="16"/>
          <w:szCs w:val="16"/>
          <w:color w:val="auto"/>
        </w:rPr>
        <w:t>”) and making reference to the particular subsection of this Agreement to which exception is being taken, subject to Section 11.10, or</w:t>
      </w:r>
    </w:p>
    <w:p>
      <w:pPr>
        <w:spacing w:after="0" w:line="1" w:lineRule="exact"/>
        <w:rPr>
          <w:sz w:val="20"/>
          <w:szCs w:val="20"/>
          <w:color w:val="auto"/>
        </w:rPr>
      </w:pPr>
    </w:p>
    <w:p>
      <w:pPr>
        <w:ind w:right="220" w:firstLine="8"/>
        <w:spacing w:after="0" w:line="277" w:lineRule="auto"/>
        <w:tabs>
          <w:tab w:leader="none" w:pos="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 disclosed in the Schlumberger Reports filed or furnished after December 31, 2014 and prior to the date hereof (excluding any disclosures in such Schlumberger Reports in any risk factors section, in any section related to forward looking statements and other disclosures that are predictive or forward-looking in nature), each of Schlumberger US and Merger Sub represents and warrants to Cameron that:</w:t>
      </w:r>
    </w:p>
    <w:p>
      <w:pPr>
        <w:spacing w:after="0" w:line="17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Schlumberger US and Merger Sub is a legal entity duly organized, validly existing and in good standing under the laws of its respective jurisdiction of organization and has all requisite corporate or limited liability company power and authority to own, operate and lease its properties and assets and to carry on its business as now conducted. Schlumberger US has made available to Cameron true and correct copies of the certificate of incorporation and bylaws of Schlumberger US and the certificate of formation and limited liability company agreement of Merger Sub, each as amended to date, and each as so delivered is in full force and effect.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1"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of Schlumberger US and Merger Sub has all requisite corporate or limited liability company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US and Merger Sub, and the consummation by each of Schlumberger US and Merger Sub of the transactions contemplated by this Agreement, including the Merger as described in this Agreement, have been duly authorized by all requisite corporate or limited liability company action on behalf of Schlumberger US and Merger Sub. This Agreement has been duly executed and delivered by each of Schlumberger US and Merger Sub and constitutes the valid and legally binding obligation of each of Schlumberger US and Merger Sub, enforceable against each of Schlumberger US and Merger Sub in accordance with its terms.</w:t>
      </w:r>
    </w:p>
    <w:p>
      <w:pPr>
        <w:spacing w:after="0" w:line="167" w:lineRule="exact"/>
        <w:rPr>
          <w:rFonts w:ascii="Arial" w:cs="Arial" w:eastAsia="Arial" w:hAnsi="Arial"/>
          <w:sz w:val="16"/>
          <w:szCs w:val="16"/>
          <w:color w:val="auto"/>
        </w:rPr>
      </w:pPr>
    </w:p>
    <w:p>
      <w:pPr>
        <w:ind w:right="20" w:firstLine="921"/>
        <w:spacing w:after="0" w:line="308"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Boards of Directors of Schlumberger US and Merger Sub have each unanimously (i) determined that this Agreement and the Merger are advisable and (ii) approved and adopted this Agreement and approved the transactions contemplated hereby, including the Merger.</w:t>
      </w:r>
    </w:p>
    <w:p>
      <w:pPr>
        <w:spacing w:after="0" w:line="14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Capitalization</w:t>
      </w:r>
      <w:r>
        <w:rPr>
          <w:rFonts w:ascii="Arial" w:cs="Arial" w:eastAsia="Arial" w:hAnsi="Arial"/>
          <w:sz w:val="18"/>
          <w:szCs w:val="18"/>
          <w:color w:val="auto"/>
        </w:rPr>
        <w:t>. All of the outstanding member interests of Merger Sub are owned directly by Schlumberger US, free and clear of all Liens (including any restriction on the right to vote, sell or otherwise dispose of such member interests).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1" w:right="319" w:bottom="1440" w:gutter="0" w:footer="0" w:header="0"/>
        </w:sectPr>
      </w:pPr>
    </w:p>
    <w:bookmarkStart w:id="43" w:name="page44"/>
    <w:bookmarkEnd w:id="43"/>
    <w:p>
      <w:pPr>
        <w:ind w:right="60" w:firstLine="913"/>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Schlumberger US nor any of its Subsidiaries is in violation of any Applicable Laws, and no claim is pending or, to the knowledge of Schlumberger US, threatened with respect to any such matters.</w:t>
      </w:r>
    </w:p>
    <w:p>
      <w:pPr>
        <w:spacing w:after="0" w:line="62"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Schlumberger US and each Subsidiary of Schlumberger US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US Permits</w:t>
      </w:r>
      <w:r>
        <w:rPr>
          <w:rFonts w:ascii="Arial" w:cs="Arial" w:eastAsia="Arial" w:hAnsi="Arial"/>
          <w:sz w:val="16"/>
          <w:szCs w:val="16"/>
          <w:color w:val="auto"/>
        </w:rPr>
        <w:t>”). All Schlumberger US Permits are in full force and effect and there exists no default thereunder or breach thereof, and Schlumberger US has no notice or knowledge that such Schlumberger US Permits will not be renewed in the ordinary course after the Effective Time. No Governmental Entity has given, or to the knowledge of Schlumberger US, threatened to give, any action to terminate, cancel or reform any Schlumberger US Permit.</w:t>
      </w:r>
    </w:p>
    <w:p>
      <w:pPr>
        <w:spacing w:after="0" w:line="50"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Schlumberger US and each Subsidiary of Schlumberger US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US,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Section 6.4 does not relate to export control or trade matters or the Foreign Corrupt Practices Act, which are the subjects of Sections 6.11 and 6.12, respectively.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right="340" w:firstLine="921"/>
        <w:spacing w:after="0" w:line="291" w:lineRule="auto"/>
        <w:tabs>
          <w:tab w:leader="none" w:pos="1158"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execution, delivery and performance by Schlumberger US and Merger Sub of this Agreement does not, and the consummation by Schlumberger US and Merger Sub of the Merger and the other transactions contemplated by this Agreement in accordance with the terms hereof will not,</w:t>
      </w:r>
    </w:p>
    <w:p>
      <w:pPr>
        <w:ind w:firstLine="8"/>
        <w:spacing w:after="0" w:line="252"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conflict with or result in a breach of any provisions of the certificate of incorporation or bylaws of Schlumberger US or the certificate of formation or limited liability company agreement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US or any of its Subsidiaries under, or result in being declared void, voidable, or without further binding effect, or otherwise result in a detriment to Schlumberger US or any of its Subsidiaries under, any of the terms, conditions or provisions of, any loan or credit agreement, note, bond, mortgage, indenture, deed of trust, license, concession, franchise, permit, lease, contract, agreement, joint venture or other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44" w:name="page45"/>
    <w:bookmarkEnd w:id="44"/>
    <w:p>
      <w:pPr>
        <w:ind w:right="340"/>
        <w:spacing w:after="0" w:line="279" w:lineRule="auto"/>
        <w:rPr>
          <w:sz w:val="20"/>
          <w:szCs w:val="20"/>
          <w:color w:val="auto"/>
        </w:rPr>
      </w:pPr>
      <w:r>
        <w:rPr>
          <w:rFonts w:ascii="Arial" w:cs="Arial" w:eastAsia="Arial" w:hAnsi="Arial"/>
          <w:sz w:val="17"/>
          <w:szCs w:val="17"/>
          <w:color w:val="auto"/>
        </w:rPr>
        <w:t>instrument or obligation to which Schlumberger US or any of its Subsidiaries is a party, or by which Schlumberger US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71" w:lineRule="exact"/>
        <w:rPr>
          <w:sz w:val="20"/>
          <w:szCs w:val="20"/>
          <w:color w:val="auto"/>
        </w:rPr>
      </w:pPr>
    </w:p>
    <w:p>
      <w:pPr>
        <w:ind w:right="300" w:firstLine="921"/>
        <w:spacing w:after="0" w:line="288" w:lineRule="auto"/>
        <w:tabs>
          <w:tab w:leader="none" w:pos="1168" w:val="left"/>
        </w:tabs>
        <w:numPr>
          <w:ilvl w:val="1"/>
          <w:numId w:val="47"/>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and the Delaware LLC Act with respect to the filing of the Certificate of Merger, (ii) rules and regulations of the NYSE, (iii) the HSR Act, the EC Merger Regulation and such applicable competition, antitrust or premerger notification laws of the other jurisdictions set forth in Section 6.5 of the Schlumberger US Disclosure Letter, (iv) the Securities Act, (v) the Exchange Act,</w:t>
      </w:r>
    </w:p>
    <w:p>
      <w:pPr>
        <w:ind w:right="40" w:firstLine="8"/>
        <w:spacing w:after="0" w:line="252" w:lineRule="auto"/>
        <w:tabs>
          <w:tab w:leader="none" w:pos="3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state securities or “Blue Sky” laws and (vii) other Governmental Entities having jurisdiction over the Merger set forth in Section 6.5 of the Schlumberger US Disclosure Letter, neither the execution, delivery or performance by Schlumberger US and Merger Sub of this Agreement, nor the consummation by Schlumberger US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1" w:lineRule="auto"/>
        <w:tabs>
          <w:tab w:leader="none" w:pos="11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US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US will comply as to form in all material respects with the provisions of the Exchange Act and the rules and regulations thereunder.</w:t>
      </w:r>
    </w:p>
    <w:p>
      <w:pPr>
        <w:spacing w:after="0" w:line="167" w:lineRule="exact"/>
        <w:rPr>
          <w:rFonts w:ascii="Arial" w:cs="Arial" w:eastAsia="Arial" w:hAnsi="Arial"/>
          <w:sz w:val="16"/>
          <w:szCs w:val="16"/>
          <w:color w:val="auto"/>
        </w:rPr>
      </w:pPr>
    </w:p>
    <w:p>
      <w:pPr>
        <w:ind w:right="100" w:firstLine="921"/>
        <w:spacing w:after="0" w:line="264"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6.6, no representation or warranty is made by Schlumberger US with respect to statements made or incorporated by reference in the Form S-4 or the Proxy Statement/Prospectus based on information supplied by Cameron for inclusion or incorporation by reference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45" w:name="page46"/>
    <w:bookmarkEnd w:id="45"/>
    <w:p>
      <w:pPr>
        <w:jc w:val="both"/>
        <w:ind w:right="300" w:firstLine="913"/>
        <w:spacing w:after="0" w:line="286"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SEC Documents; Financial Statements</w:t>
      </w:r>
      <w:r>
        <w:rPr>
          <w:rFonts w:ascii="Arial" w:cs="Arial" w:eastAsia="Arial" w:hAnsi="Arial"/>
          <w:sz w:val="17"/>
          <w:szCs w:val="17"/>
          <w:color w:val="auto"/>
        </w:rPr>
        <w:t>. Neither Schlumberger US nor any Subsidiary of Schlumberger US is required to file any registration statement, prospectus, report, schedule, form, statement or any other document with the SEC. Neither Schlumberger US nor any Subsidiary of Schlumberger US is, or since January 1, 2012 has been, subject to any requirement to file periodic reports under the Exchange Act.</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US, threatened against Schlumberger US or any of its Subsidiaries or their respective assets, or any director, officer or employee of Schlumberger US or any of its Subsidiaries or other affiliates, in each case, for whom Schlumberger US or any of its Subsidiaries may be liable, or (b) litigations, arbitrations, investigations or other proceedings, or injunctions or final judgments relating thereto, pending or, to the knowledge of Schlumberger US, threatened before any Governmental Entity or arbitrator against Schlumberger US or any of its Subsidiaries or their respective assets, or any director, officer or employee of Schlumberger US or any of its Subsidiaries or other affiliates, in each case, for whom Schlumberger US or any of its Subsidiaries may be liable, except in the case of either clause (a) or (b), for those that would not, individually or in the aggregate, reasonably be expected to result in a Schlumberger Material Adverse Effect. None of Schlumberger US or any of its Subsidiaries or their respective assets, or any director, officer or employee of Schlumberger US or any of its Subsidiaries or other affiliates, in each case, for whom Schlumberger US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6.8 does not relate to export control or trade matters or the Foreign Corrupt Practices Act, which are the subjects of Sections 6.11 and 6.12, respectively.</w:t>
      </w:r>
    </w:p>
    <w:p>
      <w:pPr>
        <w:spacing w:after="0" w:line="16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Cameron Stock Ownership</w:t>
      </w:r>
      <w:r>
        <w:rPr>
          <w:rFonts w:ascii="Arial" w:cs="Arial" w:eastAsia="Arial" w:hAnsi="Arial"/>
          <w:sz w:val="18"/>
          <w:szCs w:val="18"/>
          <w:color w:val="auto"/>
        </w:rPr>
        <w:t>. Neither Schlumberger US nor any of its Subsidiaries owns any shares of capital stock of Cameron or any other securities convertible into or otherwise exercisable for shares of capital stock of Cameron.</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firstLine="921"/>
        <w:spacing w:after="0" w:line="257" w:lineRule="auto"/>
        <w:tabs>
          <w:tab w:leader="none" w:pos="11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US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46" w:name="page47"/>
    <w:bookmarkEnd w:id="46"/>
    <w:p>
      <w:pPr>
        <w:ind w:right="100"/>
        <w:spacing w:after="0" w:line="257" w:lineRule="auto"/>
        <w:rPr>
          <w:sz w:val="20"/>
          <w:szCs w:val="20"/>
          <w:color w:val="auto"/>
        </w:rPr>
      </w:pPr>
      <w:r>
        <w:rPr>
          <w:rFonts w:ascii="Arial" w:cs="Arial" w:eastAsia="Arial" w:hAnsi="Arial"/>
          <w:sz w:val="18"/>
          <w:szCs w:val="18"/>
          <w:color w:val="auto"/>
        </w:rPr>
        <w:t>Department of the Treasury, OFAC, the U.S. Nuclear Regulatory Commission and any similar rules or regulations of the European Union or other jurisdiction. To the knowledge of Schlumberger US, neither Schlumberger US,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88" w:lineRule="exact"/>
        <w:rPr>
          <w:sz w:val="20"/>
          <w:szCs w:val="20"/>
          <w:color w:val="auto"/>
        </w:rPr>
      </w:pPr>
    </w:p>
    <w:p>
      <w:pPr>
        <w:ind w:right="420" w:firstLine="921"/>
        <w:spacing w:after="0" w:line="286" w:lineRule="auto"/>
        <w:tabs>
          <w:tab w:leader="none" w:pos="11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Schlumberger US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firstLine="921"/>
        <w:spacing w:after="0" w:line="264" w:lineRule="auto"/>
        <w:tabs>
          <w:tab w:leader="none" w:pos="11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US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300" w:firstLine="921"/>
        <w:spacing w:after="0" w:line="264"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Schlumberger US’ knowledge, Schlumberger US and its affiliates have not been since January 1, 2012 and, to the knowledge of Schlumberger US,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620" w:firstLine="921"/>
        <w:spacing w:after="0" w:line="308" w:lineRule="auto"/>
        <w:tabs>
          <w:tab w:leader="none" w:pos="11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Neither the U.S. Government nor any other Governmental Entity has notified Schlumberger US or any of its affiliates in writing since January 1, 2012 of any actual or alleged violation or breach of any Applicable Laws relating to export controls or trade sanctions.</w:t>
      </w:r>
    </w:p>
    <w:p>
      <w:pPr>
        <w:spacing w:after="0" w:line="146" w:lineRule="exact"/>
        <w:rPr>
          <w:rFonts w:ascii="Arial" w:cs="Arial" w:eastAsia="Arial" w:hAnsi="Arial"/>
          <w:sz w:val="17"/>
          <w:szCs w:val="17"/>
          <w:color w:val="auto"/>
        </w:rPr>
      </w:pPr>
    </w:p>
    <w:p>
      <w:pPr>
        <w:ind w:right="340" w:firstLine="921"/>
        <w:spacing w:after="0" w:line="264" w:lineRule="auto"/>
        <w:tabs>
          <w:tab w:leader="none" w:pos="11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Schlumberger US’ knowledge, none of Schlumberger US or its affiliates has undergone or is undergoing any internal or external audit, review, inspection, investigation, survey or examination of records relating to Schlumberger US’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firstLine="921"/>
        <w:spacing w:after="0" w:line="255" w:lineRule="auto"/>
        <w:tabs>
          <w:tab w:leader="none" w:pos="11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Schlumberger US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US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US in obtaining or retaining business with, or directing business to any person or otherwise securing for any person an improper advantage.</w:t>
      </w:r>
    </w:p>
    <w:p>
      <w:pPr>
        <w:spacing w:after="0" w:line="187" w:lineRule="exact"/>
        <w:rPr>
          <w:sz w:val="20"/>
          <w:szCs w:val="20"/>
          <w:color w:val="auto"/>
        </w:rPr>
      </w:pPr>
    </w:p>
    <w:p>
      <w:pPr>
        <w:ind w:right="100" w:firstLine="921"/>
        <w:spacing w:after="0" w:line="342" w:lineRule="auto"/>
        <w:tabs>
          <w:tab w:leader="none" w:pos="11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Schlumberger US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20" w:firstLine="921"/>
        <w:spacing w:after="0" w:line="312" w:lineRule="auto"/>
        <w:tabs>
          <w:tab w:leader="none" w:pos="11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US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46" w:lineRule="exact"/>
        <w:rPr>
          <w:rFonts w:ascii="Arial" w:cs="Arial" w:eastAsia="Arial" w:hAnsi="Arial"/>
          <w:sz w:val="16"/>
          <w:szCs w:val="16"/>
          <w:color w:val="auto"/>
        </w:rPr>
      </w:pPr>
    </w:p>
    <w:p>
      <w:pPr>
        <w:jc w:val="both"/>
        <w:ind w:right="140" w:firstLine="921"/>
        <w:spacing w:after="0" w:line="302" w:lineRule="auto"/>
        <w:tabs>
          <w:tab w:leader="none" w:pos="11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Schlumberger US’ knowledge, Schlumberger US and its affiliates have not been since January 1, 2012 and are not now under any administrative, civil or criminal investigation or indictment involving alleged violations of the Foreign Corrupt Practices Act or any other applicable anticorruption or antibribery laws. Neither Schlumberger US nor any of its affiliates are participating in any investigation by a Governmental Entity relating to alleged violations by Schlumberger US or its affiliates of the Foreign Corrupt Practices Act or any other applicable anticorruption or antibribery laws.</w:t>
      </w:r>
    </w:p>
    <w:p>
      <w:pPr>
        <w:spacing w:after="0" w:line="154" w:lineRule="exact"/>
        <w:rPr>
          <w:rFonts w:ascii="Arial" w:cs="Arial" w:eastAsia="Arial" w:hAnsi="Arial"/>
          <w:sz w:val="16"/>
          <w:szCs w:val="16"/>
          <w:color w:val="auto"/>
        </w:rPr>
      </w:pPr>
    </w:p>
    <w:p>
      <w:pPr>
        <w:ind w:right="460" w:firstLine="921"/>
        <w:spacing w:after="0" w:line="277" w:lineRule="auto"/>
        <w:tabs>
          <w:tab w:leader="none" w:pos="11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 Government has not notified Schlumberger US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US or any of its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US or any of its Subsidiaries.</w:t>
      </w:r>
    </w:p>
    <w:p>
      <w:pPr>
        <w:spacing w:after="0" w:line="15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Sufficient Funds</w:t>
      </w:r>
      <w:r>
        <w:rPr>
          <w:rFonts w:ascii="Arial" w:cs="Arial" w:eastAsia="Arial" w:hAnsi="Arial"/>
          <w:sz w:val="18"/>
          <w:szCs w:val="18"/>
          <w:color w:val="auto"/>
        </w:rPr>
        <w:t>. Schlumberger US shall have, as of the Closing Date, sufficient funds on hand with which to pay the cash portion of the Merger Consideration and consummate the transactions contemplated by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SCHLUMBERGER</w:t>
      </w:r>
    </w:p>
    <w:p>
      <w:pPr>
        <w:spacing w:after="0" w:line="20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Except (i) as set forth in the disclosure letter delivered to Cameron by Schlumberger at or prior to the execution hereof (the “</w:t>
      </w:r>
      <w:r>
        <w:rPr>
          <w:rFonts w:ascii="Arial" w:cs="Arial" w:eastAsia="Arial" w:hAnsi="Arial"/>
          <w:sz w:val="18"/>
          <w:szCs w:val="18"/>
          <w:b w:val="1"/>
          <w:bCs w:val="1"/>
          <w:color w:val="auto"/>
        </w:rPr>
        <w:t>Schlumberger</w:t>
      </w:r>
      <w:r>
        <w:rPr>
          <w:rFonts w:ascii="Arial" w:cs="Arial" w:eastAsia="Arial" w:hAnsi="Arial"/>
          <w:sz w:val="18"/>
          <w:szCs w:val="18"/>
          <w:color w:val="auto"/>
        </w:rPr>
        <w:t xml:space="preserve"> </w:t>
      </w:r>
      <w:r>
        <w:rPr>
          <w:rFonts w:ascii="Arial" w:cs="Arial" w:eastAsia="Arial" w:hAnsi="Arial"/>
          <w:sz w:val="18"/>
          <w:szCs w:val="18"/>
          <w:b w:val="1"/>
          <w:bCs w:val="1"/>
          <w:color w:val="auto"/>
        </w:rPr>
        <w:t>Disclosure Letter</w:t>
      </w:r>
      <w:r>
        <w:rPr>
          <w:rFonts w:ascii="Arial" w:cs="Arial" w:eastAsia="Arial" w:hAnsi="Arial"/>
          <w:sz w:val="18"/>
          <w:szCs w:val="18"/>
          <w:color w:val="auto"/>
        </w:rPr>
        <w:t>”) and making reference to the particular subsection of this Agreement to which exception is being taken, subject to Section 11.10, or (ii) as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in the Schlumberger Reports filed or furnished after December 31, 2014 and prior to the date hereof (excluding any disclosures in such Schlumberger Reports in any risk factors section, in any section related to forward looking statements and other disclosures that are predictive or forward-looking in nature), Schlumberger represents and warrants to Cameron that:</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Schlumberger is a legal entity duly organized, validly existing and, to the extent applicable, in good standing under the laws of its jurisdiction of organization and has all requisite corporate power and authority to own, operate and lease its properties and assets and to carry on its business as now conducted. Schlumberger has made available to Cameron true and correct copies of the articles of incorporation and bylaws of Schlumberger, each as amended to date, and each as so delivered is in full force and effect.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93" w:lineRule="auto"/>
        <w:tabs>
          <w:tab w:leader="none" w:pos="11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Schlumberger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Schlumberger, and the consummation by Schlumberger of the transactions contemplated by this Agreement, including the Merger and the issuance by Schlumberger of shares of Schlumberger Common Stock as described in this Agreement, have been duly authorized by all requisite corporate action on behalf of Schlumberger. This Agreement has been duly executed and delivered by Schlumberger and constitutes the valid and legally binding obligation of Schlumberger, enforceable against Schlumberger in accordance with its terms.</w:t>
      </w:r>
    </w:p>
    <w:p>
      <w:pPr>
        <w:spacing w:after="0" w:line="164" w:lineRule="exact"/>
        <w:rPr>
          <w:rFonts w:ascii="Arial" w:cs="Arial" w:eastAsia="Arial" w:hAnsi="Arial"/>
          <w:sz w:val="16"/>
          <w:szCs w:val="16"/>
          <w:color w:val="auto"/>
        </w:rPr>
      </w:pPr>
    </w:p>
    <w:p>
      <w:pPr>
        <w:ind w:right="380" w:firstLine="921"/>
        <w:spacing w:after="0" w:line="264"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of Directors of Schlumberger, at a meeting duly called and held on or prior to the date hereof, has unanimously approved and adopted this Agreement and approved the transactions contemplated hereby, including the Merger and the issuance by Schlumberger of shares of Schlumberger Common Stock as described in this Agreement.</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Capitalization</w:t>
      </w:r>
      <w:r>
        <w:rPr>
          <w:rFonts w:ascii="Arial" w:cs="Arial" w:eastAsia="Arial" w:hAnsi="Arial"/>
          <w:sz w:val="18"/>
          <w:szCs w:val="18"/>
          <w:color w:val="auto"/>
        </w:rPr>
        <w:t>. Schlumberger may issue up to 4,500,000,000 shares of Schlumberger Common Stock and 200,000,000 shares of preferred stock, par value $0.01 per share (“</w:t>
      </w:r>
      <w:r>
        <w:rPr>
          <w:rFonts w:ascii="Arial" w:cs="Arial" w:eastAsia="Arial" w:hAnsi="Arial"/>
          <w:sz w:val="18"/>
          <w:szCs w:val="18"/>
          <w:b w:val="1"/>
          <w:bCs w:val="1"/>
          <w:color w:val="auto"/>
        </w:rPr>
        <w:t>Schlumberger Preferred Stock</w:t>
      </w:r>
      <w:r>
        <w:rPr>
          <w:rFonts w:ascii="Arial" w:cs="Arial" w:eastAsia="Arial" w:hAnsi="Arial"/>
          <w:sz w:val="18"/>
          <w:szCs w:val="18"/>
          <w:color w:val="auto"/>
        </w:rPr>
        <w:t>”). As of August 21, 2015, there were (a) 1,265,382,984 outstanding shares of Schlumberger Common Stock and 168,829,180 shares of Schlumberger Common Stock held in the treasury of Schlumberger, (b) 45,137,280 shares of Schlumberger Common Stock are reserved for issuance under outstanding awards under employee benefits or stock and incentive plans of Schlumberger, and (c) no issued or outstanding shares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1" w:right="27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6"/>
          <w:szCs w:val="16"/>
          <w:color w:val="auto"/>
        </w:rPr>
        <w:t>Schlumberger Preferred Stock. All of the issued and outstanding shares of Schlumberger Common Stock have been duly authorized and validly issued and are fully paid and nonassessable. The shares of Schlumberger Common Stock to be issued in connection with the Merger, when issued in accordance with this Agreement, will be duly authorized and validly issued and will be fully paid and nonassessable. Except (i) as set forth in this Section 7.3 or (ii) for changes since the close of business on August 21, 2015 resulting from the exercise of employee stock options outstanding on such date,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there are no outstanding obligations of Schlumberger or any of its Subsidiaries other than Schlumberger US and the Subsidiaries of Schlumberger US (collectively, the “</w:t>
      </w:r>
      <w:r>
        <w:rPr>
          <w:rFonts w:ascii="Arial" w:cs="Arial" w:eastAsia="Arial" w:hAnsi="Arial"/>
          <w:sz w:val="16"/>
          <w:szCs w:val="16"/>
          <w:b w:val="1"/>
          <w:bCs w:val="1"/>
          <w:color w:val="auto"/>
        </w:rPr>
        <w:t>Non-Schlumberger US Subsidiaries</w:t>
      </w:r>
      <w:r>
        <w:rPr>
          <w:rFonts w:ascii="Arial" w:cs="Arial" w:eastAsia="Arial" w:hAnsi="Arial"/>
          <w:sz w:val="16"/>
          <w:szCs w:val="16"/>
          <w:color w:val="auto"/>
        </w:rPr>
        <w:t>”) to repurchase, redeem or otherwise acquire any Schlumberger Securities. All of the outstanding common stock of Schlumberger US is owned, directly or indirectly, by Schlumberger, free and clear of all Liens (including any restriction on the right to vote, sell or otherwise dispose of such common stock).</w:t>
      </w:r>
    </w:p>
    <w:p>
      <w:pPr>
        <w:spacing w:after="0" w:line="16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6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Schlumberger nor any of the Non-Schlumberger US Subsidiaries is in violation of any Applicable Laws, and no claim is pending or, to the knowledge of Schlumberger, threatened with respect to any such matters.</w:t>
      </w:r>
    </w:p>
    <w:p>
      <w:pPr>
        <w:spacing w:after="0" w:line="62" w:lineRule="exact"/>
        <w:rPr>
          <w:rFonts w:ascii="Arial" w:cs="Arial" w:eastAsia="Arial" w:hAnsi="Arial"/>
          <w:sz w:val="18"/>
          <w:szCs w:val="18"/>
          <w:color w:val="auto"/>
        </w:rPr>
      </w:pPr>
    </w:p>
    <w:p>
      <w:pPr>
        <w:ind w:left="460" w:right="120" w:firstLine="443"/>
        <w:spacing w:after="0" w:line="276" w:lineRule="auto"/>
        <w:tabs>
          <w:tab w:leader="none" w:pos="1153" w:val="left"/>
        </w:tabs>
        <w:numPr>
          <w:ilvl w:val="0"/>
          <w:numId w:val="55"/>
        </w:numPr>
        <w:rPr>
          <w:rFonts w:ascii="Arial" w:cs="Arial" w:eastAsia="Arial" w:hAnsi="Arial"/>
          <w:sz w:val="17"/>
          <w:szCs w:val="17"/>
          <w:color w:val="auto"/>
        </w:rPr>
      </w:pPr>
      <w:r>
        <w:rPr>
          <w:rFonts w:ascii="Arial" w:cs="Arial" w:eastAsia="Arial" w:hAnsi="Arial"/>
          <w:sz w:val="17"/>
          <w:szCs w:val="17"/>
          <w:color w:val="auto"/>
        </w:rPr>
        <w:t>Schlumberger and each Non-Schlumberger US Subsidiary hold all permits, licenses, certifications, variations, exemptions, orders, franchises and approvals of all Governmental Entities necessary for the conduct of their respective businesses (the “</w:t>
      </w:r>
      <w:r>
        <w:rPr>
          <w:rFonts w:ascii="Arial" w:cs="Arial" w:eastAsia="Arial" w:hAnsi="Arial"/>
          <w:sz w:val="17"/>
          <w:szCs w:val="17"/>
          <w:b w:val="1"/>
          <w:bCs w:val="1"/>
          <w:color w:val="auto"/>
        </w:rPr>
        <w:t>Schlumberger Permits</w:t>
      </w:r>
      <w:r>
        <w:rPr>
          <w:rFonts w:ascii="Arial" w:cs="Arial" w:eastAsia="Arial" w:hAnsi="Arial"/>
          <w:sz w:val="17"/>
          <w:szCs w:val="17"/>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64" w:lineRule="exact"/>
        <w:rPr>
          <w:rFonts w:ascii="Arial" w:cs="Arial" w:eastAsia="Arial" w:hAnsi="Arial"/>
          <w:sz w:val="17"/>
          <w:szCs w:val="17"/>
          <w:color w:val="auto"/>
        </w:rPr>
      </w:pPr>
    </w:p>
    <w:p>
      <w:pPr>
        <w:ind w:left="460" w:right="12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Schlumberger and each Non-Schlumberger US Subsidiary possess all permits, licenses, operating authorities, orders, exemptions, franchises, variances, consents, approvals or other authorizations required for the present ownership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50" w:name="page51"/>
    <w:bookmarkEnd w:id="50"/>
    <w:p>
      <w:pPr>
        <w:ind w:left="460" w:right="320"/>
        <w:spacing w:after="0" w:line="264" w:lineRule="auto"/>
        <w:rPr>
          <w:sz w:val="20"/>
          <w:szCs w:val="20"/>
          <w:color w:val="auto"/>
        </w:rPr>
      </w:pPr>
      <w:r>
        <w:rPr>
          <w:rFonts w:ascii="Arial" w:cs="Arial" w:eastAsia="Arial" w:hAnsi="Arial"/>
          <w:sz w:val="18"/>
          <w:szCs w:val="18"/>
          <w:color w:val="auto"/>
        </w:rPr>
        <w:t>operation of all its and the Non-Schlumberger US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Section 7.4 does not relate to export control or trade matters or the Foreign Corrupt Practices Act, which are the subjects of Sections 7.12 and 7.13, respectively.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8" w:lineRule="auto"/>
        <w:tabs>
          <w:tab w:leader="none" w:pos="1158"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execution, delivery and performance by Schlumberger of this Agreement does not, and the consummation by Schlumberger of the transactions contemplated by this Agreement in accordance with the terms hereof will not, (i) conflict with or result in a breach of any provisions of the articles of incorporation or bylaws of Schlumberger,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the Non-Schlumberger US Subsidiaries under, or result in being declared void, voidable, or without further binding effect, or otherwise result in a detriment to Schlumberger or any of the Non-Schlumberger US Subsidiaries under, any of the terms, conditions or provisions of, any loan or credit agreement, note, bond, mortgage, indenture, deed of trust, license, concession, franchise, permit, lease, contract, agreement, joint venture or other instrument or obligation to which Schlumberger or any of the Non-Schlumberger US Subsidiaries is a party, or by which Schlumberger or any of the Non-Schlumberger US Subsidiaries or any of their properties or assets is bound or affected, or (iii) subject to the filings and other matters referred to in Section 7.5(b),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87" w:lineRule="exact"/>
        <w:rPr>
          <w:rFonts w:ascii="Arial" w:cs="Arial" w:eastAsia="Arial" w:hAnsi="Arial"/>
          <w:sz w:val="17"/>
          <w:szCs w:val="17"/>
          <w:color w:val="auto"/>
        </w:rPr>
      </w:pPr>
    </w:p>
    <w:p>
      <w:pPr>
        <w:ind w:right="500" w:firstLine="921"/>
        <w:spacing w:after="0" w:line="288" w:lineRule="auto"/>
        <w:tabs>
          <w:tab w:leader="none" w:pos="11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and the Delaware LLC Act with respect to the filing of the Certificate of Merger, (ii) rules and regulations of the NYSE, (iii) the HSR Act, the EC Merger Regulation and such applicable competition, antitrust or premerger notification laws of the other jurisdictions set forth in Section 7.5 of the Schlumberger Disclosure Letter, (iv) the Securities Act, (v) the Exchange Act,</w:t>
      </w:r>
    </w:p>
    <w:p>
      <w:pPr>
        <w:ind w:right="60" w:firstLine="8"/>
        <w:spacing w:after="0" w:line="292" w:lineRule="auto"/>
        <w:tabs>
          <w:tab w:leader="none" w:pos="3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state securities or “Blue Sky” laws and (vii) other Governmental Entities having jurisdiction over the Merger set forth in Section 7.5 of the Schlumberger Disclosure Letter, neither the execution, delivery or performance by Schlumberger of this Agreement, nor the consummation by Schlumberger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51" w:name="page52"/>
    <w:bookmarkEnd w:id="51"/>
    <w:p>
      <w:pPr>
        <w:ind w:left="90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left="-20" w:right="60" w:firstLine="921"/>
        <w:spacing w:after="0" w:line="270" w:lineRule="auto"/>
        <w:tabs>
          <w:tab w:leader="none" w:pos="11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Schlumberger has filed or furnished all registration statements, prospectuses, reports, schedules, forms, statements and other documents (including exhibits and any amendments thereto) required to be so filed or furnished by it with the SEC since January 1, 2012 (collectively, the “</w:t>
      </w:r>
      <w:r>
        <w:rPr>
          <w:rFonts w:ascii="Arial" w:cs="Arial" w:eastAsia="Arial" w:hAnsi="Arial"/>
          <w:sz w:val="17"/>
          <w:szCs w:val="17"/>
          <w:b w:val="1"/>
          <w:bCs w:val="1"/>
          <w:color w:val="auto"/>
        </w:rPr>
        <w:t>Schlumberger Reports</w:t>
      </w:r>
      <w:r>
        <w:rPr>
          <w:rFonts w:ascii="Arial" w:cs="Arial" w:eastAsia="Arial" w:hAnsi="Arial"/>
          <w:sz w:val="17"/>
          <w:szCs w:val="17"/>
          <w:color w:val="auto"/>
        </w:rPr>
        <w:t>”) and has made available to Cameron each such document it has so filed or furnished, in the form filed with or furnished to the SEC. No Non-Schlumberger US Subsidiary is required to file any registration statement, prospectus, report, schedule, form, statement or any other document with the SEC. No Non-Schlumberger US Subsidiary is, or since January 1, 2012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7" w:lineRule="exact"/>
        <w:rPr>
          <w:rFonts w:ascii="Arial" w:cs="Arial" w:eastAsia="Arial" w:hAnsi="Arial"/>
          <w:sz w:val="17"/>
          <w:szCs w:val="17"/>
          <w:color w:val="auto"/>
        </w:rPr>
      </w:pPr>
    </w:p>
    <w:p>
      <w:pPr>
        <w:ind w:left="-20" w:firstLine="921"/>
        <w:spacing w:after="0" w:line="291" w:lineRule="auto"/>
        <w:tabs>
          <w:tab w:leader="none" w:pos="11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67" w:lineRule="exact"/>
        <w:rPr>
          <w:rFonts w:ascii="Arial" w:cs="Arial" w:eastAsia="Arial" w:hAnsi="Arial"/>
          <w:sz w:val="16"/>
          <w:szCs w:val="16"/>
          <w:color w:val="auto"/>
        </w:rPr>
      </w:pPr>
    </w:p>
    <w:p>
      <w:pPr>
        <w:ind w:left="-20" w:right="20" w:firstLine="921"/>
        <w:spacing w:after="0" w:line="293" w:lineRule="auto"/>
        <w:tabs>
          <w:tab w:leader="none" w:pos="113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2014, (ii) liabilities or obligations incurred in the ordinary course of business since December 31, 2014 or (iii) liabilities or obligations which have not had and would not reasonably be expected to have, individually or in the aggregate, a Schlumberger Material Adverse Effect.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77" w:lineRule="auto"/>
        <w:tabs>
          <w:tab w:leader="none" w:pos="11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information supplied or to be supplied by Schlumberger for inclusion or incorporation by reference in (i) the Form S-4 will, at the time the Form S-4 is filed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60" w:top="125" w:right="259" w:bottom="1440" w:gutter="0" w:footer="0" w:header="0"/>
        </w:sectPr>
      </w:pPr>
    </w:p>
    <w:bookmarkStart w:id="52" w:name="page53"/>
    <w:bookmarkEnd w:id="52"/>
    <w:p>
      <w:pPr>
        <w:ind w:right="160"/>
        <w:spacing w:after="0" w:line="273" w:lineRule="auto"/>
        <w:rPr>
          <w:sz w:val="20"/>
          <w:szCs w:val="20"/>
          <w:color w:val="auto"/>
        </w:rPr>
      </w:pPr>
      <w:r>
        <w:rPr>
          <w:rFonts w:ascii="Arial" w:cs="Arial" w:eastAsia="Arial" w:hAnsi="Arial"/>
          <w:sz w:val="17"/>
          <w:szCs w:val="17"/>
          <w:color w:val="auto"/>
        </w:rPr>
        <w:t>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will comply as to form in all material respects with the provisions of the Exchange Act and the rules and regulations thereunder.</w:t>
      </w:r>
    </w:p>
    <w:p>
      <w:pPr>
        <w:spacing w:after="0" w:line="178" w:lineRule="exact"/>
        <w:rPr>
          <w:sz w:val="20"/>
          <w:szCs w:val="20"/>
          <w:color w:val="auto"/>
        </w:rPr>
      </w:pPr>
    </w:p>
    <w:p>
      <w:pPr>
        <w:ind w:right="100" w:firstLine="921"/>
        <w:spacing w:after="0" w:line="264" w:lineRule="auto"/>
        <w:tabs>
          <w:tab w:leader="none" w:pos="11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7.7, no representation or warranty is made by Schlumberger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Litigation</w:t>
      </w:r>
      <w:r>
        <w:rPr>
          <w:rFonts w:ascii="Arial" w:cs="Arial" w:eastAsia="Arial" w:hAnsi="Arial"/>
          <w:sz w:val="17"/>
          <w:szCs w:val="17"/>
          <w:color w:val="auto"/>
        </w:rPr>
        <w:t>. There are no (a) civil, criminal or administrative actions, suits, claims, hearings, arbitrations, investigations or proceedings pending or, to the knowledge of Schlumberger, threatened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or (b) litigations, arbitrations, investigations or other proceedings, or injunctions or final judgments relating thereto, pending or, to the knowledge of Schlumberger, threatened before any Governmental Entity or arbitrator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except in the case of either clause (a) or (b), for those that would not, individually or in the aggregate, reasonably be expected to result in a Schlumberger Material Adverse Effect. None of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7.8 does not relate to export control or trade matters or the Foreign Corrupt Practices Act, which are the subjects of Sections 7.12 and 7.13, respectively.</w:t>
      </w:r>
    </w:p>
    <w:p>
      <w:pPr>
        <w:spacing w:after="0" w:line="18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Schlumberger US and Cameron Stock Ownership</w:t>
      </w:r>
      <w:r>
        <w:rPr>
          <w:rFonts w:ascii="Arial" w:cs="Arial" w:eastAsia="Arial" w:hAnsi="Arial"/>
          <w:sz w:val="18"/>
          <w:szCs w:val="18"/>
          <w:color w:val="auto"/>
        </w:rPr>
        <w:t>. Neither Schlumberger nor any of the Non-Schlumberger US Subsidiaries owns any shares of capital stock of Cameron or any other securities convertible into or otherwise exercisable for shares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color w:val="auto"/>
        </w:rPr>
        <w:t>capital stock of Cameron. All of the outstanding capital stock of Schlumberger US is owned indirectly by Schlumberger, free and clear of all Liens (including any restriction on the right to vote, sell or otherwise dispose of such capital stock).</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right="80" w:firstLine="921"/>
        <w:spacing w:after="0" w:line="288" w:lineRule="auto"/>
        <w:tabs>
          <w:tab w:leader="none" w:pos="1158" w:val="left"/>
        </w:tabs>
        <w:numPr>
          <w:ilvl w:val="1"/>
          <w:numId w:val="61"/>
        </w:numPr>
        <w:rPr>
          <w:rFonts w:ascii="Arial" w:cs="Arial" w:eastAsia="Arial" w:hAnsi="Arial"/>
          <w:sz w:val="16"/>
          <w:szCs w:val="16"/>
          <w:color w:val="auto"/>
        </w:rPr>
      </w:pPr>
      <w:r>
        <w:rPr>
          <w:rFonts w:ascii="Arial" w:cs="Arial" w:eastAsia="Arial" w:hAnsi="Arial"/>
          <w:sz w:val="16"/>
          <w:szCs w:val="16"/>
          <w:color w:val="auto"/>
        </w:rPr>
        <w:t>Schlumberger and its affiliates (other than Schlumberger US and its Subsidiaries)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w:t>
      </w:r>
    </w:p>
    <w:p>
      <w:pPr>
        <w:ind w:right="200" w:firstLine="8"/>
        <w:spacing w:after="0" w:line="252" w:lineRule="auto"/>
        <w:tabs>
          <w:tab w:leader="none" w:pos="225" w:val="left"/>
        </w:tabs>
        <w:numPr>
          <w:ilvl w:val="0"/>
          <w:numId w:val="61"/>
        </w:numPr>
        <w:rPr>
          <w:rFonts w:ascii="Arial" w:cs="Arial" w:eastAsia="Arial" w:hAnsi="Arial"/>
          <w:sz w:val="18"/>
          <w:szCs w:val="18"/>
          <w:color w:val="auto"/>
        </w:rPr>
      </w:pPr>
      <w:r>
        <w:rPr>
          <w:rFonts w:ascii="Arial" w:cs="Arial" w:eastAsia="Arial" w:hAnsi="Arial"/>
          <w:sz w:val="18"/>
          <w:szCs w:val="18"/>
          <w:color w:val="auto"/>
        </w:rPr>
        <w:t>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(other than Schlumberger US and its Subsidiaries and their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93" w:lineRule="exact"/>
        <w:rPr>
          <w:rFonts w:ascii="Arial" w:cs="Arial" w:eastAsia="Arial" w:hAnsi="Arial"/>
          <w:sz w:val="18"/>
          <w:szCs w:val="18"/>
          <w:color w:val="auto"/>
        </w:rPr>
      </w:pPr>
    </w:p>
    <w:p>
      <w:pPr>
        <w:ind w:firstLine="921"/>
        <w:spacing w:after="0" w:line="259" w:lineRule="auto"/>
        <w:tabs>
          <w:tab w:leader="none" w:pos="11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86" w:lineRule="exact"/>
        <w:rPr>
          <w:rFonts w:ascii="Arial" w:cs="Arial" w:eastAsia="Arial" w:hAnsi="Arial"/>
          <w:sz w:val="18"/>
          <w:szCs w:val="18"/>
          <w:color w:val="auto"/>
        </w:rPr>
      </w:pPr>
    </w:p>
    <w:p>
      <w:pPr>
        <w:jc w:val="both"/>
        <w:ind w:right="160" w:firstLine="921"/>
        <w:spacing w:after="0" w:line="264" w:lineRule="auto"/>
        <w:tabs>
          <w:tab w:leader="none" w:pos="11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40" w:firstLine="921"/>
        <w:spacing w:after="0" w:line="264" w:lineRule="auto"/>
        <w:tabs>
          <w:tab w:leader="none" w:pos="11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(other than Schlumberger US and its Subsidiaries) have not been since January 1, 2012 and, to the knowledge of Schlumberger, are not now under any administrative, civil or criminal investigation or indictment involving alleged violations of any Applicable Laws relating to export controls or trade sanctions.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54" w:name="page55"/>
    <w:bookmarkEnd w:id="54"/>
    <w:p>
      <w:pPr>
        <w:ind w:right="140" w:firstLine="921"/>
        <w:spacing w:after="0" w:line="264"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or any of its affiliates (other than Schlumberger US and its Subsidiaries) in writing since January 1, 2012 of any actual or alleged violation or breach of any Applicable Laws relating to export controls or trade sanctions.</w:t>
      </w:r>
    </w:p>
    <w:p>
      <w:pPr>
        <w:spacing w:after="0" w:line="181" w:lineRule="exact"/>
        <w:rPr>
          <w:rFonts w:ascii="Arial" w:cs="Arial" w:eastAsia="Arial" w:hAnsi="Arial"/>
          <w:sz w:val="18"/>
          <w:szCs w:val="18"/>
          <w:color w:val="auto"/>
        </w:rPr>
      </w:pPr>
    </w:p>
    <w:p>
      <w:pPr>
        <w:ind w:right="160" w:firstLine="921"/>
        <w:spacing w:after="0" w:line="259" w:lineRule="auto"/>
        <w:tabs>
          <w:tab w:leader="none" w:pos="11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(other than Schlumberger US and its Subsidiaries) has undergone or is undergoing any internal or external audit, review, inspection, investigation, survey or examination of records relating to Schlumberger’s or any of its affiliates’ (other than Schlumberger US and its Subsidiaries) export activity that would, individually or in the aggregate, reasonably be expected to affect adversely its future export activity.</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70" w:lineRule="exact"/>
        <w:rPr>
          <w:sz w:val="20"/>
          <w:szCs w:val="20"/>
          <w:color w:val="auto"/>
        </w:rPr>
      </w:pPr>
    </w:p>
    <w:p>
      <w:pPr>
        <w:ind w:firstLine="921"/>
        <w:spacing w:after="0" w:line="269" w:lineRule="auto"/>
        <w:tabs>
          <w:tab w:leader="none" w:pos="1158" w:val="left"/>
        </w:tabs>
        <w:numPr>
          <w:ilvl w:val="0"/>
          <w:numId w:val="64"/>
        </w:numPr>
        <w:rPr>
          <w:rFonts w:ascii="Arial" w:cs="Arial" w:eastAsia="Arial" w:hAnsi="Arial"/>
          <w:sz w:val="17"/>
          <w:szCs w:val="17"/>
          <w:color w:val="auto"/>
        </w:rPr>
      </w:pPr>
      <w:r>
        <w:rPr>
          <w:rFonts w:ascii="Arial" w:cs="Arial" w:eastAsia="Arial" w:hAnsi="Arial"/>
          <w:sz w:val="17"/>
          <w:szCs w:val="17"/>
          <w:color w:val="auto"/>
        </w:rPr>
        <w:t>Schlumberger and its affiliates, directors, officers and employees (other than Schlumberger US and its Subsidiaries and their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(other than Schlumberger US and its Subsidiaries,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82" w:lineRule="exact"/>
        <w:rPr>
          <w:rFonts w:ascii="Arial" w:cs="Arial" w:eastAsia="Arial" w:hAnsi="Arial"/>
          <w:sz w:val="17"/>
          <w:szCs w:val="17"/>
          <w:color w:val="auto"/>
        </w:rPr>
      </w:pPr>
    </w:p>
    <w:p>
      <w:pPr>
        <w:ind w:right="260" w:firstLine="921"/>
        <w:spacing w:after="0" w:line="264"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81" w:lineRule="exact"/>
        <w:rPr>
          <w:rFonts w:ascii="Arial" w:cs="Arial" w:eastAsia="Arial" w:hAnsi="Arial"/>
          <w:sz w:val="18"/>
          <w:szCs w:val="18"/>
          <w:color w:val="auto"/>
        </w:rPr>
      </w:pPr>
    </w:p>
    <w:p>
      <w:pPr>
        <w:jc w:val="both"/>
        <w:ind w:right="160" w:firstLine="921"/>
        <w:spacing w:after="0" w:line="259" w:lineRule="auto"/>
        <w:tabs>
          <w:tab w:leader="none" w:pos="11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55" w:name="page56"/>
    <w:bookmarkEnd w:id="55"/>
    <w:p>
      <w:pPr>
        <w:ind w:right="220" w:firstLine="921"/>
        <w:spacing w:after="0" w:line="297" w:lineRule="auto"/>
        <w:tabs>
          <w:tab w:leader="none" w:pos="116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(other than Schlumberger US and its Subsidiaries) have not been since January 1, 2012 and are not now under any administrative, civil or criminal investigation or indictment involving alleged violations of the Foreign Corrupt Practices Act or any other applicable anticorruption or antibribery laws. Neither Schlumberger nor any of its affiliates (other than Schlumberger US and its Subsidiaries) are participating in any investigation by a Governmental Entity relating to alleged violations by Schlumberger or its affiliates (other than Schlumberger US and its Subsidiaries) of the Foreign Corrupt Practices Act or any other applicable anticorruption or antibribery laws.</w:t>
      </w:r>
    </w:p>
    <w:p>
      <w:pPr>
        <w:spacing w:after="0" w:line="158" w:lineRule="exact"/>
        <w:rPr>
          <w:rFonts w:ascii="Arial" w:cs="Arial" w:eastAsia="Arial" w:hAnsi="Arial"/>
          <w:sz w:val="16"/>
          <w:szCs w:val="16"/>
          <w:color w:val="auto"/>
        </w:rPr>
      </w:pPr>
    </w:p>
    <w:p>
      <w:pPr>
        <w:ind w:firstLine="921"/>
        <w:spacing w:after="0" w:line="342" w:lineRule="auto"/>
        <w:tabs>
          <w:tab w:leader="none" w:pos="11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U.S. Government has not notified Schlumberger or any of its affiliates (other than Schlumberger US and its Subsidiaries) in writing since January 1, 2012 of any actual or alleged violation or breach of the Foreign Corrupt Practices Act or any other applicable anticorruption or antibribery law.</w:t>
      </w:r>
    </w:p>
    <w:p>
      <w:pPr>
        <w:spacing w:after="0" w:line="12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Decrees, Etc</w:t>
      </w:r>
      <w:r>
        <w:rPr>
          <w:rFonts w:ascii="Arial" w:cs="Arial" w:eastAsia="Arial" w:hAnsi="Arial"/>
          <w:sz w:val="18"/>
          <w:szCs w:val="18"/>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the Non-Schlumberger US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or any of the Non-Schlumberger US Subsidiaries.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5" w:lineRule="exact"/>
        <w:rPr>
          <w:sz w:val="20"/>
          <w:szCs w:val="20"/>
          <w:color w:val="auto"/>
        </w:rPr>
      </w:pPr>
    </w:p>
    <w:p>
      <w:pPr>
        <w:ind w:right="220" w:firstLine="921"/>
        <w:spacing w:after="0" w:line="308" w:lineRule="auto"/>
        <w:tabs>
          <w:tab w:leader="none" w:pos="11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146" w:lineRule="exact"/>
        <w:rPr>
          <w:rFonts w:ascii="Arial" w:cs="Arial" w:eastAsia="Arial" w:hAnsi="Arial"/>
          <w:sz w:val="17"/>
          <w:szCs w:val="17"/>
          <w:color w:val="auto"/>
        </w:rPr>
      </w:pPr>
    </w:p>
    <w:p>
      <w:pPr>
        <w:ind w:right="100" w:firstLine="921"/>
        <w:spacing w:after="0" w:line="302" w:lineRule="auto"/>
        <w:tabs>
          <w:tab w:leader="none" w:pos="11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140" w:firstLine="921"/>
        <w:spacing w:after="0" w:line="259" w:lineRule="auto"/>
        <w:tabs>
          <w:tab w:leader="none" w:pos="11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56" w:name="page57"/>
    <w:bookmarkEnd w:id="56"/>
    <w:p>
      <w:pPr>
        <w:ind w:right="280"/>
        <w:spacing w:after="0" w:line="277" w:lineRule="auto"/>
        <w:rPr>
          <w:sz w:val="20"/>
          <w:szCs w:val="20"/>
          <w:color w:val="auto"/>
        </w:rPr>
      </w:pPr>
      <w:r>
        <w:rPr>
          <w:rFonts w:ascii="Arial" w:cs="Arial" w:eastAsia="Arial" w:hAnsi="Arial"/>
          <w:sz w:val="18"/>
          <w:szCs w:val="18"/>
          <w:color w:val="auto"/>
        </w:rPr>
        <w:t>financial data and (B) any fraud, whether or not material, that involves management or other employees who have a significant role in its internal controls over financial reporting.</w:t>
      </w:r>
    </w:p>
    <w:p>
      <w:pPr>
        <w:spacing w:after="0" w:line="170" w:lineRule="exact"/>
        <w:rPr>
          <w:sz w:val="20"/>
          <w:szCs w:val="20"/>
          <w:color w:val="auto"/>
        </w:rPr>
      </w:pPr>
    </w:p>
    <w:p>
      <w:pPr>
        <w:ind w:right="20" w:firstLine="921"/>
        <w:spacing w:after="0" w:line="271" w:lineRule="auto"/>
        <w:tabs>
          <w:tab w:leader="none" w:pos="11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2014, and such assessment concluded that such internal controls were effective using the framework specified in Schlumberger’s annual report on Form 10-K for the year ended December 31, 2014.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78" w:lineRule="exact"/>
        <w:rPr>
          <w:rFonts w:ascii="Arial" w:cs="Arial" w:eastAsia="Arial" w:hAnsi="Arial"/>
          <w:sz w:val="17"/>
          <w:szCs w:val="17"/>
          <w:color w:val="auto"/>
        </w:rPr>
      </w:pPr>
    </w:p>
    <w:p>
      <w:pPr>
        <w:ind w:right="140" w:firstLine="921"/>
        <w:spacing w:after="0" w:line="277" w:lineRule="auto"/>
        <w:tabs>
          <w:tab w:leader="none" w:pos="11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Schlumberger to any of its executive officers or directors has been made or modified (other than as permitted by Section 13 of the Exchange Act and Section 402 of the Sarbanes-Oxley Act) since July 30, 2002.</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71" w:lineRule="auto"/>
        <w:tabs>
          <w:tab w:leader="none" w:pos="1158"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Cameron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Cameron and its Subsidiaries shall be conducted in the ordinary course of business and, to the extent consistent therewith, Cameron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Cameron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action by Cameron or its Subsidiaries with respect to matters specifically addressed by Section 8.1(b) shall be deemed to be a breach of this sentence unless such action would constitute a breach of Section 8.1(b).</w:t>
      </w:r>
    </w:p>
    <w:p>
      <w:pPr>
        <w:spacing w:after="0" w:line="178" w:lineRule="exact"/>
        <w:rPr>
          <w:rFonts w:ascii="Arial" w:cs="Arial" w:eastAsia="Arial" w:hAnsi="Arial"/>
          <w:sz w:val="17"/>
          <w:szCs w:val="17"/>
          <w:color w:val="auto"/>
        </w:rPr>
      </w:pPr>
    </w:p>
    <w:p>
      <w:pPr>
        <w:ind w:firstLine="921"/>
        <w:spacing w:after="0" w:line="286" w:lineRule="auto"/>
        <w:tabs>
          <w:tab w:leader="none" w:pos="11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8.1 of the Cameron Disclosure Letter, or (D) as required by Applicable Law, Cameron will not and will not permit any of its Subsidiaries to:</w:t>
      </w:r>
    </w:p>
    <w:p>
      <w:pPr>
        <w:spacing w:after="0" w:line="57" w:lineRule="exact"/>
        <w:rPr>
          <w:rFonts w:ascii="Arial" w:cs="Arial" w:eastAsia="Arial" w:hAnsi="Arial"/>
          <w:sz w:val="17"/>
          <w:szCs w:val="17"/>
          <w:color w:val="auto"/>
        </w:rPr>
      </w:pPr>
    </w:p>
    <w:p>
      <w:pPr>
        <w:ind w:left="1560" w:hanging="219"/>
        <w:spacing w:after="0"/>
        <w:tabs>
          <w:tab w:leader="none" w:pos="15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adopt any change in, or waive any provision of, its certificate of incorporation or bylaws or other applicable governing instruments;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57" w:name="page58"/>
    <w:bookmarkEnd w:id="57"/>
    <w:p>
      <w:pPr>
        <w:ind w:left="-1" w:right="200" w:firstLine="421"/>
        <w:spacing w:after="0" w:line="342" w:lineRule="auto"/>
        <w:tabs>
          <w:tab w:leader="none" w:pos="6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merge or consolidate Cameron or any of its Subsidiaries with any other person, except as permitted under Section 8.1(b)(viii) and except for any such transactions among wholly owned Subsidiaries of Cameron that are not obligors or guarantors of third-party indebtedness;</w:t>
      </w:r>
    </w:p>
    <w:p>
      <w:pPr>
        <w:spacing w:after="0" w:line="15" w:lineRule="exact"/>
        <w:rPr>
          <w:rFonts w:ascii="Arial" w:cs="Arial" w:eastAsia="Arial" w:hAnsi="Arial"/>
          <w:sz w:val="16"/>
          <w:szCs w:val="16"/>
          <w:color w:val="auto"/>
        </w:rPr>
      </w:pPr>
    </w:p>
    <w:p>
      <w:pPr>
        <w:ind w:left="-1" w:firstLine="421"/>
        <w:spacing w:after="0" w:line="287" w:lineRule="auto"/>
        <w:tabs>
          <w:tab w:leader="none" w:pos="734" w:val="left"/>
        </w:tabs>
        <w:numPr>
          <w:ilvl w:val="1"/>
          <w:numId w:val="69"/>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Cameron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Cameron or any Subsidiary, other than issuances of shares of Cameron Common Stock upon exercise of Cameron Options or the settlement of Cameron Restricted Stock Unit Awards, Cameron Deferred Stock Unit Awards or Cameron Performance Share Awards outstanding on the date of this Agreement and except as permitted under Section 8.1(b)(iv); or (2) repurchase, redeem or otherwise acquire any securities or equity equivalents except in the ordinary course of business in connection with (w) the cashless exercise of Cameron Options in accordance with the Cameron Stock Plans, (x) the settlement of Cameron Restricted Stock Unit Awards, Cameron Deferred Stock Unit Awards, Cameron Performance Share Awards or Cameron Options, in each case, in order to satisfy withholding or exercise price obligations in accordance with the Cameron Stock Plans, (y) the forfeiture of Cameron Options, Cameron Restricted Stock Unit Awards, Cameron Deferred Stock Unit Awards or Cameron Performance Share Awards or (z) equity compensation grants permitted by Section 8.1(b)(iv);</w:t>
      </w:r>
    </w:p>
    <w:p>
      <w:pPr>
        <w:spacing w:after="0" w:line="60" w:lineRule="exact"/>
        <w:rPr>
          <w:rFonts w:ascii="Arial" w:cs="Arial" w:eastAsia="Arial" w:hAnsi="Arial"/>
          <w:sz w:val="16"/>
          <w:szCs w:val="16"/>
          <w:color w:val="auto"/>
        </w:rPr>
      </w:pPr>
    </w:p>
    <w:p>
      <w:pPr>
        <w:ind w:left="-1" w:right="180" w:firstLine="421"/>
        <w:spacing w:after="0" w:line="288" w:lineRule="auto"/>
        <w:tabs>
          <w:tab w:leader="none" w:pos="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except to the extent required under any Cameron Benefit Plan as in effect on the date of this Agreement or as required by Applicable Law, (1) increase the compensation (including bonus opportunities) or fringe benefits of any of its directors, executive officers or employees (except in the ordinary course of business consistent with past practice with employees who are not parties to a change in control agreement),</w:t>
      </w:r>
    </w:p>
    <w:p>
      <w:pPr>
        <w:ind w:left="-1" w:right="100" w:firstLine="1"/>
        <w:spacing w:after="0" w:line="268" w:lineRule="auto"/>
        <w:tabs>
          <w:tab w:leader="none" w:pos="254" w:val="left"/>
        </w:tabs>
        <w:numPr>
          <w:ilvl w:val="0"/>
          <w:numId w:val="70"/>
        </w:numPr>
        <w:rPr>
          <w:rFonts w:ascii="Arial" w:cs="Arial" w:eastAsia="Arial" w:hAnsi="Arial"/>
          <w:sz w:val="17"/>
          <w:szCs w:val="17"/>
          <w:color w:val="auto"/>
        </w:rPr>
      </w:pPr>
      <w:r>
        <w:rPr>
          <w:rFonts w:ascii="Arial" w:cs="Arial" w:eastAsia="Arial" w:hAnsi="Arial"/>
          <w:sz w:val="17"/>
          <w:szCs w:val="17"/>
          <w:color w:val="auto"/>
        </w:rPr>
        <w:t>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shall provide that the consummation of the transactions contemplated by this Agreement will not alone result in a change-in-control acceleration,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Cameron Benefit Plan or take any action to accelerate entitlement to benefits under any Cameron</w:t>
      </w:r>
    </w:p>
    <w:p>
      <w:pPr>
        <w:spacing w:after="0" w:line="117"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459"/>
          </w:cols>
          <w:pgMar w:left="1161" w:top="125" w:right="279" w:bottom="1440" w:gutter="0" w:footer="0" w:header="0"/>
        </w:sectPr>
      </w:pPr>
    </w:p>
    <w:bookmarkStart w:id="58" w:name="page59"/>
    <w:bookmarkEnd w:id="58"/>
    <w:p>
      <w:pPr>
        <w:spacing w:after="0" w:line="283" w:lineRule="auto"/>
        <w:rPr>
          <w:sz w:val="20"/>
          <w:szCs w:val="20"/>
          <w:color w:val="auto"/>
        </w:rPr>
      </w:pPr>
      <w:r>
        <w:rPr>
          <w:rFonts w:ascii="Arial" w:cs="Arial" w:eastAsia="Arial" w:hAnsi="Arial"/>
          <w:sz w:val="16"/>
          <w:szCs w:val="16"/>
          <w:color w:val="auto"/>
        </w:rPr>
        <w:t xml:space="preserve">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Cameron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Cameron Benefit Plan, except as required by the terms of the Cameron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w:t>
      </w:r>
    </w:p>
    <w:p>
      <w:pPr>
        <w:spacing w:after="0" w:line="7" w:lineRule="exact"/>
        <w:rPr>
          <w:sz w:val="20"/>
          <w:szCs w:val="20"/>
          <w:color w:val="auto"/>
        </w:rPr>
      </w:pPr>
    </w:p>
    <w:p>
      <w:pPr>
        <w:ind w:left="260" w:hanging="259"/>
        <w:spacing w:after="0"/>
        <w:tabs>
          <w:tab w:leader="none" w:pos="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terminate the employment of any holder of a change-in-control agreement other than for “cause” (within the meaning of such agreement); or</w:t>
      </w:r>
    </w:p>
    <w:p>
      <w:pPr>
        <w:spacing w:after="0" w:line="32" w:lineRule="exact"/>
        <w:rPr>
          <w:rFonts w:ascii="Arial" w:cs="Arial" w:eastAsia="Arial" w:hAnsi="Arial"/>
          <w:sz w:val="16"/>
          <w:szCs w:val="16"/>
          <w:color w:val="auto"/>
        </w:rPr>
      </w:pPr>
    </w:p>
    <w:p>
      <w:pPr>
        <w:ind w:left="340" w:hanging="339"/>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execute or amend any collective bargaining agreement with any labor organization except in the ordinary course of business;</w:t>
      </w:r>
    </w:p>
    <w:p>
      <w:pPr>
        <w:spacing w:after="0" w:line="102" w:lineRule="exact"/>
        <w:rPr>
          <w:rFonts w:ascii="Arial" w:cs="Arial" w:eastAsia="Arial" w:hAnsi="Arial"/>
          <w:sz w:val="18"/>
          <w:szCs w:val="18"/>
          <w:color w:val="auto"/>
        </w:rPr>
      </w:pPr>
    </w:p>
    <w:p>
      <w:pPr>
        <w:ind w:right="100" w:firstLine="421"/>
        <w:spacing w:after="0" w:line="255" w:lineRule="auto"/>
        <w:tabs>
          <w:tab w:leader="none" w:pos="67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Cameron or any of its Subsidiaries, except for (1) dividends by any direct or indirect Subsidiary only to Cameron or any wholly owned Subsidiary of Cameron in the ordinary course of business consistent with past practice, (2) pro rata dividends by any Subsidiary of Cameron included in the Joint Venture, or (3) dividends or distributions required under the applicable organizational documents of such entity in effect on the date of this Agreement;</w:t>
      </w:r>
    </w:p>
    <w:p>
      <w:pPr>
        <w:spacing w:after="0" w:line="85" w:lineRule="exact"/>
        <w:rPr>
          <w:rFonts w:ascii="Arial" w:cs="Arial" w:eastAsia="Arial" w:hAnsi="Arial"/>
          <w:sz w:val="18"/>
          <w:szCs w:val="18"/>
          <w:color w:val="auto"/>
        </w:rPr>
      </w:pPr>
    </w:p>
    <w:p>
      <w:pPr>
        <w:jc w:val="both"/>
        <w:ind w:right="240" w:firstLine="421"/>
        <w:spacing w:after="0" w:line="264" w:lineRule="auto"/>
        <w:tabs>
          <w:tab w:leader="none" w:pos="725"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of Cameron’s or any of its Subsidiaries’ capital stock, or make any commitment for any such action other than pursuant to the Cameron Stock Plans and other than transactions between Cameron and its wholly owned Subsidiaries and transactions among Cameron’s wholly owned Subsidiaries;</w:t>
      </w:r>
    </w:p>
    <w:p>
      <w:pPr>
        <w:spacing w:after="0" w:line="73" w:lineRule="exact"/>
        <w:rPr>
          <w:rFonts w:ascii="Arial" w:cs="Arial" w:eastAsia="Arial" w:hAnsi="Arial"/>
          <w:sz w:val="18"/>
          <w:szCs w:val="18"/>
          <w:color w:val="auto"/>
        </w:rPr>
      </w:pPr>
    </w:p>
    <w:p>
      <w:pPr>
        <w:ind w:firstLine="421"/>
        <w:spacing w:after="0" w:line="297" w:lineRule="auto"/>
        <w:tabs>
          <w:tab w:leader="none" w:pos="775" w:val="left"/>
        </w:tabs>
        <w:numPr>
          <w:ilvl w:val="1"/>
          <w:numId w:val="71"/>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Cameron or its Subsidiaries (including capital stock of Subsidiaries), except for (1) sales, leases, licenses or other dispositions of assets or properties with a fair market value not in excess of $25 million in respect of any one asset or property and not in excess of $100 million in the aggregate, (2) sales of surplus or obsolete equipment, (3) sales, leases, licenses or other transfers between Cameron and its wholly owned Subsidiaries or between those Subsidiaries, or (4) sales of inventory, products and services and recognition of</w:t>
      </w:r>
    </w:p>
    <w:p>
      <w:pPr>
        <w:spacing w:after="0" w:line="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80"/>
          </w:cols>
          <w:pgMar w:left="1160" w:top="12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“lost-in-hole” products in the ordinary course of business consistent with past practice;</w:t>
      </w:r>
    </w:p>
    <w:p>
      <w:pPr>
        <w:spacing w:after="0" w:line="117" w:lineRule="exact"/>
        <w:rPr>
          <w:sz w:val="20"/>
          <w:szCs w:val="20"/>
          <w:color w:val="auto"/>
        </w:rPr>
      </w:pPr>
    </w:p>
    <w:p>
      <w:pPr>
        <w:ind w:right="280" w:firstLine="421"/>
        <w:spacing w:after="0" w:line="259" w:lineRule="auto"/>
        <w:tabs>
          <w:tab w:leader="none" w:pos="8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for consideration in excess of $50 million in respect of any one acquisition or for aggregate consideration for all such acquisitions in excess of $100 million;</w:t>
      </w:r>
    </w:p>
    <w:p>
      <w:pPr>
        <w:spacing w:after="0" w:line="78" w:lineRule="exact"/>
        <w:rPr>
          <w:rFonts w:ascii="Arial" w:cs="Arial" w:eastAsia="Arial" w:hAnsi="Arial"/>
          <w:sz w:val="18"/>
          <w:szCs w:val="18"/>
          <w:color w:val="auto"/>
        </w:rPr>
      </w:pPr>
    </w:p>
    <w:p>
      <w:pPr>
        <w:ind w:right="140" w:firstLine="421"/>
        <w:spacing w:after="0" w:line="286" w:lineRule="auto"/>
        <w:tabs>
          <w:tab w:leader="none" w:pos="72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enter into any joint venture, partnership or other similar arrangement or make any loan, capital contribution or advance to or investment in any other person (other than Cameron or any wholly owned Subsidiary of Cameron) other than in the ordinary course of business consistent with past practice in an amount not exceeding $20 million individually or $50 million in the aggregate;</w:t>
      </w:r>
    </w:p>
    <w:p>
      <w:pPr>
        <w:spacing w:after="0" w:line="57" w:lineRule="exact"/>
        <w:rPr>
          <w:rFonts w:ascii="Arial" w:cs="Arial" w:eastAsia="Arial" w:hAnsi="Arial"/>
          <w:sz w:val="17"/>
          <w:szCs w:val="17"/>
          <w:color w:val="auto"/>
        </w:rPr>
      </w:pPr>
    </w:p>
    <w:p>
      <w:pPr>
        <w:ind w:right="20" w:firstLine="421"/>
        <w:spacing w:after="0" w:line="279" w:lineRule="auto"/>
        <w:tabs>
          <w:tab w:leader="none" w:pos="6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other than in the ordinary course of business, sell, transfer or license to any person, covenant not to sue regarding, or adversely amend or modify any rights (1) to any material Intellectual Property Rights of Cameron or any of its Subsidiaries or (2) distribute, license or co-promote products or services (including products or services under development) of Cameron or any of its Subsidiaries or products or services (including products or services under development) licensed by Cameron or any of its Subsidiaries;</w:t>
      </w:r>
    </w:p>
    <w:p>
      <w:pPr>
        <w:spacing w:after="0" w:line="63" w:lineRule="exact"/>
        <w:rPr>
          <w:rFonts w:ascii="Arial" w:cs="Arial" w:eastAsia="Arial" w:hAnsi="Arial"/>
          <w:sz w:val="17"/>
          <w:szCs w:val="17"/>
          <w:color w:val="auto"/>
        </w:rPr>
      </w:pPr>
    </w:p>
    <w:p>
      <w:pPr>
        <w:ind w:right="800" w:firstLine="421"/>
        <w:spacing w:after="0" w:line="277" w:lineRule="auto"/>
        <w:tabs>
          <w:tab w:leader="none" w:pos="7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any changes with respect to financial accounting policies or procedures, except as required by changes in GAAP or by Applicable Law;</w:t>
      </w:r>
    </w:p>
    <w:p>
      <w:pPr>
        <w:spacing w:after="0" w:line="62" w:lineRule="exact"/>
        <w:rPr>
          <w:rFonts w:ascii="Arial" w:cs="Arial" w:eastAsia="Arial" w:hAnsi="Arial"/>
          <w:sz w:val="18"/>
          <w:szCs w:val="18"/>
          <w:color w:val="auto"/>
        </w:rPr>
      </w:pPr>
    </w:p>
    <w:p>
      <w:pPr>
        <w:ind w:firstLine="421"/>
        <w:spacing w:after="0" w:line="271" w:lineRule="auto"/>
        <w:tabs>
          <w:tab w:leader="none" w:pos="7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to the extent required by Applicable Law, (A) make or rescind any election relating to Taxes, including elections for any and all joint ventures, partnerships, limited liability companies, working interests or other investments, (B) settle or compromise any claim, action, suit, litigation, proceeding, arbitration, investigation, audit or controversy (including by entering into any closing agreement) (each, a “</w:t>
      </w:r>
      <w:r>
        <w:rPr>
          <w:rFonts w:ascii="Arial" w:cs="Arial" w:eastAsia="Arial" w:hAnsi="Arial"/>
          <w:sz w:val="17"/>
          <w:szCs w:val="17"/>
          <w:b w:val="1"/>
          <w:bCs w:val="1"/>
          <w:color w:val="auto"/>
        </w:rPr>
        <w:t>Proceeding</w:t>
      </w:r>
      <w:r>
        <w:rPr>
          <w:rFonts w:ascii="Arial" w:cs="Arial" w:eastAsia="Arial" w:hAnsi="Arial"/>
          <w:sz w:val="17"/>
          <w:szCs w:val="17"/>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(F) file any amended Return or (G) extend the statute of limitations with respect to any tax period, in each case of clauses (A) through (G), if such action would have an adverse effect on Cameron and its Subsidiaries that is material;</w:t>
      </w:r>
    </w:p>
    <w:p>
      <w:pPr>
        <w:spacing w:after="0" w:line="70" w:lineRule="exact"/>
        <w:rPr>
          <w:rFonts w:ascii="Arial" w:cs="Arial" w:eastAsia="Arial" w:hAnsi="Arial"/>
          <w:sz w:val="17"/>
          <w:szCs w:val="17"/>
          <w:color w:val="auto"/>
        </w:rPr>
      </w:pPr>
    </w:p>
    <w:p>
      <w:pPr>
        <w:ind w:firstLine="421"/>
        <w:spacing w:after="0" w:line="277" w:lineRule="auto"/>
        <w:tabs>
          <w:tab w:leader="none" w:pos="8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settle or compromise any material Proceeding, enter into any consent, decree, injunction or similar restraint or form of equitable relief in settlement of any material Proceeding or waive, release or assign any rights or</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480"/>
          </w:cols>
          <w:pgMar w:left="1160" w:top="125" w:right="259" w:bottom="1440" w:gutter="0" w:footer="0" w:header="0"/>
        </w:sectPr>
      </w:pPr>
    </w:p>
    <w:bookmarkStart w:id="60" w:name="page61"/>
    <w:bookmarkEnd w:id="60"/>
    <w:p>
      <w:pPr>
        <w:ind w:right="120"/>
        <w:spacing w:after="0" w:line="277" w:lineRule="auto"/>
        <w:rPr>
          <w:sz w:val="20"/>
          <w:szCs w:val="20"/>
          <w:color w:val="auto"/>
        </w:rPr>
      </w:pPr>
      <w:r>
        <w:rPr>
          <w:rFonts w:ascii="Arial" w:cs="Arial" w:eastAsia="Arial" w:hAnsi="Arial"/>
          <w:sz w:val="18"/>
          <w:szCs w:val="18"/>
          <w:color w:val="auto"/>
        </w:rPr>
        <w:t>claims for amounts (net of any reasonably expected insurance or indemnification proceeds) greater than $10 million individually or $30 million in the aggregate;</w:t>
      </w:r>
    </w:p>
    <w:p>
      <w:pPr>
        <w:spacing w:after="0" w:line="62" w:lineRule="exact"/>
        <w:rPr>
          <w:sz w:val="20"/>
          <w:szCs w:val="20"/>
          <w:color w:val="auto"/>
        </w:rPr>
      </w:pPr>
    </w:p>
    <w:p>
      <w:pPr>
        <w:ind w:firstLine="421"/>
        <w:spacing w:after="0" w:line="285" w:lineRule="auto"/>
        <w:tabs>
          <w:tab w:leader="none" w:pos="815" w:val="left"/>
        </w:tabs>
        <w:numPr>
          <w:ilvl w:val="1"/>
          <w:numId w:val="73"/>
        </w:numPr>
        <w:rPr>
          <w:rFonts w:ascii="Arial" w:cs="Arial" w:eastAsia="Arial" w:hAnsi="Arial"/>
          <w:sz w:val="16"/>
          <w:szCs w:val="16"/>
          <w:color w:val="auto"/>
        </w:rPr>
      </w:pPr>
      <w:r>
        <w:rPr>
          <w:rFonts w:ascii="Arial" w:cs="Arial" w:eastAsia="Arial" w:hAnsi="Arial"/>
          <w:sz w:val="16"/>
          <w:szCs w:val="16"/>
          <w:color w:val="auto"/>
        </w:rPr>
        <w:t>create, incur or assume any Debt or guarantee any Debt of another person, issue or sell any debt securities or calls, options, warrants or other rights to acquire any debt securities of Cameron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Cameron’s existing credit facility, working capital facilities, or other existing similar lines of credit in the ordinary course of business, (2) other Debt not to exceed $100 million in the aggregate and</w:t>
      </w:r>
    </w:p>
    <w:p>
      <w:pPr>
        <w:spacing w:after="0" w:line="2" w:lineRule="exact"/>
        <w:rPr>
          <w:rFonts w:ascii="Arial" w:cs="Arial" w:eastAsia="Arial" w:hAnsi="Arial"/>
          <w:sz w:val="16"/>
          <w:szCs w:val="16"/>
          <w:color w:val="auto"/>
        </w:rPr>
      </w:pPr>
    </w:p>
    <w:p>
      <w:pPr>
        <w:ind w:left="260" w:hanging="259"/>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intercompany Debt among Cameron and its Subsidiaries in the ordinary course of business consistent with past practice;</w:t>
      </w:r>
    </w:p>
    <w:p>
      <w:pPr>
        <w:spacing w:after="0" w:line="102" w:lineRule="exact"/>
        <w:rPr>
          <w:rFonts w:ascii="Arial" w:cs="Arial" w:eastAsia="Arial" w:hAnsi="Arial"/>
          <w:sz w:val="18"/>
          <w:szCs w:val="18"/>
          <w:color w:val="auto"/>
        </w:rPr>
      </w:pPr>
    </w:p>
    <w:p>
      <w:pPr>
        <w:ind w:right="60" w:firstLine="421"/>
        <w:spacing w:after="0" w:line="297" w:lineRule="auto"/>
        <w:tabs>
          <w:tab w:leader="none" w:pos="765"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Cameron or any of its Subsidiaries in accordance with their terms, as such loans become due and payable or payment of Debt in accordance with its terms or (3) repayments of indebtedness by a Subsidiary of Cameron to Cameron or its wholly 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50" w:lineRule="exact"/>
        <w:rPr>
          <w:rFonts w:ascii="Arial" w:cs="Arial" w:eastAsia="Arial" w:hAnsi="Arial"/>
          <w:sz w:val="16"/>
          <w:szCs w:val="16"/>
          <w:color w:val="auto"/>
        </w:rPr>
      </w:pPr>
    </w:p>
    <w:p>
      <w:pPr>
        <w:ind w:right="440" w:firstLine="421"/>
        <w:spacing w:after="0" w:line="277" w:lineRule="auto"/>
        <w:tabs>
          <w:tab w:leader="none" w:pos="8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in the ordinary course of business;</w:t>
      </w:r>
    </w:p>
    <w:p>
      <w:pPr>
        <w:spacing w:after="0" w:line="62" w:lineRule="exact"/>
        <w:rPr>
          <w:rFonts w:ascii="Arial" w:cs="Arial" w:eastAsia="Arial" w:hAnsi="Arial"/>
          <w:sz w:val="18"/>
          <w:szCs w:val="18"/>
          <w:color w:val="auto"/>
        </w:rPr>
      </w:pPr>
    </w:p>
    <w:p>
      <w:pPr>
        <w:ind w:right="40" w:firstLine="421"/>
        <w:spacing w:after="0" w:line="308" w:lineRule="auto"/>
        <w:tabs>
          <w:tab w:leader="none" w:pos="865" w:val="left"/>
        </w:tabs>
        <w:numPr>
          <w:ilvl w:val="1"/>
          <w:numId w:val="74"/>
        </w:numPr>
        <w:rPr>
          <w:rFonts w:ascii="Arial" w:cs="Arial" w:eastAsia="Arial" w:hAnsi="Arial"/>
          <w:sz w:val="17"/>
          <w:szCs w:val="17"/>
          <w:color w:val="auto"/>
        </w:rPr>
      </w:pPr>
      <w:r>
        <w:rPr>
          <w:rFonts w:ascii="Arial" w:cs="Arial" w:eastAsia="Arial" w:hAnsi="Arial"/>
          <w:sz w:val="17"/>
          <w:szCs w:val="17"/>
          <w:color w:val="auto"/>
        </w:rPr>
        <w:t>except for capital expenditures consistent in all material respects with the capital budget previously made available to Schlumberger, make, authorize or enter into any commitment for any capital expenditures in excess of $25 million in the aggregate;</w:t>
      </w:r>
    </w:p>
    <w:p>
      <w:pPr>
        <w:spacing w:after="0" w:line="38" w:lineRule="exact"/>
        <w:rPr>
          <w:rFonts w:ascii="Arial" w:cs="Arial" w:eastAsia="Arial" w:hAnsi="Arial"/>
          <w:sz w:val="17"/>
          <w:szCs w:val="17"/>
          <w:color w:val="auto"/>
        </w:rPr>
      </w:pPr>
    </w:p>
    <w:p>
      <w:pPr>
        <w:ind w:right="40" w:firstLine="421"/>
        <w:spacing w:after="0" w:line="259" w:lineRule="auto"/>
        <w:tabs>
          <w:tab w:leader="none" w:pos="9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Cameron and its Subsidiaries or (3) enter into any new agreement that constitutes a Material Contract;</w:t>
      </w:r>
    </w:p>
    <w:p>
      <w:pPr>
        <w:spacing w:after="0" w:line="78" w:lineRule="exact"/>
        <w:rPr>
          <w:rFonts w:ascii="Arial" w:cs="Arial" w:eastAsia="Arial" w:hAnsi="Arial"/>
          <w:sz w:val="18"/>
          <w:szCs w:val="18"/>
          <w:color w:val="auto"/>
        </w:rPr>
      </w:pPr>
    </w:p>
    <w:p>
      <w:pPr>
        <w:ind w:right="100" w:firstLine="421"/>
        <w:spacing w:after="0" w:line="259" w:lineRule="auto"/>
        <w:tabs>
          <w:tab w:leader="none" w:pos="8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Cameron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460"/>
          </w:cols>
          <w:pgMar w:left="1160" w:top="125" w:right="279" w:bottom="1440" w:gutter="0" w:footer="0" w:header="0"/>
        </w:sectPr>
      </w:pPr>
    </w:p>
    <w:bookmarkStart w:id="61" w:name="page62"/>
    <w:bookmarkEnd w:id="61"/>
    <w:p>
      <w:pPr>
        <w:ind w:left="900" w:right="420" w:firstLine="421"/>
        <w:spacing w:after="0" w:line="277" w:lineRule="auto"/>
        <w:tabs>
          <w:tab w:leader="none" w:pos="16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Cameron or any of its Subsidiaries;</w:t>
      </w:r>
    </w:p>
    <w:p>
      <w:pPr>
        <w:spacing w:after="0" w:line="62" w:lineRule="exact"/>
        <w:rPr>
          <w:rFonts w:ascii="Arial" w:cs="Arial" w:eastAsia="Arial" w:hAnsi="Arial"/>
          <w:sz w:val="18"/>
          <w:szCs w:val="18"/>
          <w:color w:val="auto"/>
        </w:rPr>
      </w:pPr>
    </w:p>
    <w:p>
      <w:pPr>
        <w:ind w:left="900" w:right="40" w:firstLine="421"/>
        <w:spacing w:after="0" w:line="273" w:lineRule="auto"/>
        <w:tabs>
          <w:tab w:leader="none" w:pos="1715" w:val="left"/>
        </w:tabs>
        <w:numPr>
          <w:ilvl w:val="1"/>
          <w:numId w:val="75"/>
        </w:numPr>
        <w:rPr>
          <w:rFonts w:ascii="Arial" w:cs="Arial" w:eastAsia="Arial" w:hAnsi="Arial"/>
          <w:sz w:val="17"/>
          <w:szCs w:val="17"/>
          <w:color w:val="auto"/>
        </w:rPr>
      </w:pPr>
      <w:r>
        <w:rPr>
          <w:rFonts w:ascii="Arial" w:cs="Arial" w:eastAsia="Arial" w:hAnsi="Arial"/>
          <w:sz w:val="17"/>
          <w:szCs w:val="17"/>
          <w:color w:val="auto"/>
        </w:rPr>
        <w:t>(1) adjust, reclassify, split, combine, subdivide or repurchase, redeem or otherwise acquire, directly or indirectly, any shares of capital stock or other equity interest of Cameron or any of its Subsidiaries or securities convertible or exchangeable into or exercisable for any shares of capital stock or other equity interest of Cameron or any of its Subsidiaries (except for any adjustment, reclassifications, stock splits, repurchases, redemptions or other acquisitions by Cameron or any of its wholly owned Subsidiaries of capital stock or equity interests of wholly owned Subsidiaries of Cameron), or (2) purchase or otherwise acquire, directly or indirectly, any of the capital stock of Schlumberger or securities convertible or exchangeable into or exercisable for any shares of capital stock of Schlumberger;</w:t>
      </w:r>
    </w:p>
    <w:p>
      <w:pPr>
        <w:spacing w:after="0" w:line="70" w:lineRule="exact"/>
        <w:rPr>
          <w:rFonts w:ascii="Arial" w:cs="Arial" w:eastAsia="Arial" w:hAnsi="Arial"/>
          <w:sz w:val="17"/>
          <w:szCs w:val="17"/>
          <w:color w:val="auto"/>
        </w:rPr>
      </w:pPr>
    </w:p>
    <w:p>
      <w:pPr>
        <w:ind w:left="1760" w:hanging="439"/>
        <w:spacing w:after="0"/>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00" w:right="260" w:firstLine="421"/>
        <w:spacing w:after="0" w:line="264" w:lineRule="auto"/>
        <w:tabs>
          <w:tab w:leader="none" w:pos="181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(1) result in the failure of a condition set forth in Section 9.1 or Section 9.3, or (2) prevent, materially delay or materially impede the consummation of the Merger and the other transactions contemplated by this Agreement;</w:t>
      </w:r>
    </w:p>
    <w:p>
      <w:pPr>
        <w:spacing w:after="0" w:line="73" w:lineRule="exact"/>
        <w:rPr>
          <w:rFonts w:ascii="Arial" w:cs="Arial" w:eastAsia="Arial" w:hAnsi="Arial"/>
          <w:sz w:val="18"/>
          <w:szCs w:val="18"/>
          <w:color w:val="auto"/>
        </w:rPr>
      </w:pPr>
    </w:p>
    <w:p>
      <w:pPr>
        <w:ind w:left="900" w:firstLine="421"/>
        <w:spacing w:after="0" w:line="264" w:lineRule="auto"/>
        <w:tabs>
          <w:tab w:leader="none" w:pos="180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760" w:hanging="439"/>
        <w:spacing w:after="0"/>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rFonts w:ascii="Arial" w:cs="Arial" w:eastAsia="Arial" w:hAnsi="Arial"/>
          <w:sz w:val="18"/>
          <w:szCs w:val="18"/>
          <w:color w:val="auto"/>
        </w:rPr>
      </w:pPr>
    </w:p>
    <w:p>
      <w:pPr>
        <w:ind w:left="-20" w:firstLine="921"/>
        <w:spacing w:after="0" w:line="257" w:lineRule="auto"/>
        <w:tabs>
          <w:tab w:leader="none" w:pos="11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From the date of this Agreement until the Effective Time, except (A) as otherwise expressly contemplated by this Agreement, (B) as Cameron may approve in writing (such approval not to be unreasonably withheld, conditioned or delayed), (C) as set forth in Section 8.1 of the Schlumberger Disclosure Letter, or (D) as required by Applicable Law, the business of Schlumberger, Schlumberger US, Merger Sub and their respective Subsidiaries shall be conducted in the ordinary course of business and Schlumberger US, Merger Sub and Schlumberger will not and will not permit any of their respective Subsidiaries to:</w:t>
      </w:r>
    </w:p>
    <w:p>
      <w:pPr>
        <w:spacing w:after="0" w:line="80" w:lineRule="exact"/>
        <w:rPr>
          <w:rFonts w:ascii="Arial" w:cs="Arial" w:eastAsia="Arial" w:hAnsi="Arial"/>
          <w:sz w:val="18"/>
          <w:szCs w:val="18"/>
          <w:color w:val="auto"/>
        </w:rPr>
      </w:pPr>
    </w:p>
    <w:p>
      <w:pPr>
        <w:ind w:left="900" w:right="40" w:firstLine="421"/>
        <w:spacing w:after="0" w:line="312" w:lineRule="auto"/>
        <w:tabs>
          <w:tab w:leader="none" w:pos="153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Cameron Common Stock relative to a holder of Schlumberger Common Stock or delay or impede the Merger or the other transactions contemplated by this Agreement;</w:t>
      </w:r>
    </w:p>
    <w:p>
      <w:pPr>
        <w:spacing w:after="0" w:line="38" w:lineRule="exact"/>
        <w:rPr>
          <w:rFonts w:ascii="Arial" w:cs="Arial" w:eastAsia="Arial" w:hAnsi="Arial"/>
          <w:sz w:val="16"/>
          <w:szCs w:val="16"/>
          <w:color w:val="auto"/>
        </w:rPr>
      </w:pPr>
    </w:p>
    <w:p>
      <w:pPr>
        <w:ind w:left="900" w:right="40" w:firstLine="421"/>
        <w:spacing w:after="0" w:line="277" w:lineRule="auto"/>
        <w:tabs>
          <w:tab w:leader="none" w:pos="158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60" w:top="125" w:right="259" w:bottom="1440" w:gutter="0" w:footer="0" w:header="0"/>
        </w:sectPr>
      </w:pPr>
    </w:p>
    <w:bookmarkStart w:id="62" w:name="page63"/>
    <w:bookmarkEnd w:id="62"/>
    <w:p>
      <w:pPr>
        <w:ind w:left="920" w:right="60"/>
        <w:spacing w:after="0" w:line="286" w:lineRule="auto"/>
        <w:rPr>
          <w:sz w:val="20"/>
          <w:szCs w:val="20"/>
          <w:color w:val="auto"/>
        </w:rPr>
      </w:pPr>
      <w:r>
        <w:rPr>
          <w:rFonts w:ascii="Arial" w:cs="Arial" w:eastAsia="Arial" w:hAnsi="Arial"/>
          <w:sz w:val="17"/>
          <w:szCs w:val="17"/>
          <w:color w:val="auto"/>
        </w:rPr>
        <w:t>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57" w:lineRule="exact"/>
        <w:rPr>
          <w:sz w:val="20"/>
          <w:szCs w:val="20"/>
          <w:color w:val="auto"/>
        </w:rPr>
      </w:pPr>
    </w:p>
    <w:p>
      <w:pPr>
        <w:ind w:left="920" w:right="60" w:firstLine="421"/>
        <w:spacing w:after="0" w:line="276" w:lineRule="auto"/>
        <w:tabs>
          <w:tab w:leader="none" w:pos="16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except in each case as would not disproportionately adversely affect a holder of Cameron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64" w:lineRule="exact"/>
        <w:rPr>
          <w:rFonts w:ascii="Arial" w:cs="Arial" w:eastAsia="Arial" w:hAnsi="Arial"/>
          <w:sz w:val="17"/>
          <w:szCs w:val="17"/>
          <w:color w:val="auto"/>
        </w:rPr>
      </w:pPr>
    </w:p>
    <w:p>
      <w:pPr>
        <w:ind w:left="920" w:right="420" w:firstLine="421"/>
        <w:spacing w:after="0" w:line="257" w:lineRule="auto"/>
        <w:tabs>
          <w:tab w:leader="none" w:pos="16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or payment (whether in cash, equity interests or property or any combination thereof) with respect to shares of Schlumberger Common Stock, except for (1) regular quarterly cash dividends on shares of Schlumberger’s Common Stock with declaration, record and payment dates reasonably consistent with Schlumberger’s past practice for the comparable quarter or (2) dividends of equity interests or property for which an adjustment to the Exchange Ratio and the Per Share Cash Amount has been effected pursuant to Section 4.3;</w:t>
      </w:r>
    </w:p>
    <w:p>
      <w:pPr>
        <w:spacing w:after="0" w:line="80" w:lineRule="exact"/>
        <w:rPr>
          <w:rFonts w:ascii="Arial" w:cs="Arial" w:eastAsia="Arial" w:hAnsi="Arial"/>
          <w:sz w:val="18"/>
          <w:szCs w:val="18"/>
          <w:color w:val="auto"/>
        </w:rPr>
      </w:pPr>
    </w:p>
    <w:p>
      <w:pPr>
        <w:ind w:left="920" w:right="240" w:firstLine="421"/>
        <w:spacing w:after="0" w:line="264" w:lineRule="auto"/>
        <w:tabs>
          <w:tab w:leader="none" w:pos="15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(A) result in the failure of any condition set forth in Section 9.1 or Section 9.2, or (B) prevent, materially delay or materially impede the consummation of the Merger and the other transactions contemplated by this Agreement;</w:t>
      </w:r>
    </w:p>
    <w:p>
      <w:pPr>
        <w:spacing w:after="0" w:line="73" w:lineRule="exact"/>
        <w:rPr>
          <w:rFonts w:ascii="Arial" w:cs="Arial" w:eastAsia="Arial" w:hAnsi="Arial"/>
          <w:sz w:val="18"/>
          <w:szCs w:val="18"/>
          <w:color w:val="auto"/>
        </w:rPr>
      </w:pPr>
    </w:p>
    <w:p>
      <w:pPr>
        <w:ind w:left="920" w:firstLine="421"/>
        <w:spacing w:after="0" w:line="264" w:lineRule="auto"/>
        <w:tabs>
          <w:tab w:leader="none" w:pos="16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700" w:hanging="359"/>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Cameron Stockholders Meeting</w:t>
      </w:r>
      <w:r>
        <w:rPr>
          <w:rFonts w:ascii="Arial" w:cs="Arial" w:eastAsia="Arial" w:hAnsi="Arial"/>
          <w:sz w:val="16"/>
          <w:szCs w:val="16"/>
          <w:color w:val="auto"/>
        </w:rPr>
        <w:t>. As promptly as reasonably practicable after the registration statement on Form S-4 to be filed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SEC by Schlumberger in connection with the issuance of shares of Schlumberger Common Stock in the Merger (with any amendments or supplements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thereto, the “</w:t>
      </w:r>
      <w:r>
        <w:rPr>
          <w:rFonts w:ascii="Arial" w:cs="Arial" w:eastAsia="Arial" w:hAnsi="Arial"/>
          <w:sz w:val="17"/>
          <w:szCs w:val="17"/>
          <w:b w:val="1"/>
          <w:bCs w:val="1"/>
          <w:color w:val="auto"/>
        </w:rPr>
        <w:t>Form S-4</w:t>
      </w:r>
      <w:r>
        <w:rPr>
          <w:rFonts w:ascii="Arial" w:cs="Arial" w:eastAsia="Arial" w:hAnsi="Arial"/>
          <w:sz w:val="17"/>
          <w:szCs w:val="17"/>
          <w:color w:val="auto"/>
        </w:rPr>
        <w:t>”) is declared effective under the Securities Act, Cameron shall (i) duly call and give notice of a meeting of its stockholders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Cameron Stockholders Meeting</w:t>
      </w:r>
      <w:r>
        <w:rPr>
          <w:rFonts w:ascii="Arial" w:cs="Arial" w:eastAsia="Arial" w:hAnsi="Arial"/>
          <w:sz w:val="16"/>
          <w:szCs w:val="16"/>
          <w:color w:val="auto"/>
        </w:rPr>
        <w:t>”) for the purpose of obtaining the Cameron Stockholder Approval, (ii) use its reasonable best efforts to cause the proxy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to be 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mailed to Cameron’s stockholders as soon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63" w:name="page64"/>
    <w:bookmarkEnd w:id="63"/>
    <w:p>
      <w:pPr>
        <w:ind w:right="20"/>
        <w:spacing w:after="0" w:line="287" w:lineRule="auto"/>
        <w:rPr>
          <w:sz w:val="20"/>
          <w:szCs w:val="20"/>
          <w:color w:val="auto"/>
        </w:rPr>
      </w:pPr>
      <w:r>
        <w:rPr>
          <w:rFonts w:ascii="Arial" w:cs="Arial" w:eastAsia="Arial" w:hAnsi="Arial"/>
          <w:sz w:val="16"/>
          <w:szCs w:val="16"/>
          <w:color w:val="auto"/>
        </w:rPr>
        <w:t xml:space="preserve">practicable after the Form S-4 is declared effective under the Securities Act, (iii) include the Cameron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Cameron Board shall not be required to make such Cameron Recommendation to the extent that the Cameron Board has complied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requirements of Section 8.3(b), and (iv) convene and hold the Cameron Stockholders Meeting for the purpose of obtaining the Cameron Stockholder Approval. Cameron shall otherwise coordinate and cooperate with Schlumberger and its affiliates with respect to the timing of the Cameron Stockholders Meeting and will otherwise comply with all legal requirements applicable to the Cameron Stockholders Meeting. Once the Cameron Stockholders Meeting has been called and noticed, Cameron shall not postpone or adjourn the Cameron Stockholders Meeting without the consent of Schlumberger (which consent shall not be unreasonably withheld or delayed), other than to the extent necessary (i) for the absence of a quorum or (ii) to allow reasonable additional time for the filing and mailing of any supplemental or amended disclosure that the Cameron Board has determined in good faith after consultation with outside counsel is necessary under Applicable Law and for such supplemental or amended disclosure to be disseminated and reviewed by Cameron’s stockholders prior to the Cameron Stockholders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Cameron Stockholders Meeting is delayed to a date after the Termination Date as a result of either (i) or (ii) above, then Schlumberger may extend the Termination Date to the fifth business day after such date.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8" w:val="left"/>
        </w:tabs>
        <w:numPr>
          <w:ilvl w:val="0"/>
          <w:numId w:val="78"/>
        </w:numPr>
        <w:rPr>
          <w:rFonts w:ascii="Arial" w:cs="Arial" w:eastAsia="Arial" w:hAnsi="Arial"/>
          <w:sz w:val="17"/>
          <w:szCs w:val="17"/>
          <w:color w:val="auto"/>
        </w:rPr>
      </w:pPr>
      <w:r>
        <w:rPr>
          <w:rFonts w:ascii="Arial" w:cs="Arial" w:eastAsia="Arial" w:hAnsi="Arial"/>
          <w:sz w:val="17"/>
          <w:szCs w:val="17"/>
          <w:color w:val="auto"/>
        </w:rPr>
        <w:t>Cameron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7"/>
          <w:szCs w:val="17"/>
          <w:b w:val="1"/>
          <w:bCs w:val="1"/>
          <w:color w:val="auto"/>
        </w:rPr>
        <w:t>Representatives</w:t>
      </w:r>
      <w:r>
        <w:rPr>
          <w:rFonts w:ascii="Arial" w:cs="Arial" w:eastAsia="Arial" w:hAnsi="Arial"/>
          <w:sz w:val="17"/>
          <w:szCs w:val="17"/>
          <w:color w:val="auto"/>
        </w:rPr>
        <w:t>”) not to, directly or indirectly, (i) take any action to solicit, initiate, knowingly encourage or knowingly facilitate the making, submission or announcement of any Acquisition Proposal or any inquiry with respect thereto, or engage in, continue or otherwise participate in discussions or negotiations with any person with respect thereto (except to notify such person of the existence of the provisions of this Section 8.3), (ii) furnish any nonpublic information or afford access to properties, books or records to any person that has made or, to the knowledge of Cameron,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8.3), or (iv) propose publicly or agree to do any of the foregoing.</w:t>
      </w:r>
    </w:p>
    <w:p>
      <w:pPr>
        <w:spacing w:after="0" w:line="17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Notwithstanding the foregoing, prior to (but not after) the occurrence of the Cameron Stockholder Approval, Cameron may, directly or indirectly through its Representatives (A) contact any person making an Acquisition Proposal to clarify the terms and conditions thereof or to inform such person that any Acquisition Proposal made orally can only be considered if made in writing, (B) furnish information and access, but only in response to a written request for information or access, to any person making an Acquisition Proposal to the Cameron Board after the date hereof which was not solicited, initiated, knowingly encouraged or knowingly facilitated by Cameron or any of its affiliates or any Representative of Cameron or any of its Subsidiaries on or after the date hereof and (C) participate in discussions and negotiate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with such person concerning any such unsolicited Acquisition Proposal, if and only if, in any such case set forth in clause (B) or (C) of this sentence,</w:t>
      </w:r>
    </w:p>
    <w:p>
      <w:pPr>
        <w:spacing w:after="0" w:line="35" w:lineRule="exact"/>
        <w:rPr>
          <w:sz w:val="20"/>
          <w:szCs w:val="20"/>
          <w:color w:val="auto"/>
        </w:rPr>
      </w:pPr>
    </w:p>
    <w:p>
      <w:pPr>
        <w:ind w:firstLine="8"/>
        <w:spacing w:after="0" w:line="268" w:lineRule="auto"/>
        <w:tabs>
          <w:tab w:leader="none" w:pos="2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Cameron has not breached this Section 8.3(a) in any material respect with respect to such Acquisition Proposal, (ii) the Cameron Board concludes in good faith, after receipt of the advice of a financial advisor of nationally recognized reputation and outside legal counsel, that such Acquisition Proposal is reasonably likely to result in a Superior Proposal, and (iii) Cameron receives from the person making such an Acquisition Proposal an executed confidentiality agreement the material terms of which, as they relate to confidentiality, are (without regard to the terms of such Acquisition Proposal) in all material respects (x) no less favorable in the aggregate to Cameron and (y) no less restrictive in the aggregate to the person making such Acquisition Proposal than those contained in the Confidentiality Agreement dated June 11, 2015 between a subsidiary of Schlumberger and Cameron (the “</w:t>
      </w:r>
      <w:r>
        <w:rPr>
          <w:rFonts w:ascii="Arial" w:cs="Arial" w:eastAsia="Arial" w:hAnsi="Arial"/>
          <w:sz w:val="17"/>
          <w:szCs w:val="17"/>
          <w:b w:val="1"/>
          <w:bCs w:val="1"/>
          <w:color w:val="auto"/>
        </w:rPr>
        <w:t>Confidentiality</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 for the avoidance of doubt, any such confidentiality agreement need not include explicit or implicit standstill restrictions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 the making of or amendment or modification to any Acquisition Proposal, and any information provided to such person has previously been provided to Schlumberger or is provided to Schlumberger substantially concurrently with its provision to such person.</w:t>
      </w:r>
    </w:p>
    <w:p>
      <w:pPr>
        <w:spacing w:after="0" w:line="182" w:lineRule="exact"/>
        <w:rPr>
          <w:rFonts w:ascii="Arial" w:cs="Arial" w:eastAsia="Arial" w:hAnsi="Arial"/>
          <w:sz w:val="17"/>
          <w:szCs w:val="17"/>
          <w:color w:val="auto"/>
        </w:rPr>
      </w:pPr>
    </w:p>
    <w:p>
      <w:pPr>
        <w:ind w:right="100" w:firstLine="921"/>
        <w:spacing w:after="0" w:line="285" w:lineRule="auto"/>
        <w:tabs>
          <w:tab w:leader="none" w:pos="1168" w:val="left"/>
        </w:tabs>
        <w:numPr>
          <w:ilvl w:val="1"/>
          <w:numId w:val="79"/>
        </w:numPr>
        <w:rPr>
          <w:rFonts w:ascii="Arial" w:cs="Arial" w:eastAsia="Arial" w:hAnsi="Arial"/>
          <w:sz w:val="16"/>
          <w:szCs w:val="16"/>
          <w:color w:val="auto"/>
        </w:rPr>
      </w:pPr>
      <w:r>
        <w:rPr>
          <w:rFonts w:ascii="Arial" w:cs="Arial" w:eastAsia="Arial" w:hAnsi="Arial"/>
          <w:sz w:val="16"/>
          <w:szCs w:val="16"/>
          <w:color w:val="auto"/>
        </w:rPr>
        <w:t>Except as expressly permitted by this Section 8.3(b), the Cameron Board shall recommend approval and adoption of this Agreement and the Merger by Cameron’s stockholders, and unless permitted by this Section 8.3(b), neither the Cameron Board nor any committee thereof shall (i) fail to make, withdraw, modify or qualify, or propose publicly to withhold, withdraw, modify or qualify, in any manner adverse to Schlumberger or its affiliates, the approval of this Agreement, the Merger or the Cameron Recommendation, except for notice provided to Schlumberger with respect to such Acquisition Proposal and Cameron’s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300" w:firstLine="8"/>
        <w:spacing w:after="0" w:line="273" w:lineRule="auto"/>
        <w:tabs>
          <w:tab w:leader="none" w:pos="2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Cameron Board or any committee thereof of an Acquisition Proposal, but shall not include any notice provided to Schlumberger with respect to such Acquisition Proposal and Cameron’s views thereof prior to any definitive Change in Recommendation.</w:t>
      </w:r>
    </w:p>
    <w:p>
      <w:pPr>
        <w:spacing w:after="0" w:line="177"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Notwithstanding the foregoing, the Cameron Board shall be permitted not to recommend to Cameron’s stockholders that they give the Cameron Stockholder Approval, to withhold, withdraw, modify or qualify, or propose to publicly withhold, withdraw, modify or qualify, in a manner adverse to Schlumberger or its affiliates the Cameron Recommendation, or to approve, endorse or recommend, or propose publicly to approve, endorse or recommend, any Acquisition Proposal, only if and to the extent that all of the following conditions are met: (i) the Cameron Stockholder Approval has not been obtained;</w:t>
      </w:r>
    </w:p>
    <w:p>
      <w:pPr>
        <w:spacing w:after="0" w:line="2" w:lineRule="exact"/>
        <w:rPr>
          <w:sz w:val="20"/>
          <w:szCs w:val="20"/>
          <w:color w:val="auto"/>
        </w:rPr>
      </w:pPr>
    </w:p>
    <w:p>
      <w:pPr>
        <w:ind w:right="80" w:firstLine="8"/>
        <w:spacing w:after="0" w:line="253" w:lineRule="auto"/>
        <w:tabs>
          <w:tab w:leader="none" w:pos="2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Cameron Board determines in good faith, after consulting with outside legal counsel, that failure to so withhold, withdraw, modify or qualify the Cameron Recommendation would be inconsistent with the directors’ exercise of their fiduciary duties to stockholders under Applicable Law; and (iii) before taking any such action, Cameron promptly gives Schlumberger three business days written notice advising Schlumberger of the decision of the Cameron Board to take such 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 Change in Recommendation, unless this Agreement is terminated in accordance with the terms hereof, Cameron shall nevertheless submit this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65" w:name="page66"/>
    <w:bookmarkEnd w:id="65"/>
    <w:p>
      <w:pPr>
        <w:spacing w:after="0" w:line="269" w:lineRule="auto"/>
        <w:rPr>
          <w:sz w:val="20"/>
          <w:szCs w:val="20"/>
          <w:color w:val="auto"/>
        </w:rPr>
      </w:pPr>
      <w:r>
        <w:rPr>
          <w:rFonts w:ascii="Arial" w:cs="Arial" w:eastAsia="Arial" w:hAnsi="Arial"/>
          <w:sz w:val="17"/>
          <w:szCs w:val="17"/>
          <w:color w:val="auto"/>
        </w:rPr>
        <w:t>Agreement and the Merger to the stockholders of Cameron for the purpose of obtaining the Cameron Stockholder Approval at the Cameron Stockholders Meeting and nothing contained herein shall be deemed to relieve Cameron of such obligation, unless Schlumberger otherwise directs Cameron in writing or this Agreement shall have been terminated in accordance with its terms prior to the Cameron Stockholders Meeting. In addition, notwithstanding the foregoing, Cameron may terminate this Agreement, upon payment of the Cameron Termination Fee in accordance with Section 10.5(a), in order to enter into any agreement, understanding or arrangement providing for an Acquisition Proposal if all of the following conditions are met: (x) the Cameron Stockholder Approval has not been obtained, (y) Cameron gives Schlumberger written notice at least three business days prior to taking such action, which notice advises Schlumberger of the intention of the Cameron Board to take such action and such notice specifies the material terms and conditions of such Acquisition Proposal and identifies the person making such Acquisition Proposal (provided that if there are any subsequent changes in the financial terms of such proposal, Cameron will not take any such action prior to the second business day following a subsequent notice to Schlumberger of such changes) (it being understood that there may be multiple extensions); and (z) the Cameron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80" w:lineRule="exact"/>
        <w:rPr>
          <w:sz w:val="20"/>
          <w:szCs w:val="20"/>
          <w:color w:val="auto"/>
        </w:rPr>
      </w:pPr>
    </w:p>
    <w:p>
      <w:pPr>
        <w:ind w:right="80" w:firstLine="921"/>
        <w:spacing w:after="0" w:line="255" w:lineRule="auto"/>
        <w:tabs>
          <w:tab w:leader="none" w:pos="11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Cameron receives an Acquisition Proposal, or any request for nonpublic information relating to Cameron or any Subsidiary of Cameron or for access to the properties, books or records of Cameron or any Subsidiary of Cameron by any person that has made or, to the knowledge of Cameron, would reasonably be expected to make, an Acquisition Proposal, Cameron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89"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Subject to Schlumberger’s rights under Article 10, nothing in this Section 8.3 shall prohibit the Cameron Board from taking and disclosing to Cameron’s stockholders a position contemplated by Rule 14e-2(a), Rule 14d-9 or Item 1012(a) of Regulation M-A promulgated under the Exchange Act, or other Applicable Law, if the Cameron Board, after consultation with outside legal counsel, determines in good faith that the failure to so disclose such position would reasonably be expected to be inconsistent with the directors’ exercise of their fiduciary obligations to Cameron’s stockholders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Cameron Board may only make a Change in Recommendation to the extent that the Cameron Board has complied with the requirements of Section 8.3(b).</w:t>
      </w:r>
    </w:p>
    <w:p>
      <w:pPr>
        <w:spacing w:after="0" w:line="193" w:lineRule="exact"/>
        <w:rPr>
          <w:rFonts w:ascii="Arial" w:cs="Arial" w:eastAsia="Arial" w:hAnsi="Arial"/>
          <w:sz w:val="18"/>
          <w:szCs w:val="18"/>
          <w:color w:val="auto"/>
        </w:rPr>
      </w:pPr>
    </w:p>
    <w:p>
      <w:pPr>
        <w:ind w:right="20" w:firstLine="921"/>
        <w:spacing w:after="0" w:line="312" w:lineRule="auto"/>
        <w:tabs>
          <w:tab w:leader="none" w:pos="1158"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Cameron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 For purposes of this Agreement:</w:t>
      </w:r>
    </w:p>
    <w:p>
      <w:pPr>
        <w:spacing w:after="0" w:line="2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any bona fide written offer or proposal for, or any bona fide written indication of interest in, any (i) direct or indirect acquisition or purchase of any business or assets of Cameron or any of its Subsidiaries that, individually or in the aggregate, constitutes 33% or more of the net revenues, net income or assets of Cameron and its Subsidiaries, taken as a whole, (ii) direct or indirect acquisition or purchase of 33% or more of any class of equity securities of Cameron, (iii) tender offer or exchange offer that, if consummated, would result in any person beneficially owning 33% or more of any class of equity securities of Cameron, or (iv)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2" w:lineRule="exact"/>
        <w:rPr>
          <w:sz w:val="20"/>
          <w:szCs w:val="20"/>
          <w:color w:val="auto"/>
        </w:rPr>
      </w:pPr>
    </w:p>
    <w:p>
      <w:pPr>
        <w:ind w:right="20" w:firstLine="913"/>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any bona fide written Acquisition Proposal for or in respect of at least a majority of the outstanding shares of Cameron Common Stock or all or substantially all of Cameron’s and its Subsidiaries’ assets (A) on terms that the Cameron Board determines in its good faith judgment (after consultation with a financial advisor of nationally recognized reputation and outside legal counsel) are more favorable to Cameron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72" w:lineRule="exact"/>
        <w:rPr>
          <w:sz w:val="20"/>
          <w:szCs w:val="20"/>
          <w:color w:val="auto"/>
        </w:rPr>
      </w:pPr>
    </w:p>
    <w:p>
      <w:pPr>
        <w:ind w:right="580" w:firstLine="921"/>
        <w:spacing w:after="0" w:line="308" w:lineRule="auto"/>
        <w:tabs>
          <w:tab w:leader="none" w:pos="1168" w:val="left"/>
        </w:tabs>
        <w:numPr>
          <w:ilvl w:val="0"/>
          <w:numId w:val="83"/>
        </w:numPr>
        <w:rPr>
          <w:rFonts w:ascii="Arial" w:cs="Arial" w:eastAsia="Arial" w:hAnsi="Arial"/>
          <w:sz w:val="17"/>
          <w:szCs w:val="17"/>
          <w:color w:val="auto"/>
        </w:rPr>
      </w:pPr>
      <w:r>
        <w:rPr>
          <w:rFonts w:ascii="Arial" w:cs="Arial" w:eastAsia="Arial" w:hAnsi="Arial"/>
          <w:sz w:val="17"/>
          <w:szCs w:val="17"/>
          <w:color w:val="auto"/>
        </w:rPr>
        <w:t>Cameron agrees that it will take the necessary steps promptly to inform its Subsidiaries and its officers, directors, investment bankers, consultants, attorneys, accountants, agents and other representatives of the obligations undertaken in this Section 8.3.</w:t>
      </w:r>
    </w:p>
    <w:p>
      <w:pPr>
        <w:spacing w:after="0" w:line="14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i w:val="1"/>
          <w:iCs w:val="1"/>
          <w:color w:val="auto"/>
        </w:rPr>
        <w:t>Reasonable Best Efforts</w:t>
      </w:r>
      <w:r>
        <w:rPr>
          <w:rFonts w:ascii="Arial" w:cs="Arial" w:eastAsia="Arial" w:hAnsi="Arial"/>
          <w:sz w:val="17"/>
          <w:szCs w:val="17"/>
          <w:color w:val="auto"/>
        </w:rPr>
        <w:t>. Subject to Section 8.2 and Section 8.6,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67" w:name="page68"/>
    <w:bookmarkEnd w:id="67"/>
    <w:p>
      <w:pPr>
        <w:ind w:left="92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79" w:lineRule="auto"/>
        <w:tabs>
          <w:tab w:leader="none" w:pos="11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hereof, Schlumberger and Cameron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71" w:lineRule="exact"/>
        <w:rPr>
          <w:rFonts w:ascii="Arial" w:cs="Arial" w:eastAsia="Arial" w:hAnsi="Arial"/>
          <w:sz w:val="17"/>
          <w:szCs w:val="17"/>
          <w:color w:val="auto"/>
        </w:rPr>
      </w:pPr>
    </w:p>
    <w:p>
      <w:pPr>
        <w:ind w:right="40" w:firstLine="921"/>
        <w:spacing w:after="0" w:line="264"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Schlumberger and Cameron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81" w:lineRule="exact"/>
        <w:rPr>
          <w:rFonts w:ascii="Arial" w:cs="Arial" w:eastAsia="Arial" w:hAnsi="Arial"/>
          <w:sz w:val="18"/>
          <w:szCs w:val="18"/>
          <w:color w:val="auto"/>
        </w:rPr>
      </w:pPr>
    </w:p>
    <w:p>
      <w:pPr>
        <w:ind w:right="300" w:firstLine="921"/>
        <w:spacing w:after="0" w:line="302" w:lineRule="auto"/>
        <w:tabs>
          <w:tab w:leader="none" w:pos="11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Schlumberger and Cameron shall, as promptly as practicable after receipt thereof, provide the other party copies of any written comments, and advise the other party of any oral comments, received from the SEC with respect to the Proxy Statement/Prospectus. Schlumberger shall provide Cameron with a reasonable opportunity to review and comment on any amendment or supplement to the Form S-4 and any communications prior to filing such with the SEC, and will promptly provide Cameron with a copy of all such filings and communications made with the SEC.</w:t>
      </w:r>
    </w:p>
    <w:p>
      <w:pPr>
        <w:spacing w:after="0" w:line="154" w:lineRule="exact"/>
        <w:rPr>
          <w:rFonts w:ascii="Arial" w:cs="Arial" w:eastAsia="Arial" w:hAnsi="Arial"/>
          <w:sz w:val="16"/>
          <w:szCs w:val="16"/>
          <w:color w:val="auto"/>
        </w:rPr>
      </w:pPr>
    </w:p>
    <w:p>
      <w:pPr>
        <w:ind w:firstLine="921"/>
        <w:spacing w:after="0" w:line="255"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Cameron shall furnish all information concerning Cameron and the holders of Cameron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89" w:lineRule="exact"/>
        <w:rPr>
          <w:rFonts w:ascii="Arial" w:cs="Arial" w:eastAsia="Arial" w:hAnsi="Arial"/>
          <w:sz w:val="18"/>
          <w:szCs w:val="18"/>
          <w:color w:val="auto"/>
        </w:rPr>
      </w:pPr>
    </w:p>
    <w:p>
      <w:pPr>
        <w:ind w:firstLine="921"/>
        <w:spacing w:after="0" w:line="273" w:lineRule="auto"/>
        <w:tabs>
          <w:tab w:leader="none" w:pos="11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Schlumberger or Cameron, or any of their respective affiliates, officers or directors, should be discovered by Schlumberger or Cameron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Cameron.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8" w:name="page69"/>
    <w:bookmarkEnd w:id="68"/>
    <w:p>
      <w:pPr>
        <w:ind w:firstLine="921"/>
        <w:spacing w:after="0" w:line="288" w:lineRule="auto"/>
        <w:tabs>
          <w:tab w:leader="none" w:pos="11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including the limitations set forth in Section 8.6(d), each of the parties hereto shall, and each of Cameron and Schlumberger shall cause each of its Subsidiaries to,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under Applicable Law to consummate and make effective the Merger and the other transactions contemplated hereby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hereby and (iv) the execution and delivery of any additional instruments reasonably necessary to consummate the transactions contemplated hereby.</w:t>
      </w:r>
    </w:p>
    <w:p>
      <w:pPr>
        <w:spacing w:after="0" w:line="169" w:lineRule="exact"/>
        <w:rPr>
          <w:rFonts w:ascii="Arial" w:cs="Arial" w:eastAsia="Arial" w:hAnsi="Arial"/>
          <w:sz w:val="16"/>
          <w:szCs w:val="16"/>
          <w:color w:val="auto"/>
        </w:rPr>
      </w:pPr>
    </w:p>
    <w:p>
      <w:pPr>
        <w:ind w:right="120" w:firstLine="921"/>
        <w:spacing w:after="0" w:line="277" w:lineRule="auto"/>
        <w:tabs>
          <w:tab w:leader="none" w:pos="11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Section 8.6(c) and the other terms and conditions herein provided and without limiting the foregoing, Cameron and Schlumberger shall (and shall cause their respective Subsidiaries to):</w:t>
      </w:r>
    </w:p>
    <w:p>
      <w:pPr>
        <w:spacing w:after="0" w:line="62" w:lineRule="exact"/>
        <w:rPr>
          <w:rFonts w:ascii="Arial" w:cs="Arial" w:eastAsia="Arial" w:hAnsi="Arial"/>
          <w:sz w:val="18"/>
          <w:szCs w:val="18"/>
          <w:color w:val="auto"/>
        </w:rPr>
      </w:pPr>
    </w:p>
    <w:p>
      <w:pPr>
        <w:ind w:left="920" w:right="20" w:firstLine="421"/>
        <w:spacing w:after="0" w:line="272" w:lineRule="auto"/>
        <w:tabs>
          <w:tab w:leader="none" w:pos="1555" w:val="left"/>
        </w:tabs>
        <w:numPr>
          <w:ilvl w:val="1"/>
          <w:numId w:val="85"/>
        </w:numPr>
        <w:rPr>
          <w:rFonts w:ascii="Arial" w:cs="Arial" w:eastAsia="Arial" w:hAnsi="Arial"/>
          <w:sz w:val="17"/>
          <w:szCs w:val="17"/>
          <w:color w:val="auto"/>
        </w:rPr>
      </w:pPr>
      <w:r>
        <w:rPr>
          <w:rFonts w:ascii="Arial" w:cs="Arial" w:eastAsia="Arial" w:hAnsi="Arial"/>
          <w:sz w:val="17"/>
          <w:szCs w:val="17"/>
          <w:color w:val="auto"/>
        </w:rPr>
        <w:t>make their respective required filings (and filings reasonably determined by Schlumberger after consultation with Cameron to be advisable) under the HSR Act, the EC Merger Regulation and any other Regulatory Laws (and shall share equally all filing fees incident thereto), which filings shall be made as promptly as practicable, but in no event later than 20 business days after the date hereof with respect to the filing under the HSR Act, and thereafter shall promptly make any other required submissions under the HSR Act or other such laws; without limiting the generality of the foregoing, each party shall use its reasonable best efforts to respond to and comply promptly with and expeditiously achieve substantial compliance with any request for information regarding the Merger or any such filings for any Governmental Entity charged with enforcing, applying, administering, or investigating any Regulatory Law;</w:t>
      </w:r>
    </w:p>
    <w:p>
      <w:pPr>
        <w:spacing w:after="0" w:line="69" w:lineRule="exact"/>
        <w:rPr>
          <w:rFonts w:ascii="Arial" w:cs="Arial" w:eastAsia="Arial" w:hAnsi="Arial"/>
          <w:sz w:val="17"/>
          <w:szCs w:val="17"/>
          <w:color w:val="auto"/>
        </w:rPr>
      </w:pPr>
    </w:p>
    <w:p>
      <w:pPr>
        <w:ind w:left="920" w:right="140" w:firstLine="421"/>
        <w:spacing w:after="0" w:line="257" w:lineRule="auto"/>
        <w:tabs>
          <w:tab w:leader="none" w:pos="16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use their reasonable best efforts to cooperate with one another in (A) determining as promptly as practicable which filings are required (or reasonably determined by Schlumberger after consultation with Cameron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80" w:lineRule="exact"/>
        <w:rPr>
          <w:rFonts w:ascii="Arial" w:cs="Arial" w:eastAsia="Arial" w:hAnsi="Arial"/>
          <w:sz w:val="18"/>
          <w:szCs w:val="18"/>
          <w:color w:val="auto"/>
        </w:rPr>
      </w:pPr>
    </w:p>
    <w:p>
      <w:pPr>
        <w:ind w:left="920" w:right="280" w:firstLine="421"/>
        <w:spacing w:after="0" w:line="264" w:lineRule="auto"/>
        <w:tabs>
          <w:tab w:leader="none" w:pos="1655"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9" w:name="page70"/>
    <w:bookmarkEnd w:id="69"/>
    <w:p>
      <w:pPr>
        <w:ind w:left="900" w:right="440"/>
        <w:spacing w:after="0" w:line="312" w:lineRule="auto"/>
        <w:rPr>
          <w:sz w:val="20"/>
          <w:szCs w:val="20"/>
          <w:color w:val="auto"/>
        </w:rPr>
      </w:pPr>
      <w:r>
        <w:rPr>
          <w:rFonts w:ascii="Arial" w:cs="Arial" w:eastAsia="Arial" w:hAnsi="Arial"/>
          <w:sz w:val="16"/>
          <w:szCs w:val="16"/>
          <w:color w:val="auto"/>
        </w:rPr>
        <w:t>Agreement, the Merger or the other transactions contemplated by this Agreement to any Governmental Entity; it being understood that correspondence, filings and communications received from any Governmental Entity shall be immediately provided to the other party upon receipt, subject in appropriate cases to appropriate confidentiality agreements to limit disclosure to outside lawyers and consultants;</w:t>
      </w:r>
    </w:p>
    <w:p>
      <w:pPr>
        <w:spacing w:after="0" w:line="39" w:lineRule="exact"/>
        <w:rPr>
          <w:sz w:val="20"/>
          <w:szCs w:val="20"/>
          <w:color w:val="auto"/>
        </w:rPr>
      </w:pPr>
    </w:p>
    <w:p>
      <w:pPr>
        <w:ind w:left="900" w:firstLine="421"/>
        <w:spacing w:after="0" w:line="293" w:lineRule="auto"/>
        <w:tabs>
          <w:tab w:leader="none" w:pos="1625"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not participate or agree to participate in any meeting or substantive discussion (including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subject in appropriate cases to appropriate confidentiality agreements to limit disclosure to outside lawyers and consultants, unless the Governmental Entity prohibits such attendance;</w:t>
      </w:r>
    </w:p>
    <w:p>
      <w:pPr>
        <w:spacing w:after="0" w:line="56" w:lineRule="exact"/>
        <w:rPr>
          <w:rFonts w:ascii="Arial" w:cs="Arial" w:eastAsia="Arial" w:hAnsi="Arial"/>
          <w:sz w:val="16"/>
          <w:szCs w:val="16"/>
          <w:color w:val="auto"/>
        </w:rPr>
      </w:pPr>
    </w:p>
    <w:p>
      <w:pPr>
        <w:ind w:left="900" w:right="100" w:firstLine="421"/>
        <w:spacing w:after="0" w:line="259" w:lineRule="auto"/>
        <w:tabs>
          <w:tab w:leader="none" w:pos="1575" w:val="left"/>
        </w:tabs>
        <w:numPr>
          <w:ilvl w:val="1"/>
          <w:numId w:val="86"/>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and consult, of all correspondence, filings and communications (and memoranda setting forth the substance thereof) that they, their affiliates or their respective representatives intend to submit to any Governmental Entity;</w:t>
      </w:r>
    </w:p>
    <w:p>
      <w:pPr>
        <w:spacing w:after="0" w:line="78" w:lineRule="exact"/>
        <w:rPr>
          <w:rFonts w:ascii="Arial" w:cs="Arial" w:eastAsia="Arial" w:hAnsi="Arial"/>
          <w:sz w:val="18"/>
          <w:szCs w:val="18"/>
          <w:color w:val="auto"/>
        </w:rPr>
      </w:pPr>
    </w:p>
    <w:p>
      <w:pPr>
        <w:ind w:left="900" w:right="120" w:firstLine="421"/>
        <w:spacing w:after="0" w:line="279" w:lineRule="auto"/>
        <w:tabs>
          <w:tab w:leader="none" w:pos="1625" w:val="left"/>
        </w:tabs>
        <w:numPr>
          <w:ilvl w:val="1"/>
          <w:numId w:val="86"/>
        </w:numPr>
        <w:rPr>
          <w:rFonts w:ascii="Arial" w:cs="Arial" w:eastAsia="Arial" w:hAnsi="Arial"/>
          <w:sz w:val="17"/>
          <w:szCs w:val="17"/>
          <w:color w:val="auto"/>
        </w:rPr>
      </w:pPr>
      <w:r>
        <w:rPr>
          <w:rFonts w:ascii="Arial" w:cs="Arial" w:eastAsia="Arial" w:hAnsi="Arial"/>
          <w:sz w:val="17"/>
          <w:szCs w:val="17"/>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any filings necessary or appropriate under the provisions of Regulatory Laws; and</w:t>
      </w:r>
    </w:p>
    <w:p>
      <w:pPr>
        <w:spacing w:after="0" w:line="63" w:lineRule="exact"/>
        <w:rPr>
          <w:rFonts w:ascii="Arial" w:cs="Arial" w:eastAsia="Arial" w:hAnsi="Arial"/>
          <w:sz w:val="17"/>
          <w:szCs w:val="17"/>
          <w:color w:val="auto"/>
        </w:rPr>
      </w:pPr>
    </w:p>
    <w:p>
      <w:pPr>
        <w:ind w:left="1680" w:hanging="359"/>
        <w:spacing w:after="0"/>
        <w:tabs>
          <w:tab w:leader="none" w:pos="16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filing.</w:t>
      </w:r>
    </w:p>
    <w:p>
      <w:pPr>
        <w:spacing w:after="0" w:line="210" w:lineRule="exact"/>
        <w:rPr>
          <w:rFonts w:ascii="Arial" w:cs="Arial" w:eastAsia="Arial" w:hAnsi="Arial"/>
          <w:sz w:val="17"/>
          <w:szCs w:val="17"/>
          <w:color w:val="auto"/>
        </w:rPr>
      </w:pPr>
    </w:p>
    <w:p>
      <w:pPr>
        <w:ind w:left="-20" w:right="20" w:firstLine="921"/>
        <w:spacing w:after="0" w:line="255" w:lineRule="auto"/>
        <w:tabs>
          <w:tab w:leader="none" w:pos="11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8.6(a), Section 8.6(b), Section 8.6(d) and Section 8.6(e). Cameron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Cameron shall use its reasonable best efforts to provide full and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60" w:top="125" w:right="259" w:bottom="1440" w:gutter="0" w:footer="0" w:header="0"/>
        </w:sectPr>
      </w:pPr>
    </w:p>
    <w:bookmarkStart w:id="70" w:name="page71"/>
    <w:bookmarkEnd w:id="70"/>
    <w:p>
      <w:pPr>
        <w:ind w:right="680"/>
        <w:spacing w:after="0" w:line="277" w:lineRule="auto"/>
        <w:rPr>
          <w:sz w:val="20"/>
          <w:szCs w:val="20"/>
          <w:color w:val="auto"/>
        </w:rPr>
      </w:pPr>
      <w:r>
        <w:rPr>
          <w:rFonts w:ascii="Arial" w:cs="Arial" w:eastAsia="Arial" w:hAnsi="Arial"/>
          <w:sz w:val="18"/>
          <w:szCs w:val="18"/>
          <w:color w:val="auto"/>
        </w:rPr>
        <w:t>effective support of Schlumberger in all material respects in all such investigations, litigation, negotiations and discussions to the extent requested by Schlumberger.</w:t>
      </w:r>
    </w:p>
    <w:p>
      <w:pPr>
        <w:spacing w:after="0" w:line="170" w:lineRule="exact"/>
        <w:rPr>
          <w:sz w:val="20"/>
          <w:szCs w:val="20"/>
          <w:color w:val="auto"/>
        </w:rPr>
      </w:pPr>
    </w:p>
    <w:p>
      <w:pPr>
        <w:ind w:firstLine="921"/>
        <w:spacing w:after="0" w:line="285" w:lineRule="auto"/>
        <w:tabs>
          <w:tab w:leader="none" w:pos="1168"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Without limiting the foregoing, Schlumberger US, Merger Sub and Schlumberger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Agreement requires Schlumberger US, Merger Sub, Schlumberger or Cameron or their respective Subsidiaries to take, or cause to be taken, or agree to take, any action with respect to any of the assets, businesses or product lines of Cameron or any of its Subsidiaries (“</w:t>
      </w:r>
      <w:r>
        <w:rPr>
          <w:rFonts w:ascii="Arial" w:cs="Arial" w:eastAsia="Arial" w:hAnsi="Arial"/>
          <w:sz w:val="16"/>
          <w:szCs w:val="16"/>
          <w:b w:val="1"/>
          <w:bCs w:val="1"/>
          <w:color w:val="auto"/>
        </w:rPr>
        <w:t>Cameron Assets</w:t>
      </w:r>
      <w:r>
        <w:rPr>
          <w:rFonts w:ascii="Arial" w:cs="Arial" w:eastAsia="Arial" w:hAnsi="Arial"/>
          <w:sz w:val="16"/>
          <w:szCs w:val="16"/>
          <w:color w:val="auto"/>
        </w:rPr>
        <w:t>”), or of Schlumberger or any of its Subsidiaries (including the Surviving Entity) (“</w:t>
      </w:r>
      <w:r>
        <w:rPr>
          <w:rFonts w:ascii="Arial" w:cs="Arial" w:eastAsia="Arial" w:hAnsi="Arial"/>
          <w:sz w:val="16"/>
          <w:szCs w:val="16"/>
          <w:b w:val="1"/>
          <w:bCs w:val="1"/>
          <w:color w:val="auto"/>
        </w:rPr>
        <w:t>Schlumberger Assets</w:t>
      </w:r>
      <w:r>
        <w:rPr>
          <w:rFonts w:ascii="Arial" w:cs="Arial" w:eastAsia="Arial" w:hAnsi="Arial"/>
          <w:sz w:val="16"/>
          <w:szCs w:val="16"/>
          <w:color w:val="auto"/>
        </w:rPr>
        <w:t xml:space="preserve">”), or any combination thereof, if such action (whether taken with respect to Cameron Assets or Schlumberger Assets), individually or in the aggregate, would result in the divestiture, sale, hold separate, license or limitation of the conduct on business that, individually or taken together, would reasonably be expected to be material to Cameron and its Subsidiaries, taken as a whole;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Schlumberger be required to take or agree to take any action that would result in the divestiture, sale, hold separate, license or limitation of the conduct, in whole or in significant part, of OneSubsea. For purposes of the foregoing, any actions with respect to Schlumberger Assets will be deemed to be actions with respect to Cameron Assets of comparable size and importance. If requested by Schlumberger, Cameron will agree to and take any action contemplated by this Section 8.6(d),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consummation of any divestiture or the effectiveness of any other remedy is conditioned on the consummation of the Merger. The foregoing agreement in this section is made solely to facilitate the closing of the Merger and does not constitute a representation or admission that the Merger, if consummated without any modification, would violate any Regulatory Laws or that agreeing to any divestitures, hold separate conditions or other restrictions permitted herein or suggested by any person or authority acting under any Regulatory Law would not be harmful to the parties hereto.</w:t>
      </w:r>
    </w:p>
    <w:p>
      <w:pPr>
        <w:spacing w:after="0" w:line="172" w:lineRule="exact"/>
        <w:rPr>
          <w:rFonts w:ascii="Arial" w:cs="Arial" w:eastAsia="Arial" w:hAnsi="Arial"/>
          <w:sz w:val="16"/>
          <w:szCs w:val="16"/>
          <w:color w:val="auto"/>
        </w:rPr>
      </w:pPr>
    </w:p>
    <w:p>
      <w:pPr>
        <w:ind w:right="180" w:firstLine="921"/>
        <w:spacing w:after="0" w:line="290" w:lineRule="auto"/>
        <w:tabs>
          <w:tab w:leader="none" w:pos="11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but subject to the next sentence, Schlumberger shall have the right, but not the obligation, to oppose or refuse to consent to, through litigation or otherwise any request, attempt or demand by any Governmental Entity or other person for any divestiture, hold separate condition or any other restriction with respect to any assets, businesses or product lines of Schlumberger, Cameron or any of their respective Subsidiaries and shall have the obligation to defend any litigation instituted by a Governmental Entity or other person with respect to the legality of the Merger under applicable Regulatory Laws. In the event Schlumberger opposes or refuses to consent to, through litigation or otherwise, including any appeals, any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71" w:name="page72"/>
    <w:bookmarkEnd w:id="71"/>
    <w:p>
      <w:pPr>
        <w:ind w:right="280"/>
        <w:spacing w:after="0" w:line="276" w:lineRule="auto"/>
        <w:rPr>
          <w:sz w:val="20"/>
          <w:szCs w:val="20"/>
          <w:color w:val="auto"/>
        </w:rPr>
      </w:pPr>
      <w:r>
        <w:rPr>
          <w:rFonts w:ascii="Arial" w:cs="Arial" w:eastAsia="Arial" w:hAnsi="Arial"/>
          <w:sz w:val="17"/>
          <w:szCs w:val="17"/>
          <w:color w:val="auto"/>
        </w:rPr>
        <w:t>manner, as are necessary to achieve the clearance by or approval of the Governmental Entity and satisfaction of the condition set forth in Section 9.1(b), Section 9.1(c) and Section 9.1(d) (with respect to any Regulatory Law) or other person prior to the Termination Date, subject to the proviso in the first sentence of Section 8.6(d). If there is no decree, order or injunction restricting or prohibiting the Merger, but the decision of a Governmental Entity in litigation contemplated by this Section 8.6(e) is under appeal, Schlumberger shall have the right to elect, and Cameron shall have the obligation upon such election by Schlumberger, to proceed to close the Merger if the other conditions to Closing have been satisfied.</w:t>
      </w:r>
    </w:p>
    <w:p>
      <w:pPr>
        <w:spacing w:after="0" w:line="169" w:lineRule="exact"/>
        <w:rPr>
          <w:sz w:val="20"/>
          <w:szCs w:val="20"/>
          <w:color w:val="auto"/>
        </w:rPr>
      </w:pPr>
    </w:p>
    <w:p>
      <w:pPr>
        <w:ind w:right="20" w:firstLine="921"/>
        <w:spacing w:after="0" w:line="258" w:lineRule="auto"/>
        <w:tabs>
          <w:tab w:leader="none" w:pos="11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87" w:lineRule="exact"/>
        <w:rPr>
          <w:rFonts w:ascii="Arial" w:cs="Arial" w:eastAsia="Arial" w:hAnsi="Arial"/>
          <w:sz w:val="18"/>
          <w:szCs w:val="18"/>
          <w:color w:val="auto"/>
        </w:rPr>
      </w:pPr>
    </w:p>
    <w:p>
      <w:pPr>
        <w:ind w:right="100" w:firstLine="921"/>
        <w:spacing w:after="0" w:line="342" w:lineRule="auto"/>
        <w:tabs>
          <w:tab w:leader="none" w:pos="11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parties will cooperate and use their respective reasonable efforts to cooperate in identifying and obtaining any approvals or consents under any so called “transaction triggered” or “responsible property transfer” requirements under Environmental Laws necessary to consummate the Merger.</w:t>
      </w:r>
    </w:p>
    <w:p>
      <w:pPr>
        <w:spacing w:after="0" w:line="124"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or vesting, as applicable, of the Assumed Awards and the Schlumberger Stock Incentive Awards to be approved for listing on the NYSE, subject to official notice of issuance, prior to the Effective Time.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Cameron shall take all such steps as may be required to cause any dispositions of Cameron Common Stock (including derivative securities with respect to Cameron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Cameron, to be exempt under Rule 16b-3 promulgated under the Exchange Act.</w:t>
      </w:r>
    </w:p>
    <w:p>
      <w:pPr>
        <w:spacing w:after="0" w:line="18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i w:val="1"/>
          <w:iCs w:val="1"/>
          <w:color w:val="auto"/>
        </w:rPr>
        <w:t>Converted Options and Stock Incentive Awards</w:t>
      </w:r>
      <w:r>
        <w:rPr>
          <w:rFonts w:ascii="Arial" w:cs="Arial" w:eastAsia="Arial" w:hAnsi="Arial"/>
          <w:sz w:val="17"/>
          <w:szCs w:val="17"/>
          <w:color w:val="auto"/>
        </w:rPr>
        <w:t>. As of the Closing Date, to the extent necessary to provide for registration of shares of Schlumberger Common Stock subject to an Assumed Award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prospectuses, for so long as such Assumed Awards or Schlumberger Stock Incentive Awards remain outstanding.</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Inspection</w:t>
      </w:r>
      <w:r>
        <w:rPr>
          <w:rFonts w:ascii="Arial" w:cs="Arial" w:eastAsia="Arial" w:hAnsi="Arial"/>
          <w:sz w:val="16"/>
          <w:szCs w:val="16"/>
          <w:color w:val="auto"/>
        </w:rPr>
        <w:t xml:space="preserve">. From the date hereof to the Effective Time, each of Cameron on the one hand, and Schlumberger US, Merger Sub and Schlumberger on the other hand, shall allow designated officers, attorneys, 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8.10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Cameron on the one hand, nor Schlumberger US, Merger Sub or Schlumberger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8.10 for any purpose unrelated to the consummation of the Merger and the other transactions contemplated by this Agreement. All nonpublic information obtained pursuant to this Section 8.10 shall be governed by the Confidentiality Agreement.</w:t>
      </w:r>
    </w:p>
    <w:p>
      <w:pPr>
        <w:spacing w:after="0" w:line="17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Cameron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8.2, neither Schlumberger nor Cameron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Cameron agree to issue a mutually acceptable joint press release announcing this Agreement.</w:t>
      </w:r>
    </w:p>
    <w:p>
      <w:pPr>
        <w:spacing w:after="0" w:line="16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10.5,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5" w:right="299" w:bottom="1440" w:gutter="0" w:footer="0" w:header="0"/>
        </w:sectPr>
      </w:pPr>
    </w:p>
    <w:bookmarkStart w:id="73" w:name="page74"/>
    <w:bookmarkEnd w:id="73"/>
    <w:p>
      <w:pPr>
        <w:ind w:right="40" w:firstLine="913"/>
        <w:spacing w:after="0" w:line="255"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Charter Provisions; Takeover Laws</w:t>
      </w:r>
      <w:r>
        <w:rPr>
          <w:rFonts w:ascii="Arial" w:cs="Arial" w:eastAsia="Arial" w:hAnsi="Arial"/>
          <w:sz w:val="18"/>
          <w:szCs w:val="18"/>
          <w:color w:val="auto"/>
        </w:rPr>
        <w:t>. If (a) the restrictions on business combinations set forth in Article Fifth of Cameron’s certificate of incorporation or (b) any “fair price,” “moratorium,” “business combination,” or “control share acquisition” statute or other similar statute or regulation is or shall become applicable to the transactions contemplated by this Agreement, Cameron and the Cameron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9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i w:val="1"/>
          <w:iCs w:val="1"/>
          <w:color w:val="auto"/>
        </w:rPr>
        <w:t>Stockholder Litigation</w:t>
      </w:r>
      <w:r>
        <w:rPr>
          <w:rFonts w:ascii="Arial" w:cs="Arial" w:eastAsia="Arial" w:hAnsi="Arial"/>
          <w:sz w:val="17"/>
          <w:szCs w:val="17"/>
          <w:color w:val="auto"/>
        </w:rPr>
        <w:t>. Cameron shall give Schlumberger the opportunity to participate in the defense or settlement of any stockholder litigation against Cameron and/or its directors or officers relating to the transactions contemplated by this Agreement. Cameron agrees that it shall not settle or offer to settle any litigation commenced on or after the date hereof against Cameron or any of its directors or officers by any stockholder of Cameron relating to this Agreement, the Merger, any other transaction contemplated by this Agreement or otherwise, without the prior written consent of Schlumberger (such consent not to be unreasonably withheld, conditioned or delayed).</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8" w:lineRule="auto"/>
        <w:tabs>
          <w:tab w:leader="none" w:pos="1158" w:val="left"/>
        </w:tabs>
        <w:numPr>
          <w:ilvl w:val="0"/>
          <w:numId w:val="90"/>
        </w:numPr>
        <w:rPr>
          <w:rFonts w:ascii="Arial" w:cs="Arial" w:eastAsia="Arial" w:hAnsi="Arial"/>
          <w:sz w:val="17"/>
          <w:szCs w:val="17"/>
          <w:color w:val="auto"/>
        </w:rPr>
      </w:pPr>
      <w:r>
        <w:rPr>
          <w:rFonts w:ascii="Arial" w:cs="Arial" w:eastAsia="Arial" w:hAnsi="Arial"/>
          <w:sz w:val="17"/>
          <w:szCs w:val="17"/>
          <w:color w:val="auto"/>
        </w:rPr>
        <w:t>From and after the Effective Time, the Surviving Entity (i) shall indemnify, defend and hold harmless each person who is, or at any time prior to the Effective Time has been, a director, officer or employee of Cameron or any of its Subsidiaries and each person who is, or at any time prior to the Effective Time, served at the request of Cameron as a director, officer, employee or agent of another corporation or of a partnership, joint venture, trust or other enterprise, including service with respect to employee benefit plans (individually, an “</w:t>
      </w:r>
      <w:r>
        <w:rPr>
          <w:rFonts w:ascii="Arial" w:cs="Arial" w:eastAsia="Arial" w:hAnsi="Arial"/>
          <w:sz w:val="17"/>
          <w:szCs w:val="17"/>
          <w:b w:val="1"/>
          <w:bCs w:val="1"/>
          <w:color w:val="auto"/>
        </w:rPr>
        <w:t>Indemnified Party</w:t>
      </w:r>
      <w:r>
        <w:rPr>
          <w:rFonts w:ascii="Arial" w:cs="Arial" w:eastAsia="Arial" w:hAnsi="Arial"/>
          <w:sz w:val="17"/>
          <w:szCs w:val="17"/>
          <w:color w:val="auto"/>
        </w:rPr>
        <w:t>” and, collectively, the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Parties</w:t>
      </w:r>
      <w:r>
        <w:rPr>
          <w:rFonts w:ascii="Arial" w:cs="Arial" w:eastAsia="Arial" w:hAnsi="Arial"/>
          <w:sz w:val="17"/>
          <w:szCs w:val="17"/>
          <w:color w:val="auto"/>
        </w:rPr>
        <w:t>”) against all expense, liability and loss (including attorneys’ fees, judgments, fines, ERISA excise Taxes or penalties and amounts paid or to be paid</w:t>
      </w:r>
      <w:r>
        <w:rPr>
          <w:rFonts w:ascii="Arial" w:cs="Arial" w:eastAsia="Arial" w:hAnsi="Arial"/>
          <w:sz w:val="17"/>
          <w:szCs w:val="17"/>
          <w:b w:val="1"/>
          <w:bCs w:val="1"/>
          <w:color w:val="auto"/>
        </w:rPr>
        <w:t xml:space="preserve"> </w:t>
      </w:r>
      <w:r>
        <w:rPr>
          <w:rFonts w:ascii="Arial" w:cs="Arial" w:eastAsia="Arial" w:hAnsi="Arial"/>
          <w:sz w:val="17"/>
          <w:szCs w:val="17"/>
          <w:color w:val="auto"/>
        </w:rPr>
        <w:t>in settlement) reasonably incurred or suffered by such person in connection with any action, suit or proceeding, whether civil, criminal, administrative or investigative (an “</w:t>
      </w:r>
      <w:r>
        <w:rPr>
          <w:rFonts w:ascii="Arial" w:cs="Arial" w:eastAsia="Arial" w:hAnsi="Arial"/>
          <w:sz w:val="17"/>
          <w:szCs w:val="17"/>
          <w:b w:val="1"/>
          <w:bCs w:val="1"/>
          <w:color w:val="auto"/>
        </w:rPr>
        <w:t>Action</w:t>
      </w:r>
      <w:r>
        <w:rPr>
          <w:rFonts w:ascii="Arial" w:cs="Arial" w:eastAsia="Arial" w:hAnsi="Arial"/>
          <w:sz w:val="17"/>
          <w:szCs w:val="17"/>
          <w:color w:val="auto"/>
        </w:rPr>
        <w:t xml:space="preserve">”), by reason of the fact that such Indemnified Party is or was a director, officer, employee or agent of Cameron, any of its Subsidiaries or any such corporation, partnership, joint venture, trust or other enterprise, to the fullest extent permitted by Applicable Law, and (ii) without limitation to clause (i), to the fullest extent permitted by Applicable Law, shall also advance expenses as incurred to the same such extent;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person to whom fees and expenses are advanced shall, if required by Applicable Law, provide an undertaking to repay such advances if it is ultimately determined that such person is not entitled to indemnification;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Surviving Entity shall not be required to pay the fees and expenses of more than one counsel (which counsel shall be reasonably acceptable to Schlumberger) in addition to local counsel for all Indemnified Parties in any single Action unless, in the good faith judgment of any of the Indemnified Parties, there is or may be a conflict of interest between two or more of such Indemnified Parties.</w:t>
      </w:r>
    </w:p>
    <w:p>
      <w:pPr>
        <w:spacing w:after="0" w:line="185" w:lineRule="exact"/>
        <w:rPr>
          <w:rFonts w:ascii="Arial" w:cs="Arial" w:eastAsia="Arial" w:hAnsi="Arial"/>
          <w:sz w:val="17"/>
          <w:szCs w:val="17"/>
          <w:color w:val="auto"/>
        </w:rPr>
      </w:pPr>
    </w:p>
    <w:p>
      <w:pPr>
        <w:ind w:right="140" w:firstLine="921"/>
        <w:spacing w:after="0" w:line="277" w:lineRule="auto"/>
        <w:tabs>
          <w:tab w:leader="none" w:pos="11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or prior to the Effective Time, Cameron may purchase a “tail” directors’ and officers’ liability insurance policy covering the Indemnified Parties who are or at any time prior to the Effective Time covered by Cameron’s existing directors’ and officers’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74" w:name="page75"/>
    <w:bookmarkEnd w:id="74"/>
    <w:p>
      <w:pPr>
        <w:spacing w:after="0" w:line="253" w:lineRule="auto"/>
        <w:rPr>
          <w:sz w:val="20"/>
          <w:szCs w:val="20"/>
          <w:color w:val="auto"/>
        </w:rPr>
      </w:pPr>
      <w:r>
        <w:rPr>
          <w:rFonts w:ascii="Arial" w:cs="Arial" w:eastAsia="Arial" w:hAnsi="Arial"/>
          <w:sz w:val="18"/>
          <w:szCs w:val="18"/>
          <w:color w:val="auto"/>
        </w:rPr>
        <w:t xml:space="preserve">liability insurance policies for at least six years after the Effective Time on terms no less advantageous to the Indemnified Parties than such existing insurance,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premium thereof shall not exceed the amount specified in Section 8.15(b)(1) of the Cameron Disclosure Letter. If Cameron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such a policy, then for a period of six years after the Effective Time, the Surviving Entity shall cause to be maintained officers’ and directors’ liability insurance covering the Indemnified Parties who are, or at any time prior to the Effective Time were, covered by Cameron’s existing officers’ and directors’ liability insurance policies on terms substantially no less advantageous to the Indemnified Parties than such existing insurance,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Surviving Entity shall not be required to pay annual premiums in excess of 300% of the last annual premium paid by Cameron prior to the date hereof (the amount of which premium is set forth in Section 8.15(b)(2) of the Cameron Disclosure Letter), but in such case shall purchase as much coverage as reasonably practicable for such amount. In either case, Schlumberger US, Schlumberger and the Surviving Entity will maintain such policies in full force and effect and honor the obligations thereunder.</w:t>
      </w:r>
    </w:p>
    <w:p>
      <w:pPr>
        <w:spacing w:after="0" w:line="197" w:lineRule="exact"/>
        <w:rPr>
          <w:sz w:val="20"/>
          <w:szCs w:val="20"/>
          <w:color w:val="auto"/>
        </w:rPr>
      </w:pPr>
    </w:p>
    <w:p>
      <w:pPr>
        <w:ind w:firstLine="921"/>
        <w:spacing w:after="0" w:line="259" w:lineRule="auto"/>
        <w:tabs>
          <w:tab w:leader="none" w:pos="11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Schlumberger US,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8.15.</w:t>
      </w:r>
    </w:p>
    <w:p>
      <w:pPr>
        <w:spacing w:after="0" w:line="186" w:lineRule="exact"/>
        <w:rPr>
          <w:rFonts w:ascii="Arial" w:cs="Arial" w:eastAsia="Arial" w:hAnsi="Arial"/>
          <w:sz w:val="18"/>
          <w:szCs w:val="18"/>
          <w:color w:val="auto"/>
        </w:rPr>
      </w:pPr>
    </w:p>
    <w:p>
      <w:pPr>
        <w:ind w:firstLine="921"/>
        <w:spacing w:after="0" w:line="293" w:lineRule="auto"/>
        <w:tabs>
          <w:tab w:leader="none" w:pos="1168"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rights of any Indemnified Party under this Section 8.15 will be in addition to any other rights such Indemnified Party may have under the organizational documents of Cameron, the Surviving Entity or any Subsidiary of Cameron, indemnification or employment agreements with Cameron or any Subsidiary of Cameron or under the DGCL or other Applicable Law. The provisions of this Section 8.15 will survive the consummation of the transactions contemplated hereby for a period of six years and are expressly intended to benefit, and be enforceable by, each of the Indemnified Parties and their respective heirs and representatives; provided, however, that in the event that any claim or claims for indemnification set forth in this Section 8.15 are asserted or made within such six year period, all rights to indemnification in respect of any such claim or claims will continue until disposition of all such claims.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91" w:lineRule="auto"/>
        <w:tabs>
          <w:tab w:leader="none" w:pos="11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Cameron Benefit Plans and compensation arrangements and agreements in accordance with their terms as in effect immediately prior to the Effective Time, including terms related to the ability to amend or terminate such plans. For a period of one year following the Effective Time, Schlumberger shall provide, or shall cause to be provided, to each current and former employee of Cameron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compensation and benefits that are no less favorable, in the aggregate, than the compensation and benefits provided to each such Covered Employee immediately prior to the Effective Time. Without limiting the foregoing, Schlumberger shall provide, or cause to be provided, to any Covered Employee whose employment is terminated for reasons other than cause prior to the second anniversary of the Effective Time severance benefits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equal to the benefits provided under the applicable Cameron severance plan as in effect immediately prior to the date hereof.</w:t>
      </w:r>
    </w:p>
    <w:p>
      <w:pPr>
        <w:spacing w:after="0" w:line="225" w:lineRule="exact"/>
        <w:rPr>
          <w:sz w:val="20"/>
          <w:szCs w:val="20"/>
          <w:color w:val="auto"/>
        </w:rPr>
      </w:pPr>
    </w:p>
    <w:p>
      <w:pPr>
        <w:ind w:firstLine="921"/>
        <w:spacing w:after="0" w:line="285" w:lineRule="auto"/>
        <w:tabs>
          <w:tab w:leader="none" w:pos="1168"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or program eligibility or retiree welfare eligibility under any retiree welfare plan sponsored by Schlumberger or its Subsidiaries (other than under plans sponsored by Cameron and its Subsidiaries immediately prior to the Effective Date or a direct successor plan)) under the employee benefit plans of Schlumberger US,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Cameron and its Subsidiaries (and predecessors) prior to the Effective Time, to the same extent as such Covered Employee was entitled, prior to the Effective Time, to credit for such service under any similar Cameron employee benefit plan in which such Covered Employee participated or was eligible to participate immediately prior to the Effective Time (and to the extent there is no similar Cameron plan, service as recognized for purposes of Cameron’s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In addition, and without limiting the generality of the foregoing: (i) each Covered Employee shall be immediately eligible to participate, without any waiting time, in any and all New Plans for which the Covered Employee is otherwise made eligible to the extent coverage under such New Plan is comparable to a Cameron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Cameron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388" w:lineRule="exact"/>
        <w:rPr>
          <w:rFonts w:ascii="Arial" w:cs="Arial" w:eastAsia="Arial" w:hAnsi="Arial"/>
          <w:sz w:val="16"/>
          <w:szCs w:val="16"/>
          <w:color w:val="auto"/>
        </w:rPr>
      </w:pPr>
    </w:p>
    <w:p>
      <w:pPr>
        <w:ind w:right="440" w:firstLine="921"/>
        <w:spacing w:after="0" w:line="264" w:lineRule="auto"/>
        <w:tabs>
          <w:tab w:leader="none" w:pos="11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Schlumberger and Cameron hereby acknowledge that a “change of control” or “change in control” (or term of similar import) within the meaning of each of the Cameron Benefit Plans identified on Section 8.16(c) of the Cameron Disclosure Letter will occur at or immediately prior to the Effective Time, as applicable.</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Short-term incentive bonuses (i.e., bonuses in respect of a performance period of one year or less) shall be established and paid in accordance with Section 8.16(d) of the Cameron Disclosure Letter.</w:t>
      </w:r>
    </w:p>
    <w:p>
      <w:pPr>
        <w:spacing w:after="0" w:line="170"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respect to any Covered Employees based outside of the United States, Schlumberger’s obligations under this Section 8.16 shall be modified to the extent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necessary to comply with Applicable Laws of the foreign countries and political subdivisions thereof in which such Covered Employees are based.</w:t>
      </w:r>
    </w:p>
    <w:p>
      <w:pPr>
        <w:spacing w:after="0" w:line="237" w:lineRule="exact"/>
        <w:rPr>
          <w:sz w:val="20"/>
          <w:szCs w:val="20"/>
          <w:color w:val="auto"/>
        </w:rPr>
      </w:pPr>
    </w:p>
    <w:p>
      <w:pPr>
        <w:ind w:right="80" w:firstLine="921"/>
        <w:spacing w:after="0" w:line="264" w:lineRule="auto"/>
        <w:tabs>
          <w:tab w:leader="none" w:pos="1138"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8.16, to amend, terminate or otherwise modify any employee benefit plan following the Effective Time.</w:t>
      </w:r>
    </w:p>
    <w:p>
      <w:pPr>
        <w:spacing w:after="0" w:line="181" w:lineRule="exact"/>
        <w:rPr>
          <w:rFonts w:ascii="Arial" w:cs="Arial" w:eastAsia="Arial" w:hAnsi="Arial"/>
          <w:sz w:val="18"/>
          <w:szCs w:val="18"/>
          <w:color w:val="auto"/>
        </w:rPr>
      </w:pPr>
    </w:p>
    <w:p>
      <w:pPr>
        <w:ind w:firstLine="921"/>
        <w:spacing w:after="0" w:line="291" w:lineRule="auto"/>
        <w:tabs>
          <w:tab w:leader="none" w:pos="1168"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parties acknowledge and agree that all provisions contained in this Section 8.16 with respect to employees are included for the sole benefit of the parties to this Agreement, and that nothing in this Agreement, whether express or implied, shall create any third party beneficiary or other rights</w:t>
      </w:r>
    </w:p>
    <w:p>
      <w:pPr>
        <w:ind w:left="220" w:hanging="212"/>
        <w:spacing w:after="0"/>
        <w:tabs>
          <w:tab w:leader="none" w:pos="2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any other Person, including any employees, former employees, any participant in any Cameron Benefit Plan, or any dependent or beneficiary thereof,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continued employment with Schlumberger or any Subsidiary.</w:t>
      </w:r>
    </w:p>
    <w:p>
      <w:pPr>
        <w:spacing w:after="0" w:line="21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Obligations of Schlumberger US</w:t>
      </w:r>
      <w:r>
        <w:rPr>
          <w:rFonts w:ascii="Arial" w:cs="Arial" w:eastAsia="Arial" w:hAnsi="Arial"/>
          <w:sz w:val="18"/>
          <w:szCs w:val="18"/>
          <w:color w:val="auto"/>
        </w:rPr>
        <w:t>. Schlumberger shall take all action necessary to cause Schlumberger US to perform its obligations under this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62" w:lineRule="exact"/>
        <w:rPr>
          <w:sz w:val="20"/>
          <w:szCs w:val="20"/>
          <w:color w:val="auto"/>
        </w:rPr>
      </w:pPr>
    </w:p>
    <w:p>
      <w:pPr>
        <w:ind w:left="1140" w:hanging="237"/>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Cameron Stockholder Approval shall have been obtained.</w:t>
      </w:r>
    </w:p>
    <w:p>
      <w:pPr>
        <w:spacing w:after="0" w:line="117"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 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0"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9.1(c) of the Cameron Disclosure Letter shall have been obtained, except for those waiting and other time periods and clearances or approvals the failure of which to expire, lapse, terminate or be obtained would not reasonably be expected to have a Cameron Material Adverse Effect or a Schlumberger Material Adverse Effect (after giving effect to the Merger).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77" w:name="page78"/>
    <w:bookmarkEnd w:id="77"/>
    <w:p>
      <w:pPr>
        <w:ind w:left="460" w:firstLine="443"/>
        <w:spacing w:after="0" w:line="272" w:lineRule="auto"/>
        <w:tabs>
          <w:tab w:leader="none" w:pos="1153"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9.1(c) (a “</w:t>
      </w:r>
      <w:r>
        <w:rPr>
          <w:rFonts w:ascii="Arial" w:cs="Arial" w:eastAsia="Arial" w:hAnsi="Arial"/>
          <w:sz w:val="17"/>
          <w:szCs w:val="17"/>
          <w:b w:val="1"/>
          <w:bCs w:val="1"/>
          <w:color w:val="auto"/>
        </w:rPr>
        <w:t>9.1(c) Jurisdiction</w:t>
      </w:r>
      <w:r>
        <w:rPr>
          <w:rFonts w:ascii="Arial" w:cs="Arial" w:eastAsia="Arial" w:hAnsi="Arial"/>
          <w:sz w:val="17"/>
          <w:szCs w:val="17"/>
          <w:color w:val="auto"/>
        </w:rPr>
        <w:t xml:space="preserve">”) shall prohibit or enjoin the consummation of the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party attempting to invoke this condition to delay the Closing shall have complied with Section 8.4 and 8.6, and with respect to other matters not covered by Section 8.4 and 8.6,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 9.1(c) Jurisdiction which prohibits or makes unlawful the consummation of the Merger.</w:t>
      </w:r>
    </w:p>
    <w:p>
      <w:pPr>
        <w:spacing w:after="0" w:line="69" w:lineRule="exact"/>
        <w:rPr>
          <w:rFonts w:ascii="Arial" w:cs="Arial" w:eastAsia="Arial" w:hAnsi="Arial"/>
          <w:sz w:val="17"/>
          <w:szCs w:val="17"/>
          <w:color w:val="auto"/>
        </w:rPr>
      </w:pPr>
    </w:p>
    <w:p>
      <w:pPr>
        <w:ind w:left="460" w:right="80" w:firstLine="443"/>
        <w:spacing w:after="0" w:line="342" w:lineRule="auto"/>
        <w:tabs>
          <w:tab w:leader="none" w:pos="1143"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be in effect and no proceedings for that purpose shall have been initiated or threatened by the SEC.</w:t>
      </w:r>
    </w:p>
    <w:p>
      <w:pPr>
        <w:spacing w:after="0" w:line="15" w:lineRule="exact"/>
        <w:rPr>
          <w:rFonts w:ascii="Arial" w:cs="Arial" w:eastAsia="Arial" w:hAnsi="Arial"/>
          <w:sz w:val="16"/>
          <w:szCs w:val="16"/>
          <w:color w:val="auto"/>
        </w:rPr>
      </w:pPr>
    </w:p>
    <w:p>
      <w:pPr>
        <w:ind w:left="460" w:right="120" w:firstLine="443"/>
        <w:spacing w:after="0" w:line="277" w:lineRule="auto"/>
        <w:tabs>
          <w:tab w:leader="none" w:pos="11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in the Merger shall have been authorized for listing on the NYSE, subject to official notice of issuance.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 of Cameron to Effect the Merger</w:t>
      </w:r>
      <w:r>
        <w:rPr>
          <w:rFonts w:ascii="Arial" w:cs="Arial" w:eastAsia="Arial" w:hAnsi="Arial"/>
          <w:sz w:val="18"/>
          <w:szCs w:val="18"/>
          <w:color w:val="auto"/>
        </w:rPr>
        <w:t>. The obligation of Cameron to effect the Merger shall be subject to the satisfaction or waiver at or prior to the Closing Date of the following conditions:</w:t>
      </w:r>
    </w:p>
    <w:p>
      <w:pPr>
        <w:spacing w:after="0" w:line="62" w:lineRule="exact"/>
        <w:rPr>
          <w:sz w:val="20"/>
          <w:szCs w:val="20"/>
          <w:color w:val="auto"/>
        </w:rPr>
      </w:pPr>
    </w:p>
    <w:p>
      <w:pPr>
        <w:ind w:left="460" w:right="180" w:firstLine="443"/>
        <w:spacing w:after="0" w:line="312" w:lineRule="auto"/>
        <w:tabs>
          <w:tab w:leader="none" w:pos="1143"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Schlumberger US, Merger Sub and Schlumberger shall have performed, in all material respects, its covenants and agreements contained in this Agreement required to be performed on or prior to the Closing Date, and Cameron shall have received a certificate of Schlumberger, executed on its behalf by its President or one of its Vice Presidents, dated the Closing Date, certifying to such effect.</w:t>
      </w:r>
    </w:p>
    <w:p>
      <w:pPr>
        <w:spacing w:after="0" w:line="38" w:lineRule="exact"/>
        <w:rPr>
          <w:rFonts w:ascii="Arial" w:cs="Arial" w:eastAsia="Arial" w:hAnsi="Arial"/>
          <w:sz w:val="16"/>
          <w:szCs w:val="16"/>
          <w:color w:val="auto"/>
        </w:rPr>
      </w:pPr>
    </w:p>
    <w:p>
      <w:pPr>
        <w:ind w:left="460" w:firstLine="443"/>
        <w:spacing w:after="0" w:line="289"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US, Merger Sub and Schlumberger (i) in Section 6.3 and Section 7.3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6.3 and Section 7.3)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Section 6.9 and Section 7.9, “Schlumberger Material Adverse Effect” set forth therein) has not had or would not reasonably be expected to have, individually or in the aggregate, a Schlumberger Material Adverse Effect. Cameron shall have received a certificate of Schlumberger, executed on its behalf by its President or one of its Vice Presidents, dated the Closing Date, certifying to such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78" w:name="page79"/>
    <w:bookmarkEnd w:id="78"/>
    <w:p>
      <w:pPr>
        <w:ind w:right="60" w:firstLine="913"/>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 of Schlumberger to Effect the Merger</w:t>
      </w:r>
      <w:r>
        <w:rPr>
          <w:rFonts w:ascii="Arial" w:cs="Arial" w:eastAsia="Arial" w:hAnsi="Arial"/>
          <w:sz w:val="18"/>
          <w:szCs w:val="18"/>
          <w:color w:val="auto"/>
        </w:rPr>
        <w:t>. The obligations of Schlumberger US, Merger Sub and Schlumberger to effect the Merger shall be subject to the satisfaction or waiver at or prior to the Closing Date of the following conditions:</w:t>
      </w:r>
    </w:p>
    <w:p>
      <w:pPr>
        <w:spacing w:after="0" w:line="62" w:lineRule="exact"/>
        <w:rPr>
          <w:sz w:val="20"/>
          <w:szCs w:val="20"/>
          <w:color w:val="auto"/>
        </w:rPr>
      </w:pPr>
    </w:p>
    <w:p>
      <w:pPr>
        <w:ind w:left="460" w:firstLine="443"/>
        <w:spacing w:after="0" w:line="264"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Cameron shall have performed, in all material respects, its covenants and agreements contained in this Agreement required to be performed on or prior to the Closing Date, and Schlumberger shall have received a certificate of Cameron, executed on its behalf by its President or one of its Vice Presidents, dated the Closing Date, certifying to such effect.</w:t>
      </w:r>
    </w:p>
    <w:p>
      <w:pPr>
        <w:spacing w:after="0" w:line="73" w:lineRule="exact"/>
        <w:rPr>
          <w:rFonts w:ascii="Arial" w:cs="Arial" w:eastAsia="Arial" w:hAnsi="Arial"/>
          <w:sz w:val="18"/>
          <w:szCs w:val="18"/>
          <w:color w:val="auto"/>
        </w:rPr>
      </w:pPr>
    </w:p>
    <w:p>
      <w:pPr>
        <w:ind w:left="460" w:firstLine="443"/>
        <w:spacing w:after="0" w:line="270" w:lineRule="auto"/>
        <w:tabs>
          <w:tab w:leader="none" w:pos="115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representations and warranties of Cameron (i) in Section 5.3(a) and Section 5.3(c)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5.3(a) and Section 5.3(c))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the first sentence of Section 5.10, “Cameron Material Adverse Effect” set forth therein) has not had or would not reasonably be expected to have, individually or in the aggregate, a Cameron Material Adverse Effect. Schlumberger shall have received a certificate of Cameron, executed on its behalf by its President or one of its Vice Presidents, dated the Closing Date, certifying to such effect.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Termination by Mutual Consent</w:t>
      </w:r>
      <w:r>
        <w:rPr>
          <w:rFonts w:ascii="Arial" w:cs="Arial" w:eastAsia="Arial" w:hAnsi="Arial"/>
          <w:sz w:val="17"/>
          <w:szCs w:val="17"/>
          <w:color w:val="auto"/>
        </w:rPr>
        <w:t>. This Agreement may be terminated at any time prior to the Effective Time, whether before or after the receipt of the Cameron Stockholder Approval, by the mutual written consent of Cameron, Schlumberger US and Schlumberger.</w:t>
      </w:r>
    </w:p>
    <w:p>
      <w:pPr>
        <w:spacing w:after="0" w:line="147"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Termination by Schlumberger or Cameron</w:t>
      </w:r>
      <w:r>
        <w:rPr>
          <w:rFonts w:ascii="Arial" w:cs="Arial" w:eastAsia="Arial" w:hAnsi="Arial"/>
          <w:sz w:val="16"/>
          <w:szCs w:val="16"/>
          <w:color w:val="auto"/>
        </w:rPr>
        <w:t>. This Agreement may be terminated at any time prior to the Effective Time, whether before or after the receipt of the Cameron Stockholder Approval, by action of the Cameron Board or the Board of Directors of Schlumberger if:</w:t>
      </w:r>
    </w:p>
    <w:p>
      <w:pPr>
        <w:spacing w:after="0" w:line="12" w:lineRule="exact"/>
        <w:rPr>
          <w:sz w:val="20"/>
          <w:szCs w:val="20"/>
          <w:color w:val="auto"/>
        </w:rPr>
      </w:pPr>
    </w:p>
    <w:p>
      <w:pPr>
        <w:ind w:left="460" w:right="20" w:firstLine="443"/>
        <w:spacing w:after="0" w:line="303" w:lineRule="auto"/>
        <w:tabs>
          <w:tab w:leader="none" w:pos="114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Merger shall not have been consummated by August 25, 2016 (the “</w:t>
      </w:r>
      <w:r>
        <w:rPr>
          <w:rFonts w:ascii="Arial" w:cs="Arial" w:eastAsia="Arial" w:hAnsi="Arial"/>
          <w:sz w:val="16"/>
          <w:szCs w:val="16"/>
          <w:b w:val="1"/>
          <w:bCs w:val="1"/>
          <w:color w:val="auto"/>
        </w:rPr>
        <w:t>Initial Termination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10.2(a) shall not be available to any party whose failure to perform or observe in any material respect any of its 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9.1(b), (c) or (d) (but for</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79" w:name="page80"/>
    <w:bookmarkEnd w:id="79"/>
    <w:p>
      <w:pPr>
        <w:ind w:left="460" w:right="60"/>
        <w:spacing w:after="0" w:line="255" w:lineRule="auto"/>
        <w:rPr>
          <w:sz w:val="20"/>
          <w:szCs w:val="20"/>
          <w:color w:val="auto"/>
        </w:rPr>
      </w:pPr>
      <w:r>
        <w:rPr>
          <w:rFonts w:ascii="Arial" w:cs="Arial" w:eastAsia="Arial" w:hAnsi="Arial"/>
          <w:sz w:val="18"/>
          <w:szCs w:val="18"/>
          <w:color w:val="auto"/>
        </w:rPr>
        <w:t>purposes of Section 9.1(d)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Cameron by written notice to the other to a date not later than November 25, 2016. As used in this Agreement, the term “</w:t>
      </w:r>
      <w:r>
        <w:rPr>
          <w:rFonts w:ascii="Arial" w:cs="Arial" w:eastAsia="Arial" w:hAnsi="Arial"/>
          <w:sz w:val="18"/>
          <w:szCs w:val="18"/>
          <w:b w:val="1"/>
          <w:bCs w:val="1"/>
          <w:color w:val="auto"/>
        </w:rPr>
        <w:t>Termination Date</w:t>
      </w:r>
      <w:r>
        <w:rPr>
          <w:rFonts w:ascii="Arial" w:cs="Arial" w:eastAsia="Arial" w:hAnsi="Arial"/>
          <w:sz w:val="18"/>
          <w:szCs w:val="18"/>
          <w:color w:val="auto"/>
        </w:rPr>
        <w:t>” shall mean the Initial Termination Date, unless the Initial Termination Date has been extended pursuant to the last sentence of Section 8.2 or the foregoing proviso, in which case, the term “Termination Date” shall mean the date to which the Termination Date has been extended;</w:t>
      </w:r>
    </w:p>
    <w:p>
      <w:pPr>
        <w:spacing w:after="0" w:line="85" w:lineRule="exact"/>
        <w:rPr>
          <w:sz w:val="20"/>
          <w:szCs w:val="20"/>
          <w:color w:val="auto"/>
        </w:rPr>
      </w:pPr>
    </w:p>
    <w:p>
      <w:pPr>
        <w:ind w:left="460" w:right="440" w:firstLine="443"/>
        <w:spacing w:after="0" w:line="264"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Cameron Stockholders Meeting (including adjournments and postponements) shall have concluded and the Cameron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10.2(b) shall not be available to Cameron if it has not materially complied with its obligations under Section 8.3; or</w:t>
      </w:r>
    </w:p>
    <w:p>
      <w:pPr>
        <w:spacing w:after="0" w:line="181"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court of competent jurisdiction in the United States, the European Union or a 9.1(c)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10.2(c) shall have complied with Section 8.4 and Section 8.6 and, with respect to other matters not covered by Section 8.4 and Section 8.6, shall have used its reasonable best efforts to remove such injunction, order or decree.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Termination by Cameron</w:t>
      </w:r>
      <w:r>
        <w:rPr>
          <w:rFonts w:ascii="Arial" w:cs="Arial" w:eastAsia="Arial" w:hAnsi="Arial"/>
          <w:sz w:val="17"/>
          <w:szCs w:val="17"/>
          <w:color w:val="auto"/>
        </w:rPr>
        <w:t>. This Agreement may be terminated at any time prior to the Effective Time by action of the Cameron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103" w:lineRule="exact"/>
        <w:rPr>
          <w:sz w:val="20"/>
          <w:szCs w:val="20"/>
          <w:color w:val="auto"/>
        </w:rPr>
      </w:pPr>
    </w:p>
    <w:p>
      <w:pPr>
        <w:ind w:left="460" w:right="60" w:firstLine="443"/>
        <w:spacing w:after="0" w:line="255" w:lineRule="auto"/>
        <w:tabs>
          <w:tab w:leader="none" w:pos="114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there has been a breach by Schlumberger US or Schlumberger of any representation, warranty, covenant or agreement set forth in this Agreement or if any representation or warranty of Schlumberger US or Schlumberger shall have become untrue, in either case such that the conditions set forth in Section 9.2 would not be satisfied, and such breach or failure to be true and correct is not curable by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pursuant to this Section 10.3(a) shall not be available to Cameron if it, at such time, is in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any representation, warranty, covenant or agreement set forth in this Agreement such that the conditions set forth in Section 9.3(a) and Section 9.3(b) shall not be satisfied; or</w:t>
      </w:r>
    </w:p>
    <w:p>
      <w:pPr>
        <w:spacing w:after="0" w:line="85" w:lineRule="exact"/>
        <w:rPr>
          <w:rFonts w:ascii="Arial" w:cs="Arial" w:eastAsia="Arial" w:hAnsi="Arial"/>
          <w:sz w:val="18"/>
          <w:szCs w:val="18"/>
          <w:color w:val="auto"/>
        </w:rPr>
      </w:pPr>
    </w:p>
    <w:p>
      <w:pPr>
        <w:ind w:left="460" w:right="580" w:firstLine="443"/>
        <w:spacing w:after="0" w:line="264" w:lineRule="auto"/>
        <w:tabs>
          <w:tab w:leader="none" w:pos="11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at any time prior to obtaining the Cameron Stockholder Approval, in order to enter into any agreement, understanding or arrangement providing for a Superior Proposal in accordance with Section 8.3(b); </w:t>
      </w:r>
      <w:r>
        <w:rPr>
          <w:rFonts w:ascii="Arial" w:cs="Arial" w:eastAsia="Arial" w:hAnsi="Arial"/>
          <w:sz w:val="18"/>
          <w:szCs w:val="18"/>
          <w:i w:val="1"/>
          <w:iCs w:val="1"/>
          <w:color w:val="auto"/>
        </w:rPr>
        <w:t>provided</w:t>
      </w:r>
      <w:r>
        <w:rPr>
          <w:rFonts w:ascii="Arial" w:cs="Arial" w:eastAsia="Arial" w:hAnsi="Arial"/>
          <w:sz w:val="18"/>
          <w:szCs w:val="18"/>
          <w:color w:val="auto"/>
        </w:rPr>
        <w:t>, that Cameron shall concurrently with such termination pay to Schlumberger the Termination Fee in accordance with Section 10.5(a).</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of Schlumberger, if:</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5" w:right="299" w:bottom="1440" w:gutter="0" w:footer="0" w:header="0"/>
        </w:sectPr>
      </w:pPr>
    </w:p>
    <w:bookmarkStart w:id="80" w:name="page81"/>
    <w:bookmarkEnd w:id="80"/>
    <w:p>
      <w:pPr>
        <w:ind w:left="460" w:right="80" w:firstLine="443"/>
        <w:spacing w:after="0" w:line="297" w:lineRule="auto"/>
        <w:tabs>
          <w:tab w:leader="none" w:pos="114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there has been a breach by Cameron of any representation, warranty, covenant or agreement set forth in this Agreement or if any representation or warranty of Cameron shall have become untrue, in either case such that the conditions set forth in Section 9.3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terminate this Agreement pursuant to this Section 10.4(a) shall not be available to Schlumberger if it, at such time, is in breach of any representation, warranty, covenant or agreement set forth in this Agreement such that any of the conditions set forth in Section 9.2(a) and Section 9.2(b) shall not be satisfied; or</w:t>
      </w:r>
    </w:p>
    <w:p>
      <w:pPr>
        <w:spacing w:after="0" w:line="50" w:lineRule="exact"/>
        <w:rPr>
          <w:rFonts w:ascii="Arial" w:cs="Arial" w:eastAsia="Arial" w:hAnsi="Arial"/>
          <w:sz w:val="16"/>
          <w:szCs w:val="16"/>
          <w:color w:val="auto"/>
        </w:rPr>
      </w:pPr>
    </w:p>
    <w:p>
      <w:pPr>
        <w:ind w:left="460" w:right="380" w:firstLine="443"/>
        <w:spacing w:after="0" w:line="277"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Cameron Board shall have failed to recommend its approval or recommendation of this Agreement or the Merger or there has been a Change in Recommendation, whether or not permitted by the terms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221" w:lineRule="exact"/>
        <w:rPr>
          <w:sz w:val="20"/>
          <w:szCs w:val="20"/>
          <w:color w:val="auto"/>
        </w:rPr>
      </w:pPr>
    </w:p>
    <w:p>
      <w:pPr>
        <w:ind w:left="1160" w:hanging="239"/>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Cameron shall pay Schlumberger US a fee of $321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20" w:right="280" w:firstLine="421"/>
        <w:spacing w:after="0" w:line="257" w:lineRule="auto"/>
        <w:tabs>
          <w:tab w:leader="none" w:pos="15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10.2(b), and (x) such termination occurs after an Acquisition Proposal shall have been made known to Cameron (including any of its Representatives) and communicated publicly or shall have been made directly to the stockholders of Cameron by any person, in each case such Acquisition Proposal shall not have been withdrawn, and (y) within one year after such termination, Cameron enters into a definitive agreement with respect to an Acquisition Proposal or an Acquisition Proposal is consummated;</w:t>
      </w:r>
    </w:p>
    <w:p>
      <w:pPr>
        <w:spacing w:after="0" w:line="80" w:lineRule="exact"/>
        <w:rPr>
          <w:rFonts w:ascii="Arial" w:cs="Arial" w:eastAsia="Arial" w:hAnsi="Arial"/>
          <w:sz w:val="18"/>
          <w:szCs w:val="18"/>
          <w:color w:val="auto"/>
        </w:rPr>
      </w:pPr>
    </w:p>
    <w:p>
      <w:pPr>
        <w:ind w:left="1600" w:hanging="259"/>
        <w:spacing w:after="0"/>
        <w:tabs>
          <w:tab w:leader="none" w:pos="1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10.3(b); or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10.4(b);</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which fee shall be payable: in the case of clause (i), upon the first to occur of such entering into a definitive agreement or consummation referred to in subclause (y) thereof; and in the case of clauses (ii) and (iii), upon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this Section 10.5(a), the references to “33%” in the definition of Acquisition Proposal shall be deemed to be references to “50%”. Any amount payable pursuant to this Section 10.5(a) shall be reduced by any amount paid pursuant to Section 10.5(b). Schlumberger US, Merger Sub and Schlumberger agree that in the event that the Termination Fee is paid or may be payable to Schlumberger US pursuant to this Section 10.5(a),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Persons</w:t>
      </w:r>
      <w:r>
        <w:rPr>
          <w:rFonts w:ascii="Arial" w:cs="Arial" w:eastAsia="Arial" w:hAnsi="Arial"/>
          <w:sz w:val="17"/>
          <w:szCs w:val="17"/>
          <w:color w:val="auto"/>
        </w:rPr>
        <w:t>”) against Cameron or any of its Related Persons for, and in no event will Schlumberger or any of its Related Persons be entitled to recover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125" w:right="299" w:bottom="1440" w:gutter="0" w:footer="0" w:header="0"/>
        </w:sectPr>
      </w:pPr>
    </w:p>
    <w:bookmarkStart w:id="81" w:name="page82"/>
    <w:bookmarkEnd w:id="81"/>
    <w:p>
      <w:pPr>
        <w:ind w:right="480"/>
        <w:spacing w:after="0" w:line="264" w:lineRule="auto"/>
        <w:rPr>
          <w:sz w:val="20"/>
          <w:szCs w:val="20"/>
          <w:color w:val="auto"/>
        </w:rPr>
      </w:pPr>
      <w:r>
        <w:rPr>
          <w:rFonts w:ascii="Arial" w:cs="Arial" w:eastAsia="Arial" w:hAnsi="Arial"/>
          <w:sz w:val="18"/>
          <w:szCs w:val="18"/>
          <w:color w:val="auto"/>
        </w:rPr>
        <w:t>any breach, termination or failure of or under this Agreement, and upon payment to Schlumberger US of the Termination Fee, neither Cameron nor any Related Person of Cameron shall have any further liability or obligation to Schlumberger or any of its Related Persons relating to or arising out of this Agreement or the transactions contemplated hereby (subject to Section 10.5(f)).</w:t>
      </w:r>
    </w:p>
    <w:p>
      <w:pPr>
        <w:spacing w:after="0" w:line="181" w:lineRule="exact"/>
        <w:rPr>
          <w:sz w:val="20"/>
          <w:szCs w:val="20"/>
          <w:color w:val="auto"/>
        </w:rPr>
      </w:pPr>
    </w:p>
    <w:p>
      <w:pPr>
        <w:ind w:right="20" w:firstLine="921"/>
        <w:spacing w:after="0" w:line="302" w:lineRule="auto"/>
        <w:tabs>
          <w:tab w:leader="none" w:pos="11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Without limiting the rights of Schlumberger US and Schlumberger under Section 10.5(f), if this Agreement is terminated (i) pursuant to Section 10.2(b) and no Termination Fee is yet payable in respect thereof pursuant to Section 10.5(a), or (ii) pursuant to Section 10.4(a) because there has been a willful and material breach by Cameron of any covenant or agreement set forth herein, then Cameron shall reimburse Schlumberger US and Schlumberger for their actual costs and expenses incurred in connection with the transactions contemplated hereby in an amount not to exceed $10 million.</w:t>
      </w:r>
    </w:p>
    <w:p>
      <w:pPr>
        <w:spacing w:after="0" w:line="154" w:lineRule="exact"/>
        <w:rPr>
          <w:rFonts w:ascii="Arial" w:cs="Arial" w:eastAsia="Arial" w:hAnsi="Arial"/>
          <w:sz w:val="16"/>
          <w:szCs w:val="16"/>
          <w:color w:val="auto"/>
        </w:rPr>
      </w:pPr>
    </w:p>
    <w:p>
      <w:pPr>
        <w:ind w:right="180" w:firstLine="921"/>
        <w:spacing w:after="0" w:line="259" w:lineRule="auto"/>
        <w:tabs>
          <w:tab w:leader="none" w:pos="11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Without limiting the rights of Cameron under Section 10.5(f), if this Agreement is terminated by Cameron pursuant to Section 10.3(a) because there has been a willful and material breach by Schlumberger US or Schlumberger of any covenant or agreement set forth herein, then Schlumberger US shall reimburse Cameron for its actual costs and expenses incurred in connection with the transactions contemplated hereby in an amount not to exceed $10 million.</w:t>
      </w:r>
    </w:p>
    <w:p>
      <w:pPr>
        <w:spacing w:after="0" w:line="186" w:lineRule="exact"/>
        <w:rPr>
          <w:rFonts w:ascii="Arial" w:cs="Arial" w:eastAsia="Arial" w:hAnsi="Arial"/>
          <w:sz w:val="18"/>
          <w:szCs w:val="18"/>
          <w:color w:val="auto"/>
        </w:rPr>
      </w:pPr>
    </w:p>
    <w:p>
      <w:pPr>
        <w:ind w:right="480" w:firstLine="921"/>
        <w:spacing w:after="0" w:line="277" w:lineRule="auto"/>
        <w:tabs>
          <w:tab w:leader="none" w:pos="116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payments under this Section 10.5 shall be made promptly upon becoming due by wire transfer of immediately available funds to an account designated by the receiving party.</w:t>
      </w:r>
    </w:p>
    <w:p>
      <w:pPr>
        <w:spacing w:after="0" w:line="170" w:lineRule="exact"/>
        <w:rPr>
          <w:rFonts w:ascii="Arial" w:cs="Arial" w:eastAsia="Arial" w:hAnsi="Arial"/>
          <w:sz w:val="18"/>
          <w:szCs w:val="18"/>
          <w:color w:val="auto"/>
        </w:rPr>
      </w:pPr>
    </w:p>
    <w:p>
      <w:pPr>
        <w:ind w:firstLine="921"/>
        <w:spacing w:after="0" w:line="255" w:lineRule="auto"/>
        <w:tabs>
          <w:tab w:leader="none" w:pos="11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Each of Cameron, Schlumberger US and Schlumberger acknowledge that the agreements contained in this Section 10.5 are an integral part of the transactions contemplated by this Agreement, and that, without these agreements, neither Cameron, Schlumberger US nor Schlumberger would enter into this Agreement; accordingly, if either Cameron fails to pay, or Schlumberger US fails to pay, as applicable, any amount due pursuant to this Section 10.5, and, in order to obtain such payment, the party entitled to such payment commences a suit which results in a judgment against the party failing to pay for the fees to which reference is made in this Section 10.5,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120" w:firstLine="921"/>
        <w:spacing w:after="0" w:line="255" w:lineRule="auto"/>
        <w:tabs>
          <w:tab w:leader="none" w:pos="11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and the abandonment of the Merger pursuant to this Article 10, all obligations of the parties hereto shall terminate, except the obligations of the parties pursuant to this Section 10.5, the last sentence of Section 8.10 and Section 8.12, Section 8.15 and Article 11,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relieve any party from any liability for any willful and material breach by such party of any of its representations, warranties, covenants or agreements set forth in this Agreement (it being understood that the failure of a party to effect the Closing when required under the terms of this Agreement shall constitute a willful and material breach), and all rights and remedies of such nonbreaching party under this Agreement in the case of such a willful and material breach, at law or in equity, shall be preserved. The Confidentiality Agreement shall survive any termination of this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and the provisions of such Confidentiality Agreement shall apply to all information and material delivered by any party hereunder.</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Nonsurvival of Representations, Warranties and Agreements</w:t>
      </w:r>
      <w:r>
        <w:rPr>
          <w:rFonts w:ascii="Arial" w:cs="Arial" w:eastAsia="Arial" w:hAnsi="Arial"/>
          <w:sz w:val="16"/>
          <w:szCs w:val="16"/>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agreements contained in Article 4 and in Section 3.1, Section 3.2, Section 8.9, Section 8.15, Section 8.16 and Section 8.17 and this Article 11 shall survive the Effective Time.</w:t>
      </w:r>
    </w:p>
    <w:p>
      <w:pPr>
        <w:spacing w:after="0" w:line="147"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(with proof of transmission), by overnight courier (with proof of service), hand delivery or by electronic mail transmission (with proof of transmission), addressed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to Cameron:</w:t>
      </w:r>
    </w:p>
    <w:p>
      <w:pPr>
        <w:spacing w:after="0" w:line="25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(713) 513-3421</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Scott A. Barshay, Esq.</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George F. Schoen, Esq.</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O. Keith Hallam, III,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474-3700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sbarshay@cravath.com</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gschoen@cravath.com</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khallam@cravath.com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if to Schlumberger US, Merger Sub or Schlumberger: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125" w:right="439" w:bottom="1440" w:gutter="0" w:footer="0" w:header="0"/>
        </w:sectPr>
      </w:pPr>
    </w:p>
    <w:bookmarkStart w:id="83" w:name="page84"/>
    <w:bookmarkEnd w:id="83"/>
    <w:p>
      <w:pPr>
        <w:ind w:left="150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(713) 375-3481</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Shell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77002-4995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 David Kirkland, Jr.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Tull R. Florey</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Andrew J. Ericksen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(713) 229-7701</w:t>
      </w:r>
    </w:p>
    <w:p>
      <w:pPr>
        <w:spacing w:after="0" w:line="9" w:lineRule="exact"/>
        <w:rPr>
          <w:sz w:val="20"/>
          <w:szCs w:val="20"/>
          <w:color w:val="auto"/>
        </w:rPr>
      </w:pPr>
    </w:p>
    <w:p>
      <w:pPr>
        <w:ind w:left="150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david.kirkland@bakerbotts.com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tull.florey@bakerbotts.com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aj.ericksen@bakerbotts.com</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to such other address as any party shall specify by written notice so given. Any notice, request, instruction or other document given as provided above shall be deemed given to the receiving party upon actual receipt, if delivered personally; upon confirmation of successful transmission, if sent by facsimile or electronic mail transmission (provided that if given by facsimile or electronic mail transmission,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7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Assignment; Binding Effect</w:t>
      </w:r>
      <w:r>
        <w:rPr>
          <w:rFonts w:ascii="Arial" w:cs="Arial" w:eastAsia="Arial" w:hAnsi="Arial"/>
          <w:sz w:val="17"/>
          <w:szCs w:val="17"/>
          <w:color w:val="auto"/>
        </w:rPr>
        <w: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w:t>
      </w:r>
    </w:p>
    <w:p>
      <w:pPr>
        <w:spacing w:after="0" w:line="166" w:lineRule="exact"/>
        <w:rPr>
          <w:sz w:val="20"/>
          <w:szCs w:val="20"/>
          <w:color w:val="auto"/>
        </w:rPr>
      </w:pPr>
    </w:p>
    <w:p>
      <w:pPr>
        <w:ind w:right="300" w:firstLine="913"/>
        <w:spacing w:after="0" w:line="312"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i w:val="1"/>
          <w:iCs w:val="1"/>
          <w:color w:val="auto"/>
        </w:rPr>
        <w:t>Third-Party Beneficiaries</w:t>
      </w:r>
      <w:r>
        <w:rPr>
          <w:rFonts w:ascii="Arial" w:cs="Arial" w:eastAsia="Arial" w:hAnsi="Arial"/>
          <w:sz w:val="16"/>
          <w:szCs w:val="16"/>
          <w:color w:val="auto"/>
        </w:rPr>
        <w:t>. Notwithstanding anything contained in this Agreement to the contrary, except for the provisions of Section 8.15, nothing in this Agreement, expressed or implied, is intended to confer standing to any person other than the parties hereto or their respective heirs, successors, executors, administrators and assigns except, following the Effective Time, for the provisions of Section 4.1 and Section 8.15.</w:t>
      </w:r>
    </w:p>
    <w:p>
      <w:pPr>
        <w:spacing w:after="0" w:line="14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exhibits to this Agreement, the Cameron Disclosure Letter, the Schlumberger US Disclosure Letter, the Schlumberger Disclosure Letter and any documents delivered by the parties in connection herewith constitute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84" w:name="page85"/>
    <w:bookmarkEnd w:id="84"/>
    <w:p>
      <w:pPr>
        <w:spacing w:after="0" w:line="342" w:lineRule="auto"/>
        <w:rPr>
          <w:sz w:val="20"/>
          <w:szCs w:val="20"/>
          <w:color w:val="auto"/>
        </w:rPr>
      </w:pPr>
      <w:r>
        <w:rPr>
          <w:rFonts w:ascii="Arial" w:cs="Arial" w:eastAsia="Arial" w:hAnsi="Arial"/>
          <w:sz w:val="16"/>
          <w:szCs w:val="16"/>
          <w:color w:val="auto"/>
        </w:rPr>
        <w:t>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240" w:top="125" w:right="719" w:bottom="1440" w:gutter="0" w:footer="0" w:header="0"/>
        </w:sectPr>
      </w:pPr>
    </w:p>
    <w:bookmarkStart w:id="85" w:name="page86"/>
    <w:bookmarkEnd w:id="85"/>
    <w:p>
      <w:pPr>
        <w:jc w:val="both"/>
        <w:ind w:right="280" w:firstLine="913"/>
        <w:spacing w:after="0" w:line="302"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Cameron Stockholder Approval, but after the Cameron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54"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11.7,</w:t>
      </w:r>
    </w:p>
    <w:p>
      <w:pPr>
        <w:spacing w:after="0" w:line="6" w:lineRule="exact"/>
        <w:rPr>
          <w:sz w:val="20"/>
          <w:szCs w:val="20"/>
          <w:color w:val="auto"/>
        </w:rPr>
      </w:pPr>
    </w:p>
    <w:p>
      <w:pPr>
        <w:ind w:firstLine="8"/>
        <w:spacing w:after="0" w:line="251"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DELIVERY OF COPIES THEREOF AS SET FORTH IN SECTION 11.2, SUCH SERVICE OF PROCESS TO BE EFFECTIVE WHEN DEEMED GIVEN PURSUANT TO SECTION 11.2. NOTHING HEREIN SHALL 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9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86" w:name="page87"/>
    <w:bookmarkEnd w:id="86"/>
    <w:p>
      <w:pPr>
        <w:ind w:right="40" w:firstLine="913"/>
        <w:spacing w:after="0" w:line="277"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70"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 section of the Cameron Disclosure Letter, the Schlumberger US Disclosure Letter or the Schlumberger Disclosure Letter shall be deemed disclosed for the purposes of the Section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113" w:lineRule="exact"/>
        <w:rPr>
          <w:sz w:val="20"/>
          <w:szCs w:val="20"/>
          <w:color w:val="auto"/>
        </w:rPr>
      </w:pPr>
    </w:p>
    <w:p>
      <w:pPr>
        <w:ind w:left="460" w:right="20" w:firstLine="443"/>
        <w:spacing w:after="0" w:line="266" w:lineRule="auto"/>
        <w:tabs>
          <w:tab w:leader="none" w:pos="114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Cameron or Schlumberger, as the case may be, shall mean the actual knowledge of its executive officers and senior management set forth in Section 11.11(a) of the Cameron Disclosure Letter in the case of Cameron and Section 11.11(a) of the Schlumberger Disclosure Letter in the case of Schlumberger.</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w:t>
      </w:r>
    </w:p>
    <w:p>
      <w:pPr>
        <w:spacing w:after="0" w:line="50" w:lineRule="exact"/>
        <w:rPr>
          <w:rFonts w:ascii="Arial" w:cs="Arial" w:eastAsia="Arial" w:hAnsi="Arial"/>
          <w:sz w:val="16"/>
          <w:szCs w:val="16"/>
          <w:color w:val="auto"/>
        </w:rPr>
      </w:pPr>
    </w:p>
    <w:p>
      <w:pPr>
        <w:ind w:left="460" w:right="20" w:firstLine="4"/>
        <w:spacing w:after="0" w:line="273" w:lineRule="auto"/>
        <w:tabs>
          <w:tab w:leader="none" w:pos="72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64" w:lineRule="exact"/>
        <w:rPr>
          <w:rFonts w:ascii="Arial" w:cs="Arial" w:eastAsia="Arial" w:hAnsi="Arial"/>
          <w:sz w:val="17"/>
          <w:szCs w:val="17"/>
          <w:color w:val="auto"/>
        </w:rPr>
      </w:pPr>
    </w:p>
    <w:p>
      <w:pPr>
        <w:ind w:left="460" w:right="540" w:firstLine="443"/>
        <w:spacing w:after="0" w:line="289" w:lineRule="auto"/>
        <w:tabs>
          <w:tab w:leader="none" w:pos="114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Governmental Entity</w:t>
      </w:r>
      <w:r>
        <w:rPr>
          <w:rFonts w:ascii="Arial" w:cs="Arial" w:eastAsia="Arial" w:hAnsi="Arial"/>
          <w:sz w:val="17"/>
          <w:szCs w:val="17"/>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50" w:lineRule="exact"/>
        <w:rPr>
          <w:rFonts w:ascii="Arial" w:cs="Arial" w:eastAsia="Arial" w:hAnsi="Arial"/>
          <w:sz w:val="17"/>
          <w:szCs w:val="17"/>
          <w:color w:val="auto"/>
        </w:rPr>
      </w:pPr>
    </w:p>
    <w:p>
      <w:pPr>
        <w:ind w:left="460" w:right="100" w:firstLine="443"/>
        <w:spacing w:after="0" w:line="282" w:lineRule="auto"/>
        <w:tabs>
          <w:tab w:leader="none" w:pos="115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Material Adverse Effect</w:t>
      </w:r>
      <w:r>
        <w:rPr>
          <w:rFonts w:ascii="Arial" w:cs="Arial" w:eastAsia="Arial" w:hAnsi="Arial"/>
          <w:sz w:val="18"/>
          <w:szCs w:val="18"/>
          <w:color w:val="auto"/>
        </w:rPr>
        <w:t>” with respect to any person shall mean (i) a material adverse effect on or material adverse change in the business, assets,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87" w:name="page88"/>
    <w:bookmarkEnd w:id="87"/>
    <w:p>
      <w:pPr>
        <w:spacing w:after="0" w:line="291" w:lineRule="auto"/>
        <w:rPr>
          <w:sz w:val="20"/>
          <w:szCs w:val="20"/>
          <w:color w:val="auto"/>
        </w:rPr>
      </w:pPr>
      <w:r>
        <w:rPr>
          <w:rFonts w:ascii="Arial" w:cs="Arial" w:eastAsia="Arial" w:hAnsi="Arial"/>
          <w:sz w:val="16"/>
          <w:szCs w:val="16"/>
          <w:color w:val="auto"/>
        </w:rPr>
        <w:t>liabilities, financial condition or results of operations of such person and its Subsidiaries, taken as a whole, other than any effect or change relating to or resulting from (A) changes or conditions affecting the economy or financial markets in general, including changes in interest or exchange rates,</w:t>
      </w:r>
    </w:p>
    <w:p>
      <w:pPr>
        <w:ind w:right="160" w:firstLine="4"/>
        <w:spacing w:after="0" w:line="281" w:lineRule="auto"/>
        <w:tabs>
          <w:tab w:leader="none" w:pos="2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changes or conditions in the industries in which the person operates, including changes in or changes, effects, events or occurrences generally affecting the prices of oil, gas, natural gas, natural gas liquids or other commodities, (C) the announcement or the existence of, or compliance with, or taking any action required or permitted by this Agreement or the transactions contemplated hereby or any litigation referred to in Section 8.14,</w:t>
      </w:r>
    </w:p>
    <w:p>
      <w:pPr>
        <w:spacing w:after="0" w:line="2" w:lineRule="exact"/>
        <w:rPr>
          <w:rFonts w:ascii="Arial" w:cs="Arial" w:eastAsia="Arial" w:hAnsi="Arial"/>
          <w:sz w:val="16"/>
          <w:szCs w:val="16"/>
          <w:color w:val="auto"/>
        </w:rPr>
      </w:pPr>
    </w:p>
    <w:p>
      <w:pPr>
        <w:ind w:firstLine="4"/>
        <w:spacing w:after="0" w:line="285" w:lineRule="auto"/>
        <w:tabs>
          <w:tab w:leader="none" w:pos="2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taking any action by such person at the written request of Merger Sub, Schlumberger US or Schlumberger, in the case of Cameron, or of Cameron, in the case of Merger Sub, Schlumberger US or Schlumberger, (E) any weather-related or other force majeure event or outbreak or escalation of hostilities or acts of war (whether or not declared) or terrorism, (F) changes in Applicable Law or in GAAP or in accounting standards, or any changes in the interpretation or enforcement of any of the foregoing, or any changes in general legal, regulatory or political conditions, (G) any change in such person’s credit ratings, (H) any decline in the market price, or change in trading volume, of the capital stock of such person, or (I) any failure to meet any internal or public projections, forecasts, guidance, estimates, milestones, budgets or internal or published financial or operating predications of revenue, earnings, cash flow or cash position (it being understood that the exceptions in clauses (G), (H) and (I) shall not prevent or otherwise affect a determination that the underlying cause of any such change, decline or failure referred to therein (if not otherwise falling within any of the exceptions provided by clause (i) hereof) is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(A), (B), (E) and (F), to the extent the impact on the person in question and its Subsidiaries, taken as a whole, is disproportionate to the impact on other similarly situated entities, the incrementally disproportionate impact or impacts may be taken into account in determining whether there has been, or would reasonably be expected to be, a Material Adverse Effect or (ii) a material adverse effect on or material adverse change in the ability of the person to perform its obligations under this Agreement or to consummate the Merger and the other transactions contemplated by this Agreement. “</w:t>
      </w:r>
      <w:r>
        <w:rPr>
          <w:rFonts w:ascii="Arial" w:cs="Arial" w:eastAsia="Arial" w:hAnsi="Arial"/>
          <w:sz w:val="16"/>
          <w:szCs w:val="16"/>
          <w:b w:val="1"/>
          <w:bCs w:val="1"/>
          <w:color w:val="auto"/>
        </w:rPr>
        <w:t>Cameron Material Adverse Effect</w:t>
      </w:r>
      <w:r>
        <w:rPr>
          <w:rFonts w:ascii="Arial" w:cs="Arial" w:eastAsia="Arial" w:hAnsi="Arial"/>
          <w:sz w:val="16"/>
          <w:szCs w:val="16"/>
          <w:color w:val="auto"/>
        </w:rPr>
        <w:t>” and “</w:t>
      </w:r>
      <w:r>
        <w:rPr>
          <w:rFonts w:ascii="Arial" w:cs="Arial" w:eastAsia="Arial" w:hAnsi="Arial"/>
          <w:sz w:val="16"/>
          <w:szCs w:val="16"/>
          <w:b w:val="1"/>
          <w:bCs w:val="1"/>
          <w:color w:val="auto"/>
        </w:rPr>
        <w:t>Schlumberger Material Adverse Effect</w:t>
      </w:r>
      <w:r>
        <w:rPr>
          <w:rFonts w:ascii="Arial" w:cs="Arial" w:eastAsia="Arial" w:hAnsi="Arial"/>
          <w:sz w:val="16"/>
          <w:szCs w:val="16"/>
          <w:color w:val="auto"/>
        </w:rPr>
        <w:t>” mean a Material Adverse Effect with respect to Cameron and Schlumberger, respectively.</w:t>
      </w:r>
    </w:p>
    <w:p>
      <w:pPr>
        <w:spacing w:after="0" w:line="56" w:lineRule="exact"/>
        <w:rPr>
          <w:rFonts w:ascii="Arial" w:cs="Arial" w:eastAsia="Arial" w:hAnsi="Arial"/>
          <w:sz w:val="16"/>
          <w:szCs w:val="16"/>
          <w:color w:val="auto"/>
        </w:rPr>
      </w:pPr>
    </w:p>
    <w:p>
      <w:pPr>
        <w:ind w:right="120" w:firstLine="443"/>
        <w:spacing w:after="0" w:line="258" w:lineRule="auto"/>
        <w:tabs>
          <w:tab w:leader="none" w:pos="68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Permitted Lien</w:t>
      </w:r>
      <w:r>
        <w:rPr>
          <w:rFonts w:ascii="Arial" w:cs="Arial" w:eastAsia="Arial" w:hAnsi="Arial"/>
          <w:sz w:val="18"/>
          <w:szCs w:val="18"/>
          <w:color w:val="auto"/>
        </w:rPr>
        <w:t>” means (i) any liens for Taxes not yet due or which are being contested in good faith by appropriate proceedings, (ii) 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75" w:lineRule="exact"/>
        <w:rPr>
          <w:rFonts w:ascii="Arial" w:cs="Arial" w:eastAsia="Arial" w:hAnsi="Arial"/>
          <w:sz w:val="18"/>
          <w:szCs w:val="18"/>
          <w:color w:val="auto"/>
        </w:rPr>
      </w:pPr>
    </w:p>
    <w:p>
      <w:pPr>
        <w:ind w:right="320" w:firstLine="443"/>
        <w:spacing w:after="0" w:line="282" w:lineRule="auto"/>
        <w:tabs>
          <w:tab w:leader="none" w:pos="66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0"/>
          </w:cols>
          <w:pgMar w:left="700" w:top="125" w:right="259" w:bottom="1440" w:gutter="0" w:footer="0" w:header="0"/>
        </w:sectPr>
      </w:pPr>
    </w:p>
    <w:bookmarkStart w:id="88" w:name="page89"/>
    <w:bookmarkEnd w:id="88"/>
    <w:p>
      <w:pPr>
        <w:ind w:left="460" w:firstLine="443"/>
        <w:spacing w:after="0" w:line="292" w:lineRule="auto"/>
        <w:tabs>
          <w:tab w:leader="none" w:pos="115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w:t>
      </w:r>
    </w:p>
    <w:p>
      <w:pPr>
        <w:spacing w:after="0" w:line="53" w:lineRule="exact"/>
        <w:rPr>
          <w:rFonts w:ascii="Arial" w:cs="Arial" w:eastAsia="Arial" w:hAnsi="Arial"/>
          <w:sz w:val="16"/>
          <w:szCs w:val="16"/>
          <w:color w:val="auto"/>
        </w:rPr>
      </w:pPr>
    </w:p>
    <w:p>
      <w:pPr>
        <w:ind w:left="460" w:firstLine="443"/>
        <w:spacing w:after="0" w:line="258"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net income, gross income, gross receipts, sales, use, ad valorem, transfer, value added, registration, accumulated earnings, excess profits, franchise, profits, license, withholding, payroll, employment, unemployment, social security (or similar), excise, severance, stamp, occupation, premium, property, disability, capital stock, alternative or add-on minimum, estimated, or windfall profits taxes, customs duties or other taxes, fees, assessments or governmental charges of any kind whatsoever, together with any interest and any penalties, additions to tax or additional amounts imposed by any taxing authority.</w:t>
      </w:r>
    </w:p>
    <w:p>
      <w:pPr>
        <w:spacing w:after="0" w:line="18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Extensions; Waiver</w:t>
      </w:r>
      <w:r>
        <w:rPr>
          <w:rFonts w:ascii="Arial" w:cs="Arial" w:eastAsia="Arial" w:hAnsi="Arial"/>
          <w:sz w:val="17"/>
          <w:szCs w:val="17"/>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78"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i w:val="1"/>
          <w:iCs w:val="1"/>
          <w:color w:val="auto"/>
        </w:rPr>
        <w:t>Enforcement of Agreement</w:t>
      </w:r>
      <w:r>
        <w:rPr>
          <w:rFonts w:ascii="Arial" w:cs="Arial" w:eastAsia="Arial" w:hAnsi="Arial"/>
          <w:sz w:val="18"/>
          <w:szCs w:val="18"/>
          <w:color w:val="auto"/>
        </w:rPr>
        <w:t>. The parties hereto agree that irreparable damage for which monetary relief (including any fees payable pursuant to this Agreement), even if available, would not be an adequate remedy,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9" w:name="page90"/>
    <w:bookmarkEnd w:id="89"/>
    <w:p>
      <w:pPr>
        <w:spacing w:after="0" w:line="286" w:lineRule="auto"/>
        <w:rPr>
          <w:sz w:val="20"/>
          <w:szCs w:val="20"/>
          <w:color w:val="auto"/>
        </w:rPr>
      </w:pPr>
      <w:r>
        <w:rPr>
          <w:rFonts w:ascii="Arial" w:cs="Arial" w:eastAsia="Arial" w:hAnsi="Arial"/>
          <w:sz w:val="16"/>
          <w:szCs w:val="16"/>
          <w:color w:val="auto"/>
        </w:rPr>
        <w:t>terms and provisions hereof in the applicable Delaware Court without proof of damages,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w:t>
      </w:r>
    </w:p>
    <w:p>
      <w:pPr>
        <w:spacing w:after="0" w:line="2" w:lineRule="exact"/>
        <w:rPr>
          <w:sz w:val="20"/>
          <w:szCs w:val="20"/>
          <w:color w:val="auto"/>
        </w:rPr>
      </w:pPr>
    </w:p>
    <w:p>
      <w:pPr>
        <w:ind w:right="140" w:firstLine="8"/>
        <w:spacing w:after="0" w:line="292" w:lineRule="auto"/>
        <w:tabs>
          <w:tab w:leader="none" w:pos="2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waives any right to trial by jury with respect to any action related to or arising out of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hereto seeking an injunction or injunctions to prevent breaches of this Agreement and to enforce specifically the terms and provisions of this Agreement in accordance with this Section 11.14 shall not be required to provide any bond or other security in connection with any such order or injunction.</w:t>
      </w:r>
    </w:p>
    <w:p>
      <w:pPr>
        <w:spacing w:after="0" w:line="163"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US, MERGER SUB, SCHLUMBERGER AND CAMERON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90" w:name="page91"/>
    <w:bookmarkEnd w:id="90"/>
    <w:p>
      <w:pPr>
        <w:ind w:right="340" w:firstLine="913"/>
        <w:spacing w:after="0" w:line="277"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Yates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Yates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RAIN MERGER SUB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Vijay Kasibhatla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Vijay Kasibhatla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SCHLUMBERGER N.V.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Paal Kibsgaard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B. Moore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Jack B. Moore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1420"/>
          </w:cols>
          <w:pgMar w:left="240" w:top="125"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9"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169545</wp:posOffset>
            </wp:positionV>
            <wp:extent cx="6089015" cy="4570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Farrant, Schlumberger Vice President of 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on this conference call.</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Some of the statements we will be making today are forward-looking. These matters involve risk and uncertainties that could cause our results to differ materially from those projected in these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therefore refer you to our latest 10-K filing and our other SEC filings.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2" w:name="page93"/>
    <w:bookmarkEnd w:id="92"/>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Paal Kibsgaard, Schlumberger Chairman and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on this conference call.</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recent presentations we have stated the need for the oil and gas industry to change the way it works, as we pursue a much needed step-change in performance with commodity prices no longer supporting a steadily increasing cost per barrel.</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our Investor Conference in June 2014, we showed you how we are transforming Schlumberger , and how this is built on the pillars of technology, integration, efficiency and reliability.</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These four factors are currently driving our operational and financial outperformance, in a market environment that has become even more challenging over the past year, and they are reflected in our recent decremental margins, which are far better than those we have delivered in any previous downturn.</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Today, we are excited to announce that we have reached a definitive agreement to acquire Cameron, a company that we have worked very closely with in recent years, in particular through the OneSubsea joint venture.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94" w:name="page95"/>
    <w:bookmarkEnd w:id="94"/>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Four things make the planned transaction extremely compelling.</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First, is the broad opportunity for technology-led growth through the integration of Schlumberger’s reservoir and well technology with Cameron’s wellhead and surface technology, further enabled by our unique strengths in instrumentation, software and automation. We believe this combination will launch a new era of complete drilling and production system performance.</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Second, is the cost synergy that can be achieved through efficiency improvements in operating costs, supply chain performance and engineering and manufacturing processes, strongly supported by our well-established corporate transformation platform.</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Third, is the value we will create for customers through technology system innovation, improved operational performance, higher levels of cost efficiency, and much closer commercial alignment through new and more risk-based business models. All of these will contribute towards improving production, increasing recovery and lowering cost per barrel.</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And last, the transaction will create value for shareholders through profitable technology-driven growth in complementary businesses, with virtually no product line overlap between Schlumberger and Cameron. And although current industry conditions are challenging, the timing of this transaction will provide the combined company the time required to be optimally positioned for the market recovery.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5" w:name="page96"/>
    <w:bookmarkEnd w:id="95"/>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While I will leave the detailed financial discussion to Simon Ayat, let me just say that the transaction will expand our revenue base by more than 20%, while achieving $300 million in synergies in the first year, and $600 million in the second year after the transaction closes. These synergies make this transaction accretive to earnings per share as early as the end of the first year after close.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Before I explain in more detail the exciting growth opportunity that will emerge from the combined company, I would like to say a few words about Cameron and what drove us to pursue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9015" cy="4570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Cameron, with its proud 90-year history that began in pressure control technology, is one of the premier engineering and manufacturing companies in our industry, with a broad portfolio of surface drilling and production-related products, which is well-balanced between offshore and land markets.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6" w:name="page97"/>
    <w:bookmarkEnd w:id="96"/>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Through the quality of its people and its continued commitment to research and engineering, Cameron has a range of innovations and industry firsts to their name, particularly within the domain of pressure control, where they continue to represent the industry standard.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Today, Cameron holds well-established market leadership positions in each of its product lines, and currently has an unprecedented global installed base, with Cameron wellheads on one-third of the world’s accessible producing wells market.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you add to this a company culture focused on the integrity and quality of their products, and a management team open to new ideas as we closely observed through our OneSubsea joint venture, it became clear to us that the basis for a fruitful combination of our two companies was not only compelling, but also culturally very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141605</wp:posOffset>
            </wp:positionV>
            <wp:extent cx="6089015" cy="4570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Building further on the cultural fit between the two companies, let me now lay out the industrial logic for the transaction in more detail, starting off with a brief summary of how we have evolved our own technology offering over the past decades.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7" w:name="page98"/>
    <w:bookmarkEnd w:id="97"/>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foundation for Schlumberger’s success since our creation in 1926 has been our reservoir expertise, which today is housed in our Reservoir Characterization Group. This covers our market-leading product lines in wireline, seismic, well testing, core and fluid analysis, data processing, and reservoir modelling software, as well as the industry’s largest petro-technical community that counts approximately 10,000 experts.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to our unmatched reservoir expertise, the Reservoir Characterization Group has also established leadership positions in sensor and instrumentation design, mathematical and numerical modelling, and software and control system development. Enabled by more than 30 petaflops of computing power, these disciplines represent the fundamental, technology backbone of Schlumberger.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8" w:name="page99"/>
    <w:bookmarkEnd w:id="98"/>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Building on the unique capabilities of our Reservoir Characterization Group over the last two decades, we have built an industry-leading downhole drilling offering, by first transferring wireline technologies into the measurement- and logging-while-drilling services of our Drilling &amp; Measurements product line, and then by using our downhole tool design capabilities to build the industry’s leading, rotary-steerable systems.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2010, we further extended our downhole drilling offering through the Smith, MI-SWACO and Geoservices transactions, which gave us a complete range of drillbit, drilling tool, drilling fluid and mud logging capabilities. With this, we brought together all the individual hardware components of the bottomhole-assembly into a fully integrated system, leveraging our deep knowledge of instrumentation, software optimization, and automation.</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Following a highly successful integration process, our Drilling Group has in recent years posted industry-leading growth rates and at the same time improved profitability to now be in line with the rest of Schlumberger, whereas at the beginning, it was clearly dilutive.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parallel with expanding our Drilling offering, we have also continuously evolved our production portfolio, again building on our core scientific platforms together with targeted M&amp;A activity.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9" w:name="page100"/>
    <w:bookmarkEnd w:id="99"/>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hydraulic fracturing we have for years combined our reservoir expertise with the latest advances in fluid chemistry, to drive well and reservoir production through innovative stimulation services such as the HiWAY and BroadBand techniques.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geo-engineered shale completions, which consistently deliver higher production compared to conventional techniques, are built directly on our unique formation evaluation measurements combined with our Mangrove reservoir and completion modelling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coiled tubing, we have used wireline sensors and innovative telemetry technology to help establish our industry-leading ACTive platform.</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Through the acquisition of Camco in 1998, we added completion hardware, which we have evolved into our industry-leading Manara intelligent completions system, which once again leverages measurement and control capability from Reservoir Characterization.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0" w:name="page101"/>
    <w:bookmarkEnd w:id="100"/>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also established a leading position in the ESP and gas lift markets, which in recent years we have augmented by a series of acquisitions in rod lift and progressive cavity pumps, to build a complete life-of-well, artificial lift solution.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evolution of our technology offering that I just outlined has three common threads.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the driving force behind the technology evolution is the core expertise coming from our Reservoir Characterization Group.</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Second, the overarching value proposition continues to be the evolution of individual hardware components into integrated systems, thereby setting new standards of performance facilitated by instrumentation, software modelling, control and automation.</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Third, in the evolution of our offering, we have successfully used targeted M&amp;A activity to complement our own organic technology and business developments efforts.</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Up until now, our focus as a company has been largely on the subsurface, through the reservoir and the well, and the success of our overall approach can be seen by our market leadership position in almost all the downhole market segments we participate in, and by our vastly superior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104775</wp:posOffset>
            </wp:positionV>
            <wp:extent cx="6089015" cy="4570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1" w:name="page102"/>
    <w:bookmarkEnd w:id="101"/>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we continue to seek new ways to drive total system performance in the areas of both drilling and production, it has become very clear to us that there is huge potential in a much closer integration between the surface and subsurface parts of both the drilling and production systems.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surface and seafloor drilling components, including the BOP and rig equipment, are critical elements in the drilling process, and we aim to create the next step change in total drilling system performance, by introducing new surface sensors and instrumentation, which together with the downhole data feeds into a common optimization software, that directly controls and actuates all the key surface and downhole parameters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131445</wp:posOffset>
            </wp:positionV>
            <wp:extent cx="6089015" cy="4570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 in summary, the industrial logic of this transaction is to create technology-driven growth by integrating Schlumberger’s leading reservoir and well technology with Cameron’s leading wellhead and surface technology, into the industry’s first complete drilling and production systems, fully enabled by our unique expertise and platform of instrumentation, data processing, software control and system integration.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02" w:name="page103"/>
    <w:bookmarkEnd w:id="102"/>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Turning then to the organizational integration, the technology offerings of Schlumberger and Cameron are highly complementary, with practically no technology overlap.</w:t>
      </w:r>
    </w:p>
    <w:p>
      <w:pPr>
        <w:spacing w:after="0" w:line="17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Based on this, Cameron with its current product line structure, will join Schlumberger as a complete new product group, on par with our existing Characterization, Drilling and Production Groups, which will significantly simplify the overall integration scope.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also very pleased to announce that Scott Rowe will take the helm of Cameron, as it joins Schlumberger, and he will be instrumental in both the initial integration process as well as the implementation of our medium to long-term growth plans.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worked closely with Scott over the past 3 years, and got to know him as an outstanding leader, with great technical understanding and team building capabilities, and he will add another dimension to the already outstanding leadership team of Schlumberger.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03" w:name="page104"/>
    <w:bookmarkEnd w:id="103"/>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terms of initial integration priorities, after the close, the focus will be on streamlining the corporate and back-office support functions, leveraging our common infrastructure and supply chain buying power, as well as establishing a coordinated customer interface.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Following this, we will shift focus to coordinating and integrating our efforts on research, engineering and manufacturing, as we pursue our stated value proposition, of creating the industry’s first total drilling and production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9015" cy="4570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Moore, Cameron Chairman and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I’m very pleased to be here today to talk about this exciting transaction, which builds on our three-year partnership with Schlumberger on our joint venture.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great success makes it very logical next step for Cameron.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transaction would create a transformational oilfield services company, and it will deliver immediate value to our shareholders, while also enabling them to own a meaningful share of Schlumberger and participate in what we are creating here today.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04" w:name="page105"/>
    <w:bookmarkEnd w:id="104"/>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After careful consideration, combining these companies we can achieve results that are better than we can achieve independently. This is a great outcome for shareholders, employees, and customers.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this highly complementary transaction is the best way to enable us to drive future growth through an integrated and expanded platform.</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Upon closing this transaction, we will be better positioned to serve the changing needs of our customers around the world and help address the current market challenges that our customers are facing in today’s environment.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look forward to working closer with Schlumberger on the integration which will be led by Scott Rowe, Chairman and CEO-elect. As I stated earlier, Cameron has a long and rich history founded on engineering, manufacturing, and customers. All of this made possible by dedicating a committed and focused team of people doing the right things right each and every day for Cameron. We are truly excited to be part of defining the future and creating the industry’s first integrated drilling and production systems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05" w:name="page106"/>
    <w:bookmarkEnd w:id="105"/>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Ayat, Schlumberger Chief Financial Officer</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you heard, Schlumberger and Cameron have entered into a merger agreement in a stock and cash deal. Cameron stockholders will receive 0.716 shares of Schlumberger Limited plus $14.44 in cash. Under the terms of the agreement, the principal US subsidiary of Schlumberger will acquire Cameron.</w:t>
      </w:r>
    </w:p>
    <w:p>
      <w:pPr>
        <w:spacing w:after="0" w:line="12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light of the recent volatility in the financial markets, both Schlumberger and Cameron felt that having Schlumberger stock represent a large component of the consideration was in the best interests of both of our shareholders. This is the reason for the 78/22 split between stock and cash. The cash portion of the purchase price will be funded by cash on hand.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Upon closing and reflecting the issuance of approximately 137 million new shares, Cameron shareholders will own approximately 10% of Schlumberger’s outstanding shares. The transaction is valued at approximately $14.8 billion based on the Schlumberger closing stock price on August 25, 2015, and reflects net debt of $1.1 billion plus non-controlling interests of $900 million.</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transaction represents a 56.2% premium to the closing stock price of Cameron on August 25, 2015. This is a 37% premium over the 20-day volume weighted average.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a multiple perspective, the consideration is 8.8 times Cameron’s trailing twelve month EBITDA.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06" w:name="page107"/>
    <w:bookmarkEnd w:id="106"/>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 would like to comment briefly on the synergies we referred to in our press release. We have been considering this transaction for quite some time and have done a substantial amount of work from the bottom up on the expected synergies in this transaction. Therefore, we have a high degree of confidence in the estimates we have made. We expect the transaction to close in the first quarter of 2016. We estimate pre-tax synergies to be approximately $300 million in the first 12 months of closing and $600 million in the second year. These numbers consist primarily of cost, as opposed to revenue synergies in these first couple of years post-closing. As Paal mentioned, the opportunities for revenue synergies are very significant and are expected to grow considerably in future years.</w:t>
      </w:r>
    </w:p>
    <w:p>
      <w:pPr>
        <w:spacing w:after="0" w:line="15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a result of these largely cost synergies alone, and based on consensus estimates of both companies, we expect the transaction to be accretive on an EPS basis within the first 12 months of closing. This obviously includes certain estimates and assumptions regarding the purchase accounting, which can only be finalized upon the closing of the transaction. Based on our current assumptions, we have estimated the incremental after-tax depreciation and amortization as a result of fair value adjustments to the net assets of Cameron to be approximately 11 cents per share, after taking into account the newly issued shares.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07" w:name="page108"/>
    <w:bookmarkEnd w:id="107"/>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37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Lastly, let me comment on a topic that I know is on everyone’s mind. That is stock buyback. Our priorities with respect to how we manage our cash flow have not changed. Our first priority is to reinvest in the business to drive growth through capex, R&amp;E and investments in future revenue streams such as multiclient and Schlumberger Project Management (SPM) projects. We will continue to review our dividend on an annual basis and we will look to take advantage of M&amp;A opportunities that present themselves. The balancing factor will continue be the stock buyback program.</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you know, both Schlumberger and Cameron have substantial stock buyback programs. In fact, during the first six months of 2015, the two companies bought back a combined $1.4 billion of their stock.</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very high expectations for the free cash flow that the new combined company will generate. In this regard, we fully expect the new combined company to take advantage of its ability to generate strong cash flows as well as the strength of its combined balance sheets in order to be very opportunistic in terms of buybacks.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Paal Kibsgaard, Schlumberger Chairman and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Let me again summarize the four elements that make this transaction so compelling.</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First, is the broad opportunity for technology-led growth through the integration of Schlumberger’s reservoir and well technology with Cameron’s wellhead and surface technology, further enabled by our unique strengths in instrumentation, software and automation. Altogether launching a new era of total drilling and production performance.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Second, is the cost synergy that can be achieved through efficiency improvements in operating costs, engineering and manufacturing processes and supply chain performance, strongly supported by our well-established corporate transformation platform.</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Third, is the value we will create for customers through technology system innovation, improved operational performance, higher levels of cost efficiency, and much closer commercial alignment through new and more risk-based business models. All contributing towards improving production, increasing recovery and lowering cost per barrel.</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And last, the transaction will create value for shareholders through profitable technology-driven growth in complementary businesses, with virtually no product line overlap between Schlumberger and Cameron. And although current industry conditions are challenging, the timing of this transaction will provide the combined company the time required to be optimally positioned for the market recovery.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our call, thank you for participating.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08" w:name="page109"/>
    <w:bookmarkEnd w:id="108"/>
    <w:p>
      <w:pPr>
        <w:spacing w:after="0"/>
        <w:tabs>
          <w:tab w:leader="none" w:pos="10200" w:val="left"/>
        </w:tabs>
        <w:rPr>
          <w:sz w:val="20"/>
          <w:szCs w:val="20"/>
          <w:color w:val="auto"/>
        </w:rPr>
      </w:pPr>
      <w:r>
        <w:rPr>
          <w:rFonts w:ascii="Arial" w:cs="Arial" w:eastAsia="Arial" w:hAnsi="Arial"/>
          <w:sz w:val="18"/>
          <w:szCs w:val="18"/>
          <w:color w:val="auto"/>
        </w:rPr>
        <w:t>Schlumberger and Cameron Conference Call</w:t>
      </w:r>
      <w:r>
        <w:rPr>
          <w:sz w:val="20"/>
          <w:szCs w:val="20"/>
          <w:color w:val="auto"/>
        </w:rPr>
        <w:tab/>
      </w:r>
      <w:r>
        <w:rPr>
          <w:rFonts w:ascii="Arial" w:cs="Arial" w:eastAsia="Arial" w:hAnsi="Arial"/>
          <w:sz w:val="16"/>
          <w:szCs w:val="16"/>
          <w:color w:val="auto"/>
        </w:rPr>
        <w:t>August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4570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9015" cy="457073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ind w:left="10480"/>
        <w:spacing w:after="0"/>
        <w:rPr>
          <w:sz w:val="20"/>
          <w:szCs w:val="20"/>
          <w:color w:val="auto"/>
        </w:rPr>
      </w:pPr>
      <w:r>
        <w:rPr>
          <w:rFonts w:ascii="Arial" w:cs="Arial" w:eastAsia="Arial" w:hAnsi="Arial"/>
          <w:sz w:val="16"/>
          <w:szCs w:val="16"/>
          <w:b w:val="1"/>
          <w:bCs w:val="1"/>
          <w:color w:val="auto"/>
        </w:rPr>
        <w:t>Exhibit 99.2</w:t>
      </w:r>
    </w:p>
    <w:p>
      <w:pPr>
        <w:spacing w:after="0" w:line="275"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b w:val="1"/>
          <w:bCs w:val="1"/>
          <w:color w:val="auto"/>
        </w:rPr>
        <w:t>Email to Management, Positioning and FAQs – INTERNAL</w:t>
      </w:r>
      <w:r>
        <w:rPr>
          <w:sz w:val="20"/>
          <w:szCs w:val="20"/>
          <w:color w:val="auto"/>
        </w:rPr>
        <w:tab/>
      </w:r>
      <w:r>
        <w:rPr>
          <w:rFonts w:ascii="Arial" w:cs="Arial" w:eastAsia="Arial" w:hAnsi="Arial"/>
          <w:sz w:val="16"/>
          <w:szCs w:val="16"/>
          <w:color w:val="auto"/>
        </w:rPr>
        <w:t>26 August,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Email to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Colleagues,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am pleased to announce that Schlumberger and Cameron have signed a definitive merger agreement in which the companies would combine, subject to various conditions, including Cameron stockholders’ approval, regulatory approvals and customary closing conditions.</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At our investor conference in June 2014, we highlighted how the E&amp;P industry must transform itself to deliver increased performance at a time of range-bound commodity prices. With oil prices now at lower levels, oilfield services companies that deliver innovative technology, and greater integration while improving efficiency, will outperform the market. The combination of Schlumberger and Cameron is in line with this vision.</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believe that the next industry technical breakthrough will be achieved through the integration of Schlumberger’s reservoir and well technologies with Cameron’s leading wellhead and surface technologies. Deep reservoir knowledge further enabled by instrumentation, software, and automation will launch a new era of total drilling and production system performance. Additionally, significant efficiency gains will be achieved through lowering operating costs, streamlining supply chains, and improving manufacturing processes while leveraging the platform of Our Transformation.</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the success and future potential of our integrated OneSubsea joint venture and its new technology offering, together with the close cultural fit between Cameron and Schlumberger, will lead to accelerated technology development for our customers.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anticipated that the closing of the transaction will occur in the first quarter of 2016. Meanwhile, we will continue operating as separate organizations until all regulatory approvals have been received and we have closed.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Below please find additional information, including Frequently Asked Questions, to help you answer any questions you may receive from your team.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Should you receive any media calls, please forward to Corporate Communication Director, Joao Felix.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today’s press release is available at http://slb.com/newsroom.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General Positioning Statement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Schlumberger announced the signing of an agreement for the acquisition of Cameron International Corporation, a leader in oilfield services equipment. The complementary nature of Schlumberger and Cameron will enable the development of new products and services, integration of innovative reservoir and surface technologies, instrumentation, software, and automation in new drilling systems and production processes that improve efficiency for us and our customers, increase reservoir recovery, and lower cost per barrel.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Employee – Frequently Asked Questions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have Schlumberger and Cameron decided to combine their organizations?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oil prices now at lower levels, oilfield services companies that deliver innovative technology and greater integration while improving efficiency, which our customers increasingly demand, will outperform the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transaction increases shareholder value by offering complementary technology and product portfolios, increased business opportunities for the successful OneSubsea joint venture, and the integration of new technologies and production processes across the “reservoir to well to surface to pipeline” interfaces that are not available today.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expected timing of closing?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transaction is subject to various conditions, including Cameron stockholders’ approval, regulatory approvals and other customary closing conditions. It is anticipated that the closing will occur in the first quarter of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value of this transaction?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transaction values Cameron at $14.8 billion. Upon closing, Cameron shareholders will receive shares of Schlumberger together with a cash payment in exchange for each Cameron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Cameron’s main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Cameron’s portfolio consists of five business segments:</w:t>
      </w:r>
    </w:p>
    <w:p>
      <w:pPr>
        <w:spacing w:after="0" w:line="131" w:lineRule="exact"/>
        <w:rPr>
          <w:sz w:val="20"/>
          <w:szCs w:val="20"/>
          <w:color w:val="auto"/>
        </w:rPr>
      </w:pPr>
    </w:p>
    <w:p>
      <w:pPr>
        <w:jc w:val="both"/>
        <w:ind w:left="900" w:right="20" w:hanging="325"/>
        <w:spacing w:after="0" w:line="340" w:lineRule="auto"/>
        <w:tabs>
          <w:tab w:leader="none" w:pos="9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Cameron’s Subsea segment is made up of the OneSubsea JV (Cameron 60%, Schlumberger 40%), which includes wellheads, subsea trees, subsea processing and control systems. OneSubsea leverages Cameron’s flow control expertise, process technologies and world-class manufacturing and aftermarket capabilities, along with Schlumberger’s petro-technical leadership, reservoir and production technology, and R&amp;D capabilities.</w:t>
      </w:r>
    </w:p>
    <w:p>
      <w:pPr>
        <w:sectPr>
          <w:pgSz w:w="11900" w:h="16838" w:orient="portrait"/>
          <w:cols w:equalWidth="0" w:num="1">
            <w:col w:w="11420"/>
          </w:cols>
          <w:pgMar w:left="240" w:top="121" w:right="239" w:bottom="1440" w:gutter="0" w:footer="0" w:header="0"/>
        </w:sectPr>
      </w:pPr>
    </w:p>
    <w:bookmarkStart w:id="111" w:name="page112"/>
    <w:bookmarkEnd w:id="111"/>
    <w:p>
      <w:pPr>
        <w:ind w:left="900" w:hanging="325"/>
        <w:spacing w:after="0" w:line="31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Cameron’s Surface segment provides onshore and offshore platform wellhead systems and processing solutions that Schlumberger does not offer. For unconventional resources, CAMSHALE™ Services provides one-stop access to Cameron’s full range of flow equipment along with the technical expertise, systems innovation, and safety leadership needed to increase operational efficiency throughout the life of the field.</w:t>
      </w:r>
    </w:p>
    <w:p>
      <w:pPr>
        <w:spacing w:after="0" w:line="268" w:lineRule="exact"/>
        <w:rPr>
          <w:rFonts w:ascii="Arial" w:cs="Arial" w:eastAsia="Arial" w:hAnsi="Arial"/>
          <w:sz w:val="16"/>
          <w:szCs w:val="16"/>
          <w:color w:val="auto"/>
        </w:rPr>
      </w:pPr>
    </w:p>
    <w:p>
      <w:pPr>
        <w:ind w:left="900" w:right="60" w:hanging="325"/>
        <w:spacing w:after="0" w:line="34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Cameron’s Drilling segment product offering includes BOPs, control systems, drilling risers, top drives, mud pumps, etc. Schlumberger does not provide any of these products or services and Cameron does not offer the types of drilling products or services that Schlumberger offers.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Cameron’s Valves &amp; Measurements segment provides the valve and measurement systems primarily used to control, direct and measure the flow of oil and gas from individual wellheads through flow lines, gathering lines and transmission systems to refineries, petrochemical plants and industrial centers for processing. Schlumberger does not offer any of these products or systems.</w:t>
      </w:r>
    </w:p>
    <w:p>
      <w:pPr>
        <w:spacing w:after="0" w:line="86"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Cameron’s Process Systems segment offers products or services that are integrated into projects where special optimization and control is needed to solve for complexities in oil and gas production systems such for Oil Dehydration, treating produced water and CO2.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employees does Cameron currently have?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 currently employs 24,000 employees in more than 300 locations around the world.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Cameron fit inside the Schlumberger organization?</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Post-closing, we expect that Cameron will be added as a separate product group, reporting to the CEO. Each existing segment of Cameron (Subsea, Surface, Drilling, V&amp;M and Process Systems) will be managed like any other Schlumberger segment. It is envisioned that Cameron’s geographical organization will over time be integrated into the Schlumberger Area and GeoMarket structure.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can we expect between now and closing?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between the signing of the agreement and completion of the merger, both companies will continue to operate separately and independently of each other, managing their respective businesses as usual.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we tell our customers?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period between the signing of the agreement and completion of the merger, both companies will continue to operate separately and independently of each other, managing their respective businesses as usual. Post-closing, our customers will be able to buy the same oilfield services and equipment as they have been buying from Cameron in the past, and Cameron equipment and services will remain available everywhere in the world they are currently available. In addition, because the merger will combine complementary product and service lines that will enable the development of innovative new offerings, customers will benefit from a new total systems approach, including software, instrumentation, control, automation and integration.</w:t>
      </w:r>
    </w:p>
    <w:p>
      <w:pPr>
        <w:sectPr>
          <w:pgSz w:w="11900" w:h="16838" w:orient="portrait"/>
          <w:cols w:equalWidth="0" w:num="1">
            <w:col w:w="11380"/>
          </w:cols>
          <w:pgMar w:left="240" w:top="125"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Additional details will be communicated to customers by the Global Account Directors and their teams.</w:t>
      </w:r>
    </w:p>
    <w:p>
      <w:pPr>
        <w:spacing w:after="0" w:line="329" w:lineRule="exact"/>
        <w:rPr>
          <w:sz w:val="20"/>
          <w:szCs w:val="20"/>
          <w:color w:val="auto"/>
        </w:rPr>
      </w:pPr>
    </w:p>
    <w:p>
      <w:pPr>
        <w:ind w:right="5540"/>
        <w:spacing w:after="0" w:line="407" w:lineRule="auto"/>
        <w:rPr>
          <w:sz w:val="20"/>
          <w:szCs w:val="20"/>
          <w:color w:val="auto"/>
        </w:rPr>
      </w:pPr>
      <w:r>
        <w:rPr>
          <w:rFonts w:ascii="Arial" w:cs="Arial" w:eastAsia="Arial" w:hAnsi="Arial"/>
          <w:sz w:val="18"/>
          <w:szCs w:val="18"/>
          <w:b w:val="1"/>
          <w:bCs w:val="1"/>
          <w:color w:val="auto"/>
        </w:rPr>
        <w:t xml:space="preserve">Will Cameron keep its company brand? </w:t>
      </w:r>
      <w:r>
        <w:rPr>
          <w:rFonts w:ascii="Arial" w:cs="Arial" w:eastAsia="Arial" w:hAnsi="Arial"/>
          <w:sz w:val="18"/>
          <w:szCs w:val="18"/>
          <w:color w:val="auto"/>
        </w:rPr>
        <w:t>Post-closing, Cameron will be referred to as Cameron, a Schlumberger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communication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within the meaning of the federal securities laws.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votes of Cameron’s stockholders, the timing to consummate the proposed transaction, the ability to successfully integrate the merged businesses and other risk factors that are discussed in Schlumberger’s and Cameron’s most recent 10-Ks as well as each company’s other filings with the SEC available at the SEC’s Internet site (http://www.sec.gov).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does not constitute an offer to buy or sell or the solicitation of an offer to buy or sell any securities or a solicitation of any vote or approval. STOCKHOLDERS ARE URGED TO READ THE PROXY STATEMENT/PROSPECTUS, THE REGISTRATION STATEMENT AND OTHER DOCUMENTS THAT MAY BE FILED WITH THE SEC REGARDING THE TRANSACTION CAREFULLY AND IN THEIR ENTIRETY IF AND WHEN THEY BECOME AVAILABLE BECAUSE THEY WILL CONTAIN IMPORTANT INFORMATION. These documents (when they become available)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w:t>
      </w:r>
    </w:p>
    <w:p>
      <w:pPr>
        <w:sectPr>
          <w:pgSz w:w="11900" w:h="16838" w:orient="portrait"/>
          <w:cols w:equalWidth="0" w:num="1">
            <w:col w:w="11420"/>
          </w:cols>
          <w:pgMar w:left="240" w:top="125" w:right="239" w:bottom="1440" w:gutter="0" w:footer="0" w:header="0"/>
        </w:sectPr>
      </w:pPr>
    </w:p>
    <w:bookmarkStart w:id="113" w:name="page114"/>
    <w:bookmarkEnd w:id="113"/>
    <w:p>
      <w:pPr>
        <w:spacing w:after="0" w:line="264" w:lineRule="auto"/>
        <w:rPr>
          <w:sz w:val="20"/>
          <w:szCs w:val="20"/>
          <w:color w:val="auto"/>
        </w:rPr>
      </w:pPr>
      <w:r>
        <w:rPr>
          <w:rFonts w:ascii="Arial" w:cs="Arial" w:eastAsia="Arial" w:hAnsi="Arial"/>
          <w:sz w:val="18"/>
          <w:szCs w:val="18"/>
          <w:color w:val="auto"/>
        </w:rPr>
        <w:t>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Letter"/>
      <w:start w:val="1"/>
    </w:lvl>
  </w:abstractNum>
  <w:abstractNum w:abstractNumId="3">
    <w:nsid w:val="354FE9F9"/>
    <w:multiLevelType w:val="hybridMultilevel"/>
    <w:lvl w:ilvl="0">
      <w:lvlJc w:val="left"/>
      <w:lvlText w:val="(%1)"/>
      <w:numFmt w:val="lowerLetter"/>
      <w:start w:val="4"/>
    </w:lvl>
  </w:abstractNum>
  <w:abstractNum w:abstractNumId="4">
    <w:nsid w:val="15B5AF5C"/>
    <w:multiLevelType w:val="hybridMultilevel"/>
    <w:lvl w:ilvl="0">
      <w:lvlJc w:val="left"/>
      <w:lvlText w:val="%1"/>
      <w:numFmt w:val="upperLetter"/>
      <w:start w:val="1"/>
    </w:lvl>
    <w:lvl w:ilvl="1">
      <w:lvlJc w:val="left"/>
      <w:lvlText w:val="(%2)"/>
      <w:numFmt w:val="lowerLetter"/>
      <w:start w:val="7"/>
    </w:lvl>
  </w:abstractNum>
  <w:abstractNum w:abstractNumId="5">
    <w:nsid w:val="741226BB"/>
    <w:multiLevelType w:val="hybridMultilevel"/>
    <w:lvl w:ilvl="0">
      <w:lvlJc w:val="left"/>
      <w:lvlText w:val="(%1)"/>
      <w:numFmt w:val="upperLetter"/>
      <w:start w:val="1"/>
    </w:lvl>
    <w:lvl w:ilvl="1">
      <w:lvlJc w:val="left"/>
      <w:lvlText w:val="(%2)"/>
      <w:numFmt w:val="lowerLetter"/>
      <w:start w:val="8"/>
    </w:lvl>
  </w:abstractNum>
  <w:abstractNum w:abstractNumId="6">
    <w:nsid w:val="D34B6A8"/>
    <w:multiLevelType w:val="hybridMultilevel"/>
    <w:lvl w:ilvl="0">
      <w:lvlJc w:val="left"/>
      <w:lvlText w:val="(%1)"/>
      <w:numFmt w:val="upperLetter"/>
      <w:start w:val="1"/>
    </w:lvl>
    <w:lvl w:ilvl="1">
      <w:lvlJc w:val="left"/>
      <w:lvlText w:val="(%2)"/>
      <w:numFmt w:val="lowerLetter"/>
      <w:start w:val="10"/>
    </w:lvl>
  </w:abstractNum>
  <w:abstractNum w:abstractNumId="7">
    <w:nsid w:val="10233C99"/>
    <w:multiLevelType w:val="hybridMultilevel"/>
    <w:lvl w:ilvl="0">
      <w:lvlJc w:val="left"/>
      <w:lvlText w:val="(%1)"/>
      <w:numFmt w:val="lowerLetter"/>
      <w:start w:val="1"/>
    </w:lvl>
  </w:abstractNum>
  <w:abstractNum w:abstractNumId="8">
    <w:nsid w:val="3F6AB60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
    <w:nsid w:val="61574095"/>
    <w:multiLevelType w:val="hybridMultilevel"/>
    <w:lvl w:ilvl="0">
      <w:lvlJc w:val="left"/>
      <w:lvlText w:val="%1."/>
      <w:numFmt w:val="decimal"/>
      <w:start w:val="4"/>
    </w:lvl>
    <w:lvl w:ilvl="1">
      <w:lvlJc w:val="left"/>
      <w:lvlText w:val="(%2)"/>
      <w:numFmt w:val="lowerLetter"/>
      <w:start w:val="4"/>
    </w:lvl>
    <w:lvl w:ilvl="2">
      <w:lvlJc w:val="left"/>
      <w:lvlText w:val="(%3)"/>
      <w:numFmt w:val="lowerRoman"/>
      <w:start w:val="1"/>
    </w:lvl>
  </w:abstractNum>
  <w:abstractNum w:abstractNumId="10">
    <w:nsid w:val="7E0C57B1"/>
    <w:multiLevelType w:val="hybridMultilevel"/>
    <w:lvl w:ilvl="0">
      <w:lvlJc w:val="left"/>
      <w:lvlText w:val="%1"/>
      <w:numFmt w:val="lowerLetter"/>
      <w:start w:val="1"/>
    </w:lvl>
    <w:lvl w:ilvl="1">
      <w:lvlJc w:val="left"/>
      <w:lvlText w:val="(%2)"/>
      <w:numFmt w:val="lowerLetter"/>
      <w:start w:val="61"/>
    </w:lvl>
  </w:abstractNum>
  <w:abstractNum w:abstractNumId="11">
    <w:nsid w:val="77AE35EB"/>
    <w:multiLevelType w:val="hybridMultilevel"/>
    <w:lvl w:ilvl="0">
      <w:lvlJc w:val="left"/>
      <w:lvlText w:val="(%1)"/>
      <w:numFmt w:val="lowerLetter"/>
      <w:start w:val="6"/>
    </w:lvl>
    <w:lvl w:ilvl="1">
      <w:lvlJc w:val="left"/>
      <w:lvlText w:val="%2"/>
      <w:numFmt w:val="lowerLetter"/>
      <w:start w:val="1"/>
    </w:lvl>
  </w:abstractNum>
  <w:abstractNum w:abstractNumId="12">
    <w:nsid w:val="579BE4F1"/>
    <w:multiLevelType w:val="hybridMultilevel"/>
    <w:lvl w:ilvl="0">
      <w:lvlJc w:val="left"/>
      <w:lvlText w:val="(%1)"/>
      <w:numFmt w:val="lowerLetter"/>
      <w:start w:val="10"/>
    </w:lvl>
  </w:abstractNum>
  <w:abstractNum w:abstractNumId="13">
    <w:nsid w:val="310C50B3"/>
    <w:multiLevelType w:val="hybridMultilevel"/>
    <w:lvl w:ilvl="0">
      <w:lvlJc w:val="left"/>
      <w:lvlText w:val="(%1)"/>
      <w:numFmt w:val="lowerLetter"/>
      <w:start w:val="1"/>
    </w:lvl>
  </w:abstractNum>
  <w:abstractNum w:abstractNumId="14">
    <w:nsid w:val="5FF87E05"/>
    <w:multiLevelType w:val="hybridMultilevel"/>
    <w:lvl w:ilvl="0">
      <w:lvlJc w:val="left"/>
      <w:lvlText w:val="(%1)"/>
      <w:numFmt w:val="lowerLetter"/>
      <w:start w:val="1"/>
    </w:lvl>
  </w:abstractNum>
  <w:abstractNum w:abstractNumId="15">
    <w:nsid w:val="2F305DEF"/>
    <w:multiLevelType w:val="hybridMultilevel"/>
    <w:lvl w:ilvl="0">
      <w:lvlJc w:val="left"/>
      <w:lvlText w:val="(%1)"/>
      <w:numFmt w:val="decimal"/>
      <w:start w:val="2"/>
    </w:lvl>
    <w:lvl w:ilvl="1">
      <w:lvlJc w:val="left"/>
      <w:lvlText w:val="(%2)"/>
      <w:numFmt w:val="lowerLetter"/>
      <w:start w:val="2"/>
    </w:lvl>
  </w:abstractNum>
  <w:abstractNum w:abstractNumId="16">
    <w:nsid w:val="25A70BF7"/>
    <w:multiLevelType w:val="hybridMultilevel"/>
    <w:lvl w:ilvl="0">
      <w:lvlJc w:val="left"/>
      <w:lvlText w:val="(%1)"/>
      <w:numFmt w:val="lowerLetter"/>
      <w:start w:val="4"/>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1)"/>
      <w:numFmt w:val="lowerLetter"/>
      <w:start w:val="1"/>
    </w:lvl>
  </w:abstractNum>
  <w:abstractNum w:abstractNumId="19">
    <w:nsid w:val="1F48EAA1"/>
    <w:multiLevelType w:val="hybridMultilevel"/>
    <w:lvl w:ilvl="0">
      <w:lvlJc w:val="left"/>
      <w:lvlText w:val="%1"/>
      <w:numFmt w:val="upperLetter"/>
      <w:start w:val="1"/>
    </w:lvl>
    <w:lvl w:ilvl="1">
      <w:lvlJc w:val="left"/>
      <w:lvlText w:val="(%2)"/>
      <w:numFmt w:val="lowerLetter"/>
      <w:start w:val="1"/>
    </w:lvl>
  </w:abstractNum>
  <w:abstractNum w:abstractNumId="20">
    <w:nsid w:val="1381823A"/>
    <w:multiLevelType w:val="hybridMultilevel"/>
    <w:lvl w:ilvl="0">
      <w:lvlJc w:val="left"/>
      <w:lvlText w:val="(%1)"/>
      <w:numFmt w:val="upperLetter"/>
      <w:start w:val="2"/>
    </w:lvl>
    <w:lvl w:ilvl="1">
      <w:lvlJc w:val="left"/>
      <w:lvlText w:val="%2"/>
      <w:numFmt w:val="lowerLetter"/>
      <w:start w:val="1"/>
    </w:lvl>
  </w:abstractNum>
  <w:abstractNum w:abstractNumId="21">
    <w:nsid w:val="5DB70AE5"/>
    <w:multiLevelType w:val="hybridMultilevel"/>
    <w:lvl w:ilvl="0">
      <w:lvlJc w:val="left"/>
      <w:lvlText w:val="(%1)"/>
      <w:numFmt w:val="lowerLetter"/>
      <w:start w:val="4"/>
    </w:lvl>
  </w:abstractNum>
  <w:abstractNum w:abstractNumId="22">
    <w:nsid w:val="100F8FCA"/>
    <w:multiLevelType w:val="hybridMultilevel"/>
    <w:lvl w:ilvl="0">
      <w:lvlJc w:val="left"/>
      <w:lvlText w:val="(%1)"/>
      <w:numFmt w:val="lowerLetter"/>
      <w:start w:val="1"/>
    </w:lvl>
  </w:abstractNum>
  <w:abstractNum w:abstractNumId="23">
    <w:nsid w:val="6590700B"/>
    <w:multiLevelType w:val="hybridMultilevel"/>
    <w:lvl w:ilvl="0">
      <w:lvlJc w:val="left"/>
      <w:lvlText w:val="(%1)"/>
      <w:numFmt w:val="lowerLetter"/>
      <w:start w:val="5"/>
    </w:lvl>
  </w:abstractNum>
  <w:abstractNum w:abstractNumId="24">
    <w:nsid w:val="15014ACB"/>
    <w:multiLevelType w:val="hybridMultilevel"/>
    <w:lvl w:ilvl="0">
      <w:lvlJc w:val="left"/>
      <w:lvlText w:val="(%1)"/>
      <w:numFmt w:val="lowerLetter"/>
      <w:start w:val="1"/>
    </w:lvl>
  </w:abstractNum>
  <w:abstractNum w:abstractNumId="25">
    <w:nsid w:val="5F5E7FD0"/>
    <w:multiLevelType w:val="hybridMultilevel"/>
    <w:lvl w:ilvl="0">
      <w:lvlJc w:val="left"/>
      <w:lvlText w:val="(%1)"/>
      <w:numFmt w:val="lowerLetter"/>
      <w:start w:val="1"/>
    </w:lvl>
  </w:abstractNum>
  <w:abstractNum w:abstractNumId="26">
    <w:nsid w:val="98A3148"/>
    <w:multiLevelType w:val="hybridMultilevel"/>
    <w:lvl w:ilvl="0">
      <w:lvlJc w:val="left"/>
      <w:lvlText w:val="(%1)"/>
      <w:numFmt w:val="lowerLetter"/>
      <w:start w:val="9"/>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2"/>
    </w:lvl>
    <w:lvl w:ilvl="1">
      <w:lvlJc w:val="left"/>
      <w:lvlText w:val="(%2)"/>
      <w:numFmt w:val="lowerRoman"/>
      <w:start w:val="1"/>
    </w:lvl>
  </w:abstractNum>
  <w:abstractNum w:abstractNumId="29">
    <w:nsid w:val="42C296BD"/>
    <w:multiLevelType w:val="hybridMultilevel"/>
    <w:lvl w:ilvl="0">
      <w:lvlJc w:val="left"/>
      <w:lvlText w:val="(%1)"/>
      <w:numFmt w:val="lowerRoman"/>
      <w:start w:val="9"/>
    </w:lvl>
  </w:abstractNum>
  <w:abstractNum w:abstractNumId="30">
    <w:nsid w:val="168E12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3"/>
    </w:lvl>
  </w:abstractNum>
  <w:abstractNum w:abstractNumId="31">
    <w:nsid w:val="1EBA5D2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2">
    <w:nsid w:val="661E3F1E"/>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1"/>
    </w:lvl>
  </w:abstractNum>
  <w:abstractNum w:abstractNumId="35">
    <w:nsid w:val="7BD3EE7B"/>
    <w:multiLevelType w:val="hybridMultilevel"/>
    <w:lvl w:ilvl="0">
      <w:lvlJc w:val="left"/>
      <w:lvlText w:val="(%1)"/>
      <w:numFmt w:val="lowerLetter"/>
      <w:start w:val="2"/>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lowerLetter"/>
      <w:start w:val="3"/>
    </w:lvl>
  </w:abstractNum>
  <w:abstractNum w:abstractNumId="38">
    <w:nsid w:val="BF72B14"/>
    <w:multiLevelType w:val="hybridMultilevel"/>
    <w:lvl w:ilvl="0">
      <w:lvlJc w:val="left"/>
      <w:lvlText w:val="%1"/>
      <w:numFmt w:val="upperLetter"/>
      <w:start w:val="1"/>
    </w:lvl>
    <w:lvl w:ilvl="1">
      <w:lvlJc w:val="left"/>
      <w:lvlText w:val="(%2)"/>
      <w:numFmt w:val="lowerLetter"/>
      <w:start w:val="1"/>
    </w:lvl>
  </w:abstractNum>
  <w:abstractNum w:abstractNumId="39">
    <w:nsid w:val="11447B73"/>
    <w:multiLevelType w:val="hybridMultilevel"/>
    <w:lvl w:ilvl="0">
      <w:lvlJc w:val="left"/>
      <w:lvlText w:val="(%1)"/>
      <w:numFmt w:val="upperLetter"/>
      <w:start w:val="1"/>
    </w:lvl>
    <w:lvl w:ilvl="1">
      <w:lvlJc w:val="left"/>
      <w:lvlText w:val="%2"/>
      <w:numFmt w:val="lowerLetter"/>
      <w:start w:val="1"/>
    </w:lvl>
  </w:abstractNum>
  <w:abstractNum w:abstractNumId="40">
    <w:nsid w:val="42963E5A"/>
    <w:multiLevelType w:val="hybridMultilevel"/>
    <w:lvl w:ilvl="0">
      <w:lvlJc w:val="left"/>
      <w:lvlText w:val="(%1)"/>
      <w:numFmt w:val="lowerLetter"/>
      <w:start w:val="2"/>
    </w:lvl>
  </w:abstractNum>
  <w:abstractNum w:abstractNumId="41">
    <w:nsid w:val="A0382C5"/>
    <w:multiLevelType w:val="hybridMultilevel"/>
    <w:lvl w:ilvl="0">
      <w:lvlJc w:val="left"/>
      <w:lvlText w:val="(%1)"/>
      <w:numFmt w:val="lowerRoman"/>
      <w:start w:val="2"/>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1"/>
    </w:lvl>
    <w:lvl w:ilvl="1">
      <w:lvlJc w:val="left"/>
      <w:lvlText w:val="(%2)"/>
      <w:numFmt w:val="lowerLetter"/>
      <w:start w:val="1"/>
    </w:lvl>
  </w:abstractNum>
  <w:abstractNum w:abstractNumId="45">
    <w:nsid w:val="68EB2F63"/>
    <w:multiLevelType w:val="hybridMultilevel"/>
    <w:lvl w:ilvl="0">
      <w:lvlJc w:val="left"/>
      <w:lvlText w:val="(%1)"/>
      <w:numFmt w:val="lowerLetter"/>
      <w:start w:val="9"/>
    </w:lvl>
    <w:lvl w:ilvl="1">
      <w:lvlJc w:val="left"/>
      <w:lvlText w:val="%2"/>
      <w:numFmt w:val="lowerLetter"/>
      <w:start w:val="1"/>
    </w:lvl>
  </w:abstractNum>
  <w:abstractNum w:abstractNumId="46">
    <w:nsid w:val="4962813B"/>
    <w:multiLevelType w:val="hybridMultilevel"/>
    <w:lvl w:ilvl="0">
      <w:lvlJc w:val="left"/>
      <w:lvlText w:val="%1"/>
      <w:numFmt w:val="lowerRoman"/>
      <w:start w:val="1"/>
    </w:lvl>
    <w:lvl w:ilvl="1">
      <w:lvlJc w:val="left"/>
      <w:lvlText w:val="(%2)"/>
      <w:numFmt w:val="lowerLetter"/>
      <w:start w:val="2"/>
    </w:lvl>
  </w:abstractNum>
  <w:abstractNum w:abstractNumId="47">
    <w:nsid w:val="60B6DF70"/>
    <w:multiLevelType w:val="hybridMultilevel"/>
    <w:lvl w:ilvl="0">
      <w:lvlJc w:val="left"/>
      <w:lvlText w:val="(%1)"/>
      <w:numFmt w:val="lowerRoman"/>
      <w:start w:val="6"/>
    </w:lvl>
    <w:lvl w:ilvl="1">
      <w:lvlJc w:val="left"/>
      <w:lvlText w:val="%2"/>
      <w:numFmt w:val="lowerLetter"/>
      <w:start w:val="1"/>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lowerLetter"/>
      <w:start w:val="2"/>
    </w:lvl>
  </w:abstractNum>
  <w:abstractNum w:abstractNumId="51">
    <w:nsid w:val="1A27709E"/>
    <w:multiLevelType w:val="hybridMultilevel"/>
    <w:lvl w:ilvl="0">
      <w:lvlJc w:val="left"/>
      <w:lvlText w:val="(%1)"/>
      <w:numFmt w:val="lowerLetter"/>
      <w:start w:val="1"/>
    </w:lvl>
  </w:abstractNum>
  <w:abstractNum w:abstractNumId="52">
    <w:nsid w:val="71EA1109"/>
    <w:multiLevelType w:val="hybridMultilevel"/>
    <w:lvl w:ilvl="0">
      <w:lvlJc w:val="left"/>
      <w:lvlText w:val="(%1)"/>
      <w:numFmt w:val="lowerLetter"/>
      <w:start w:val="2"/>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Roman"/>
      <w:start w:val="1"/>
    </w:lvl>
    <w:lvl w:ilvl="1">
      <w:lvlJc w:val="left"/>
      <w:lvlText w:val="(%2)"/>
      <w:numFmt w:val="lowerLetter"/>
      <w:start w:val="1"/>
    </w:lvl>
  </w:abstractNum>
  <w:abstractNum w:abstractNumId="56">
    <w:nsid w:val="6F6DD9AC"/>
    <w:multiLevelType w:val="hybridMultilevel"/>
    <w:lvl w:ilvl="0">
      <w:lvlJc w:val="left"/>
      <w:lvlText w:val="(%1)"/>
      <w:numFmt w:val="lowerRoman"/>
      <w:start w:val="6"/>
    </w:lvl>
    <w:lvl w:ilvl="1">
      <w:lvlJc w:val="left"/>
      <w:lvlText w:val="%2"/>
      <w:numFmt w:val="lowerLetter"/>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lowerLetter"/>
      <w:start w:val="2"/>
    </w:lvl>
  </w:abstractNum>
  <w:abstractNum w:abstractNumId="60">
    <w:nsid w:val="4C04A8AF"/>
    <w:multiLevelType w:val="hybridMultilevel"/>
    <w:lvl w:ilvl="0">
      <w:lvlJc w:val="left"/>
      <w:lvlText w:val="§§"/>
      <w:numFmt w:val="bullet"/>
      <w:start w:val="1"/>
    </w:lvl>
    <w:lvl w:ilvl="1">
      <w:lvlJc w:val="left"/>
      <w:lvlText w:val="(%2)"/>
      <w:numFmt w:val="lowerLetter"/>
      <w:start w:val="1"/>
    </w:lvl>
  </w:abstractNum>
  <w:abstractNum w:abstractNumId="61">
    <w:nsid w:val="1716703B"/>
    <w:multiLevelType w:val="hybridMultilevel"/>
    <w:lvl w:ilvl="0">
      <w:lvlJc w:val="left"/>
      <w:lvlText w:val="§§"/>
      <w:numFmt w:val="bullet"/>
      <w:start w:val="1"/>
    </w:lvl>
    <w:lvl w:ilvl="1">
      <w:lvlJc w:val="left"/>
      <w:lvlText w:val="(%2)"/>
      <w:numFmt w:val="lowerLetter"/>
      <w:start w:val="2"/>
    </w:lvl>
  </w:abstractNum>
  <w:abstractNum w:abstractNumId="62">
    <w:nsid w:val="14E17E33"/>
    <w:multiLevelType w:val="hybridMultilevel"/>
    <w:lvl w:ilvl="0">
      <w:lvlJc w:val="left"/>
      <w:lvlText w:val="(%1)"/>
      <w:numFmt w:val="lowerLetter"/>
      <w:start w:val="5"/>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4"/>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4"/>
    </w:lvl>
  </w:abstractNum>
  <w:abstractNum w:abstractNumId="67">
    <w:nsid w:val="46B7D447"/>
    <w:multiLevelType w:val="hybridMultilevel"/>
    <w:lvl w:ilvl="0">
      <w:lvlJc w:val="left"/>
      <w:lvlText w:val="(%1)"/>
      <w:numFmt w:val="lowerLetter"/>
      <w:start w:val="1"/>
    </w:lvl>
    <w:lvl w:ilvl="1">
      <w:lvlJc w:val="left"/>
      <w:lvlText w:val="(%2)"/>
      <w:numFmt w:val="lowerLetter"/>
      <w:start w:val="9"/>
    </w:lvl>
  </w:abstractNum>
  <w:abstractNum w:abstractNumId="68">
    <w:nsid w:val="4A2AC315"/>
    <w:multiLevelType w:val="hybridMultilevel"/>
    <w:lvl w:ilvl="0">
      <w:lvlJc w:val="left"/>
      <w:lvlText w:val="%1"/>
      <w:numFmt w:val="decimal"/>
      <w:start w:val="1"/>
    </w:lvl>
    <w:lvl w:ilvl="1">
      <w:lvlJc w:val="left"/>
      <w:lvlText w:val="(%2)"/>
      <w:numFmt w:val="lowerRoman"/>
      <w:start w:val="2"/>
    </w:lvl>
  </w:abstractNum>
  <w:abstractNum w:abstractNumId="69">
    <w:nsid w:val="39EE015C"/>
    <w:multiLevelType w:val="hybridMultilevel"/>
    <w:lvl w:ilvl="0">
      <w:lvlJc w:val="left"/>
      <w:lvlText w:val="(%1)"/>
      <w:numFmt w:val="decimal"/>
      <w:start w:val="2"/>
    </w:lvl>
    <w:lvl w:ilvl="1">
      <w:lvlJc w:val="left"/>
      <w:lvlText w:val="%2"/>
      <w:numFmt w:val="lowerRoman"/>
      <w:start w:val="1"/>
    </w:lvl>
  </w:abstractNum>
  <w:abstractNum w:abstractNumId="70">
    <w:nsid w:val="57FC4FBB"/>
    <w:multiLevelType w:val="hybridMultilevel"/>
    <w:lvl w:ilvl="0">
      <w:lvlJc w:val="left"/>
      <w:lvlText w:val="(%1)"/>
      <w:numFmt w:val="decimal"/>
      <w:start w:val="9"/>
    </w:lvl>
    <w:lvl w:ilvl="1">
      <w:lvlJc w:val="left"/>
      <w:lvlText w:val="(%2)"/>
      <w:numFmt w:val="lowerRoman"/>
      <w:start w:val="5"/>
    </w:lvl>
  </w:abstractNum>
  <w:abstractNum w:abstractNumId="71">
    <w:nsid w:val="CC1016F"/>
    <w:multiLevelType w:val="hybridMultilevel"/>
    <w:lvl w:ilvl="0">
      <w:lvlJc w:val="left"/>
      <w:lvlText w:val="(%1)"/>
      <w:numFmt w:val="lowerRoman"/>
      <w:start w:val="8"/>
    </w:lvl>
  </w:abstractNum>
  <w:abstractNum w:abstractNumId="72">
    <w:nsid w:val="43F18422"/>
    <w:multiLevelType w:val="hybridMultilevel"/>
    <w:lvl w:ilvl="0">
      <w:lvlJc w:val="left"/>
      <w:lvlText w:val="%1"/>
      <w:numFmt w:val="decimal"/>
      <w:start w:val="1"/>
    </w:lvl>
    <w:lvl w:ilvl="1">
      <w:lvlJc w:val="left"/>
      <w:lvlText w:val="(%2)"/>
      <w:numFmt w:val="lowerRoman"/>
      <w:start w:val="14"/>
    </w:lvl>
  </w:abstractNum>
  <w:abstractNum w:abstractNumId="73">
    <w:nsid w:val="60EF0119"/>
    <w:multiLevelType w:val="hybridMultilevel"/>
    <w:lvl w:ilvl="0">
      <w:lvlJc w:val="left"/>
      <w:lvlText w:val="(%1)"/>
      <w:numFmt w:val="decimal"/>
      <w:start w:val="3"/>
    </w:lvl>
    <w:lvl w:ilvl="1">
      <w:lvlJc w:val="left"/>
      <w:lvlText w:val="(%2)"/>
      <w:numFmt w:val="lowerRoman"/>
      <w:start w:val="15"/>
    </w:lvl>
  </w:abstractNum>
  <w:abstractNum w:abstractNumId="74">
    <w:nsid w:val="26F324BA"/>
    <w:multiLevelType w:val="hybridMultilevel"/>
    <w:lvl w:ilvl="0">
      <w:lvlJc w:val="left"/>
      <w:lvlText w:val="%1"/>
      <w:numFmt w:val="lowerLetter"/>
      <w:start w:val="1"/>
    </w:lvl>
    <w:lvl w:ilvl="1">
      <w:lvlJc w:val="left"/>
      <w:lvlText w:val="(%2)"/>
      <w:numFmt w:val="lowerRoman"/>
      <w:start w:val="20"/>
    </w:lvl>
  </w:abstractNum>
  <w:abstractNum w:abstractNumId="75">
    <w:nsid w:val="7F01579B"/>
    <w:multiLevelType w:val="hybridMultilevel"/>
    <w:lvl w:ilvl="0">
      <w:lvlJc w:val="left"/>
      <w:lvlText w:val="(%1)"/>
      <w:numFmt w:val="lowerLetter"/>
      <w:start w:val="3"/>
    </w:lvl>
    <w:lvl w:ilvl="1">
      <w:lvlJc w:val="left"/>
      <w:lvlText w:val="(%2)"/>
      <w:numFmt w:val="lowerRoman"/>
      <w:start w:val="1"/>
    </w:lvl>
  </w:abstractNum>
  <w:abstractNum w:abstractNumId="76">
    <w:nsid w:val="49DA307D"/>
    <w:multiLevelType w:val="hybridMultilevel"/>
    <w:lvl w:ilvl="0">
      <w:lvlJc w:val="left"/>
      <w:lvlText w:val="(%1)"/>
      <w:numFmt w:val="lowerRoman"/>
      <w:start w:val="3"/>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9"/>
    </w:lvl>
    <w:lvl w:ilvl="1">
      <w:lvlJc w:val="left"/>
      <w:lvlText w:val="(%2)"/>
      <w:numFmt w:val="lowerLetter"/>
      <w:start w:val="2"/>
    </w:lvl>
  </w:abstractNum>
  <w:abstractNum w:abstractNumId="79">
    <w:nsid w:val="50801EE1"/>
    <w:multiLevelType w:val="hybridMultilevel"/>
    <w:lvl w:ilvl="0">
      <w:lvlJc w:val="left"/>
      <w:lvlText w:val="(%1)"/>
      <w:numFmt w:val="lowerLetter"/>
      <w:start w:val="35"/>
    </w:lvl>
    <w:lvl w:ilvl="1">
      <w:lvlJc w:val="left"/>
      <w:lvlText w:val="%2"/>
      <w:numFmt w:val="lowerLetter"/>
      <w:start w:val="1"/>
    </w:lvl>
  </w:abstractNum>
  <w:abstractNum w:abstractNumId="80">
    <w:nsid w:val="488AC1A"/>
    <w:multiLevelType w:val="hybridMultilevel"/>
    <w:lvl w:ilvl="0">
      <w:lvlJc w:val="left"/>
      <w:lvlText w:val="(%1)"/>
      <w:numFmt w:val="lowerRoman"/>
      <w:start w:val="2"/>
    </w:lvl>
  </w:abstractNum>
  <w:abstractNum w:abstractNumId="81">
    <w:nsid w:val="5FB8011C"/>
    <w:multiLevelType w:val="hybridMultilevel"/>
    <w:lvl w:ilvl="0">
      <w:lvlJc w:val="left"/>
      <w:lvlText w:val="(%1)"/>
      <w:numFmt w:val="lowerLetter"/>
      <w:start w:val="3"/>
    </w:lvl>
  </w:abstractNum>
  <w:abstractNum w:abstractNumId="82">
    <w:nsid w:val="6AA78F7F"/>
    <w:multiLevelType w:val="hybridMultilevel"/>
    <w:lvl w:ilvl="0">
      <w:lvlJc w:val="left"/>
      <w:lvlText w:val="(%1)"/>
      <w:numFmt w:val="lowerLetter"/>
      <w:start w:val="7"/>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lowerLetter"/>
      <w:start w:val="1"/>
    </w:lvl>
    <w:lvl w:ilvl="1">
      <w:lvlJc w:val="left"/>
      <w:lvlText w:val="(%2)"/>
      <w:numFmt w:val="lowerRoman"/>
      <w:start w:val="1"/>
    </w:lvl>
  </w:abstractNum>
  <w:abstractNum w:abstractNumId="85">
    <w:nsid w:val="6A5F7029"/>
    <w:multiLevelType w:val="hybridMultilevel"/>
    <w:lvl w:ilvl="0">
      <w:lvlJc w:val="left"/>
      <w:lvlText w:val="%1"/>
      <w:numFmt w:val="lowerLetter"/>
      <w:start w:val="1"/>
    </w:lvl>
    <w:lvl w:ilvl="1">
      <w:lvlJc w:val="left"/>
      <w:lvlText w:val="(%2)"/>
      <w:numFmt w:val="lowerRoman"/>
      <w:start w:val="4"/>
    </w:lvl>
  </w:abstractNum>
  <w:abstractNum w:abstractNumId="86">
    <w:nsid w:val="7D5E18F8"/>
    <w:multiLevelType w:val="hybridMultilevel"/>
    <w:lvl w:ilvl="0">
      <w:lvlJc w:val="left"/>
      <w:lvlText w:val="(%1)"/>
      <w:numFmt w:val="lowerLetter"/>
      <w:start w:val="3"/>
    </w:lvl>
    <w:lvl w:ilvl="1">
      <w:lvlJc w:val="left"/>
      <w:lvlText w:val="%2"/>
      <w:numFmt w:val="lowerRoman"/>
      <w:start w:val="1"/>
    </w:lvl>
  </w:abstractNum>
  <w:abstractNum w:abstractNumId="87">
    <w:nsid w:val="5F3534A4"/>
    <w:multiLevelType w:val="hybridMultilevel"/>
    <w:lvl w:ilvl="0">
      <w:lvlJc w:val="left"/>
      <w:lvlText w:val="(%1)"/>
      <w:numFmt w:val="lowerLetter"/>
      <w:start w:val="4"/>
    </w:lvl>
  </w:abstractNum>
  <w:abstractNum w:abstractNumId="88">
    <w:nsid w:val="73A1821B"/>
    <w:multiLevelType w:val="hybridMultilevel"/>
    <w:lvl w:ilvl="0">
      <w:lvlJc w:val="left"/>
      <w:lvlText w:val="(%1)"/>
      <w:numFmt w:val="lowerLetter"/>
      <w:start w:val="6"/>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2"/>
    </w:lvl>
  </w:abstractNum>
  <w:abstractNum w:abstractNumId="93">
    <w:nsid w:val="6A3DD3E8"/>
    <w:multiLevelType w:val="hybridMultilevel"/>
    <w:lvl w:ilvl="0">
      <w:lvlJc w:val="left"/>
      <w:lvlText w:val="%1"/>
      <w:numFmt w:val="lowerRoman"/>
      <w:start w:val="1"/>
    </w:lvl>
    <w:lvl w:ilvl="1">
      <w:lvlJc w:val="left"/>
      <w:lvlText w:val="(%2)"/>
      <w:numFmt w:val="lowerLetter"/>
      <w:start w:val="6"/>
    </w:lvl>
  </w:abstractNum>
  <w:abstractNum w:abstractNumId="94">
    <w:nsid w:val="71C91298"/>
    <w:multiLevelType w:val="hybridMultilevel"/>
    <w:lvl w:ilvl="0">
      <w:lvlJc w:val="left"/>
      <w:lvlText w:val="(%1)"/>
      <w:numFmt w:val="lowerRoman"/>
      <w:start w:val="1"/>
    </w:lvl>
    <w:lvl w:ilvl="1">
      <w:lvlJc w:val="left"/>
      <w:lvlText w:val="%2"/>
      <w:numFmt w:val="lowerLetter"/>
      <w:start w:val="1"/>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4"/>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2"/>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lvl w:ilvl="1">
      <w:lvlJc w:val="left"/>
      <w:lvlText w:val="(%2)"/>
      <w:numFmt w:val="lowerRoman"/>
      <w:start w:val="1"/>
    </w:lvl>
  </w:abstractNum>
  <w:abstractNum w:abstractNumId="104">
    <w:nsid w:val="97E1B4E"/>
    <w:multiLevelType w:val="hybridMultilevel"/>
    <w:lvl w:ilvl="0">
      <w:lvlJc w:val="left"/>
      <w:lvlText w:val="(%1)"/>
      <w:numFmt w:val="lowerLetter"/>
      <w:start w:val="2"/>
    </w:lvl>
  </w:abstractNum>
  <w:abstractNum w:abstractNumId="105">
    <w:nsid w:val="51088277"/>
    <w:multiLevelType w:val="hybridMultilevel"/>
    <w:lvl w:ilvl="0">
      <w:lvlJc w:val="left"/>
      <w:lvlText w:val="(%1)"/>
      <w:numFmt w:val="lowerLetter"/>
      <w:start w:val="2"/>
    </w:lvl>
  </w:abstractNum>
  <w:abstractNum w:abstractNumId="106">
    <w:nsid w:val="1CA0C5FA"/>
    <w:multiLevelType w:val="hybridMultilevel"/>
    <w:lvl w:ilvl="0">
      <w:lvlJc w:val="left"/>
      <w:lvlText w:val="%1"/>
      <w:numFmt w:val="lowerLetter"/>
      <w:start w:val="1"/>
    </w:lvl>
    <w:lvl w:ilvl="1">
      <w:lvlJc w:val="left"/>
      <w:lvlText w:val="(%2)"/>
      <w:numFmt w:val="lowerLetter"/>
      <w:start w:val="1"/>
    </w:lvl>
  </w:abstractNum>
  <w:abstractNum w:abstractNumId="107">
    <w:nsid w:val="53584BCB"/>
    <w:multiLevelType w:val="hybridMultilevel"/>
    <w:lvl w:ilvl="0">
      <w:lvlJc w:val="left"/>
      <w:lvlText w:val="(%1)"/>
      <w:numFmt w:val="lowerLetter"/>
      <w:start w:val="35"/>
    </w:lvl>
    <w:lvl w:ilvl="1">
      <w:lvlJc w:val="left"/>
      <w:lvlText w:val="(%2)"/>
      <w:numFmt w:val="lowerLetter"/>
      <w:start w:val="3"/>
    </w:lvl>
  </w:abstractNum>
  <w:abstractNum w:abstractNumId="108">
    <w:nsid w:val="415E286C"/>
    <w:multiLevelType w:val="hybridMultilevel"/>
    <w:lvl w:ilvl="0">
      <w:lvlJc w:val="left"/>
      <w:lvlText w:val="(%1)"/>
      <w:numFmt w:val="upperLetter"/>
      <w:start w:val="2"/>
    </w:lvl>
    <w:lvl w:ilvl="1">
      <w:lvlJc w:val="left"/>
      <w:lvlText w:val="%2"/>
      <w:numFmt w:val="lowerLetter"/>
      <w:start w:val="1"/>
    </w:lvl>
  </w:abstractNum>
  <w:abstractNum w:abstractNumId="109">
    <w:nsid w:val="7C58FD05"/>
    <w:multiLevelType w:val="hybridMultilevel"/>
    <w:lvl w:ilvl="0">
      <w:lvlJc w:val="left"/>
      <w:lvlText w:val="(%1)"/>
      <w:numFmt w:val="upperLetter"/>
      <w:start w:val="4"/>
    </w:lvl>
    <w:lvl w:ilvl="1">
      <w:lvlJc w:val="left"/>
      <w:lvlText w:val="(%2)"/>
      <w:numFmt w:val="lowerLetter"/>
      <w:start w:val="5"/>
    </w:lvl>
  </w:abstractNum>
  <w:abstractNum w:abstractNumId="110">
    <w:nsid w:val="23D86AAC"/>
    <w:multiLevelType w:val="hybridMultilevel"/>
    <w:lvl w:ilvl="0">
      <w:lvlJc w:val="left"/>
      <w:lvlText w:val="(%1)"/>
      <w:numFmt w:val="lowerLetter"/>
      <w:start w:val="7"/>
    </w:lvl>
  </w:abstractNum>
  <w:abstractNum w:abstractNumId="111">
    <w:nsid w:val="45E6D486"/>
    <w:multiLevelType w:val="hybridMultilevel"/>
    <w:lvl w:ilvl="0">
      <w:lvlJc w:val="left"/>
      <w:lvlText w:val="(%1)"/>
      <w:numFmt w:val="lowerLetter"/>
      <w:start w:val="4"/>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2019-12-05T14:52:00Z</dcterms:created>
  <dcterms:modified xsi:type="dcterms:W3CDTF">2019-12-05T14:52:00Z</dcterms:modified>
</cp:coreProperties>
</file>