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As filed with the Securities and Exchange Commission on May 2, 2005</w:t>
      </w:r>
    </w:p>
    <w:p>
      <w:pPr>
        <w:spacing w:after="0" w:line="21" w:lineRule="exact"/>
        <w:rPr>
          <w:sz w:val="24"/>
          <w:szCs w:val="24"/>
          <w:color w:val="auto"/>
        </w:rPr>
      </w:pPr>
    </w:p>
    <w:p>
      <w:pPr>
        <w:ind w:left="9480"/>
        <w:spacing w:after="0"/>
        <w:rPr>
          <w:sz w:val="20"/>
          <w:szCs w:val="20"/>
          <w:color w:val="auto"/>
        </w:rPr>
      </w:pPr>
      <w:r>
        <w:rPr>
          <w:rFonts w:ascii="Arial" w:cs="Arial" w:eastAsia="Arial" w:hAnsi="Arial"/>
          <w:sz w:val="18"/>
          <w:szCs w:val="18"/>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116205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drawing>
          <wp:anchor simplePos="0" relativeHeight="251657728" behindDoc="1" locked="0" layoutInCell="0" allowOverlap="1">
            <wp:simplePos x="0" y="0"/>
            <wp:positionH relativeFrom="column">
              <wp:posOffset>7028815</wp:posOffset>
            </wp:positionH>
            <wp:positionV relativeFrom="paragraph">
              <wp:posOffset>-17780</wp:posOffset>
            </wp:positionV>
            <wp:extent cx="22288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74"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S-3</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REGISTRATION STATEMENT</w:t>
      </w:r>
    </w:p>
    <w:p>
      <w:pPr>
        <w:jc w:val="center"/>
        <w:ind w:right="-19"/>
        <w:spacing w:after="0" w:line="230"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107315</wp:posOffset>
            </wp:positionV>
            <wp:extent cx="124333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9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N.V.</w:t>
      </w:r>
    </w:p>
    <w:p>
      <w:pPr>
        <w:spacing w:after="0" w:line="5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(Schlumberger Limited)</w:t>
      </w:r>
    </w:p>
    <w:tbl>
      <w:tblPr>
        <w:tblLayout w:type="fixed"/>
        <w:tblInd w:w="1900" w:type="dxa"/>
        <w:tblCellMar>
          <w:top w:w="0" w:type="dxa"/>
          <w:left w:w="0" w:type="dxa"/>
          <w:bottom w:w="0" w:type="dxa"/>
          <w:right w:w="0" w:type="dxa"/>
        </w:tblCellMar>
      </w:tblPr>
      <w:tr>
        <w:trPr>
          <w:trHeight w:val="174"/>
        </w:trPr>
        <w:tc>
          <w:tcPr>
            <w:tcW w:w="2120" w:type="dxa"/>
            <w:vAlign w:val="bottom"/>
          </w:tcPr>
          <w:p>
            <w:pPr>
              <w:spacing w:after="0"/>
              <w:rPr>
                <w:sz w:val="15"/>
                <w:szCs w:val="15"/>
                <w:color w:val="auto"/>
              </w:rPr>
            </w:pPr>
          </w:p>
        </w:tc>
        <w:tc>
          <w:tcPr>
            <w:tcW w:w="5200" w:type="dxa"/>
            <w:vAlign w:val="bottom"/>
            <w:gridSpan w:val="3"/>
          </w:tcPr>
          <w:p>
            <w:pPr>
              <w:jc w:val="center"/>
              <w:ind w:right="1752"/>
              <w:spacing w:after="0"/>
              <w:rPr>
                <w:sz w:val="20"/>
                <w:szCs w:val="20"/>
                <w:color w:val="auto"/>
              </w:rPr>
            </w:pPr>
            <w:r>
              <w:rPr>
                <w:rFonts w:ascii="Arial" w:cs="Arial" w:eastAsia="Arial" w:hAnsi="Arial"/>
                <w:sz w:val="14"/>
                <w:szCs w:val="14"/>
                <w:b w:val="1"/>
                <w:bCs w:val="1"/>
                <w:color w:val="auto"/>
                <w:w w:val="86"/>
              </w:rPr>
              <w:t>(Exact name of registrant as specified in its charter)</w:t>
            </w:r>
          </w:p>
        </w:tc>
      </w:tr>
      <w:tr>
        <w:trPr>
          <w:trHeight w:val="325"/>
        </w:trPr>
        <w:tc>
          <w:tcPr>
            <w:tcW w:w="2120" w:type="dxa"/>
            <w:vAlign w:val="bottom"/>
          </w:tcPr>
          <w:p>
            <w:pPr>
              <w:jc w:val="center"/>
              <w:ind w:right="106"/>
              <w:spacing w:after="0"/>
              <w:rPr>
                <w:sz w:val="20"/>
                <w:szCs w:val="20"/>
                <w:color w:val="auto"/>
              </w:rPr>
            </w:pPr>
            <w:r>
              <w:rPr>
                <w:rFonts w:ascii="Arial" w:cs="Arial" w:eastAsia="Arial" w:hAnsi="Arial"/>
                <w:sz w:val="18"/>
                <w:szCs w:val="18"/>
                <w:b w:val="1"/>
                <w:bCs w:val="1"/>
                <w:color w:val="auto"/>
                <w:w w:val="88"/>
              </w:rPr>
              <w:t>Netherlands Antilles</w:t>
            </w:r>
          </w:p>
        </w:tc>
        <w:tc>
          <w:tcPr>
            <w:tcW w:w="5200" w:type="dxa"/>
            <w:vAlign w:val="bottom"/>
            <w:gridSpan w:val="3"/>
          </w:tcPr>
          <w:p>
            <w:pPr>
              <w:jc w:val="center"/>
              <w:ind w:left="4036"/>
              <w:spacing w:after="0"/>
              <w:rPr>
                <w:sz w:val="20"/>
                <w:szCs w:val="20"/>
                <w:color w:val="auto"/>
              </w:rPr>
            </w:pPr>
            <w:r>
              <w:rPr>
                <w:rFonts w:ascii="Arial" w:cs="Arial" w:eastAsia="Arial" w:hAnsi="Arial"/>
                <w:sz w:val="18"/>
                <w:szCs w:val="18"/>
                <w:b w:val="1"/>
                <w:bCs w:val="1"/>
                <w:color w:val="auto"/>
                <w:w w:val="87"/>
              </w:rPr>
              <w:t>52-0684746</w:t>
            </w:r>
          </w:p>
        </w:tc>
      </w:tr>
      <w:tr>
        <w:trPr>
          <w:trHeight w:val="149"/>
        </w:trPr>
        <w:tc>
          <w:tcPr>
            <w:tcW w:w="2120" w:type="dxa"/>
            <w:vAlign w:val="bottom"/>
          </w:tcPr>
          <w:p>
            <w:pPr>
              <w:jc w:val="center"/>
              <w:ind w:right="106"/>
              <w:spacing w:after="0" w:line="149" w:lineRule="exact"/>
              <w:rPr>
                <w:sz w:val="20"/>
                <w:szCs w:val="20"/>
                <w:color w:val="auto"/>
              </w:rPr>
            </w:pPr>
            <w:r>
              <w:rPr>
                <w:rFonts w:ascii="Arial" w:cs="Arial" w:eastAsia="Arial" w:hAnsi="Arial"/>
                <w:sz w:val="14"/>
                <w:szCs w:val="14"/>
                <w:b w:val="1"/>
                <w:bCs w:val="1"/>
                <w:color w:val="auto"/>
                <w:w w:val="87"/>
              </w:rPr>
              <w:t>(State or other jurisdiction</w:t>
            </w:r>
          </w:p>
        </w:tc>
        <w:tc>
          <w:tcPr>
            <w:tcW w:w="72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2520" w:type="dxa"/>
            <w:vAlign w:val="bottom"/>
          </w:tcPr>
          <w:p>
            <w:pPr>
              <w:jc w:val="center"/>
              <w:ind w:left="1392"/>
              <w:spacing w:after="0" w:line="149" w:lineRule="exact"/>
              <w:rPr>
                <w:sz w:val="20"/>
                <w:szCs w:val="20"/>
                <w:color w:val="auto"/>
              </w:rPr>
            </w:pPr>
            <w:r>
              <w:rPr>
                <w:rFonts w:ascii="Arial" w:cs="Arial" w:eastAsia="Arial" w:hAnsi="Arial"/>
                <w:sz w:val="14"/>
                <w:szCs w:val="14"/>
                <w:b w:val="1"/>
                <w:bCs w:val="1"/>
                <w:color w:val="auto"/>
                <w:w w:val="91"/>
              </w:rPr>
              <w:t>(I.R.S. Employer</w:t>
            </w:r>
          </w:p>
        </w:tc>
      </w:tr>
      <w:tr>
        <w:trPr>
          <w:trHeight w:val="174"/>
        </w:trPr>
        <w:tc>
          <w:tcPr>
            <w:tcW w:w="2120" w:type="dxa"/>
            <w:vAlign w:val="bottom"/>
          </w:tcPr>
          <w:p>
            <w:pPr>
              <w:jc w:val="center"/>
              <w:ind w:right="126"/>
              <w:spacing w:after="0"/>
              <w:rPr>
                <w:sz w:val="20"/>
                <w:szCs w:val="20"/>
                <w:color w:val="auto"/>
              </w:rPr>
            </w:pPr>
            <w:r>
              <w:rPr>
                <w:rFonts w:ascii="Arial" w:cs="Arial" w:eastAsia="Arial" w:hAnsi="Arial"/>
                <w:sz w:val="14"/>
                <w:szCs w:val="14"/>
                <w:b w:val="1"/>
                <w:bCs w:val="1"/>
                <w:color w:val="auto"/>
                <w:w w:val="88"/>
              </w:rPr>
              <w:t>of incorporation or organization)</w:t>
            </w:r>
          </w:p>
        </w:tc>
        <w:tc>
          <w:tcPr>
            <w:tcW w:w="72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2520" w:type="dxa"/>
            <w:vAlign w:val="bottom"/>
          </w:tcPr>
          <w:p>
            <w:pPr>
              <w:jc w:val="center"/>
              <w:ind w:left="1392"/>
              <w:spacing w:after="0"/>
              <w:rPr>
                <w:sz w:val="20"/>
                <w:szCs w:val="20"/>
                <w:color w:val="auto"/>
              </w:rPr>
            </w:pPr>
            <w:r>
              <w:rPr>
                <w:rFonts w:ascii="Arial" w:cs="Arial" w:eastAsia="Arial" w:hAnsi="Arial"/>
                <w:sz w:val="14"/>
                <w:szCs w:val="14"/>
                <w:b w:val="1"/>
                <w:bCs w:val="1"/>
                <w:color w:val="auto"/>
                <w:w w:val="89"/>
              </w:rPr>
              <w:t>Identification No.)</w:t>
            </w:r>
          </w:p>
        </w:tc>
      </w:tr>
      <w:tr>
        <w:trPr>
          <w:trHeight w:val="163"/>
        </w:trPr>
        <w:tc>
          <w:tcPr>
            <w:tcW w:w="2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960" w:type="dxa"/>
            <w:vAlign w:val="bottom"/>
            <w:tcBorders>
              <w:bottom w:val="single" w:sz="8" w:color="auto"/>
            </w:tcBorders>
          </w:tcPr>
          <w:p>
            <w:pPr>
              <w:spacing w:after="0"/>
              <w:rPr>
                <w:sz w:val="14"/>
                <w:szCs w:val="14"/>
                <w:color w:val="auto"/>
              </w:rPr>
            </w:pPr>
          </w:p>
        </w:tc>
        <w:tc>
          <w:tcPr>
            <w:tcW w:w="2520" w:type="dxa"/>
            <w:vAlign w:val="bottom"/>
          </w:tcPr>
          <w:p>
            <w:pPr>
              <w:spacing w:after="0"/>
              <w:rPr>
                <w:sz w:val="14"/>
                <w:szCs w:val="14"/>
                <w:color w:val="auto"/>
              </w:rPr>
            </w:pPr>
          </w:p>
        </w:tc>
      </w:tr>
      <w:tr>
        <w:trPr>
          <w:trHeight w:val="371"/>
        </w:trPr>
        <w:tc>
          <w:tcPr>
            <w:tcW w:w="2120" w:type="dxa"/>
            <w:vAlign w:val="bottom"/>
          </w:tcPr>
          <w:p>
            <w:pPr>
              <w:spacing w:after="0"/>
              <w:rPr>
                <w:sz w:val="24"/>
                <w:szCs w:val="24"/>
                <w:color w:val="auto"/>
              </w:rPr>
            </w:pPr>
          </w:p>
        </w:tc>
        <w:tc>
          <w:tcPr>
            <w:tcW w:w="520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89"/>
              </w:rPr>
              <w:t>153 East 53rd Street, 57th Floor</w:t>
            </w:r>
          </w:p>
        </w:tc>
      </w:tr>
      <w:tr>
        <w:trPr>
          <w:trHeight w:val="216"/>
        </w:trPr>
        <w:tc>
          <w:tcPr>
            <w:tcW w:w="2120" w:type="dxa"/>
            <w:vAlign w:val="bottom"/>
          </w:tcPr>
          <w:p>
            <w:pPr>
              <w:spacing w:after="0"/>
              <w:rPr>
                <w:sz w:val="18"/>
                <w:szCs w:val="18"/>
                <w:color w:val="auto"/>
              </w:rPr>
            </w:pPr>
          </w:p>
        </w:tc>
        <w:tc>
          <w:tcPr>
            <w:tcW w:w="5200" w:type="dxa"/>
            <w:vAlign w:val="bottom"/>
            <w:gridSpan w:val="3"/>
          </w:tcPr>
          <w:p>
            <w:pPr>
              <w:jc w:val="center"/>
              <w:ind w:right="1732"/>
              <w:spacing w:after="0"/>
              <w:rPr>
                <w:sz w:val="20"/>
                <w:szCs w:val="20"/>
                <w:color w:val="auto"/>
              </w:rPr>
            </w:pPr>
            <w:r>
              <w:rPr>
                <w:rFonts w:ascii="Arial" w:cs="Arial" w:eastAsia="Arial" w:hAnsi="Arial"/>
                <w:sz w:val="18"/>
                <w:szCs w:val="18"/>
                <w:b w:val="1"/>
                <w:bCs w:val="1"/>
                <w:color w:val="auto"/>
                <w:w w:val="90"/>
              </w:rPr>
              <w:t>New York, New York 10022-4624</w:t>
            </w:r>
          </w:p>
        </w:tc>
      </w:tr>
      <w:tr>
        <w:trPr>
          <w:trHeight w:val="228"/>
        </w:trPr>
        <w:tc>
          <w:tcPr>
            <w:tcW w:w="2120" w:type="dxa"/>
            <w:vAlign w:val="bottom"/>
          </w:tcPr>
          <w:p>
            <w:pPr>
              <w:spacing w:after="0"/>
              <w:rPr>
                <w:sz w:val="19"/>
                <w:szCs w:val="19"/>
                <w:color w:val="auto"/>
              </w:rPr>
            </w:pPr>
          </w:p>
        </w:tc>
        <w:tc>
          <w:tcPr>
            <w:tcW w:w="2680" w:type="dxa"/>
            <w:vAlign w:val="bottom"/>
            <w:gridSpan w:val="2"/>
          </w:tcPr>
          <w:p>
            <w:pPr>
              <w:jc w:val="right"/>
              <w:ind w:right="352"/>
              <w:spacing w:after="0"/>
              <w:rPr>
                <w:sz w:val="20"/>
                <w:szCs w:val="20"/>
                <w:color w:val="auto"/>
              </w:rPr>
            </w:pPr>
            <w:r>
              <w:rPr>
                <w:rFonts w:ascii="Arial" w:cs="Arial" w:eastAsia="Arial" w:hAnsi="Arial"/>
                <w:sz w:val="18"/>
                <w:szCs w:val="18"/>
                <w:b w:val="1"/>
                <w:bCs w:val="1"/>
                <w:color w:val="auto"/>
              </w:rPr>
              <w:t>(212) 350-9400</w:t>
            </w:r>
          </w:p>
        </w:tc>
        <w:tc>
          <w:tcPr>
            <w:tcW w:w="2520" w:type="dxa"/>
            <w:vAlign w:val="bottom"/>
          </w:tcPr>
          <w:p>
            <w:pPr>
              <w:spacing w:after="0"/>
              <w:rPr>
                <w:sz w:val="19"/>
                <w:szCs w:val="19"/>
                <w:color w:val="auto"/>
              </w:rPr>
            </w:pPr>
          </w:p>
        </w:tc>
      </w:tr>
      <w:tr>
        <w:trPr>
          <w:trHeight w:val="352"/>
        </w:trPr>
        <w:tc>
          <w:tcPr>
            <w:tcW w:w="2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9"/>
              </w:rPr>
              <w:t>42, rue Saint-Dominique</w:t>
            </w:r>
          </w:p>
        </w:tc>
      </w:tr>
      <w:tr>
        <w:trPr>
          <w:trHeight w:val="216"/>
        </w:trPr>
        <w:tc>
          <w:tcPr>
            <w:tcW w:w="2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80" w:type="dxa"/>
            <w:vAlign w:val="bottom"/>
            <w:gridSpan w:val="2"/>
          </w:tcPr>
          <w:p>
            <w:pPr>
              <w:jc w:val="center"/>
              <w:ind w:right="2452"/>
              <w:spacing w:after="0"/>
              <w:rPr>
                <w:sz w:val="20"/>
                <w:szCs w:val="20"/>
                <w:color w:val="auto"/>
              </w:rPr>
            </w:pPr>
            <w:r>
              <w:rPr>
                <w:rFonts w:ascii="Arial" w:cs="Arial" w:eastAsia="Arial" w:hAnsi="Arial"/>
                <w:sz w:val="18"/>
                <w:szCs w:val="18"/>
                <w:b w:val="1"/>
                <w:bCs w:val="1"/>
                <w:color w:val="auto"/>
                <w:w w:val="88"/>
              </w:rPr>
              <w:t>Paris, France 75007</w:t>
            </w:r>
          </w:p>
        </w:tc>
      </w:tr>
      <w:tr>
        <w:trPr>
          <w:trHeight w:val="228"/>
        </w:trPr>
        <w:tc>
          <w:tcPr>
            <w:tcW w:w="2120" w:type="dxa"/>
            <w:vAlign w:val="bottom"/>
          </w:tcPr>
          <w:p>
            <w:pPr>
              <w:spacing w:after="0"/>
              <w:rPr>
                <w:sz w:val="19"/>
                <w:szCs w:val="19"/>
                <w:color w:val="auto"/>
              </w:rPr>
            </w:pPr>
          </w:p>
        </w:tc>
        <w:tc>
          <w:tcPr>
            <w:tcW w:w="2680" w:type="dxa"/>
            <w:vAlign w:val="bottom"/>
            <w:gridSpan w:val="2"/>
          </w:tcPr>
          <w:p>
            <w:pPr>
              <w:jc w:val="right"/>
              <w:ind w:right="332"/>
              <w:spacing w:after="0"/>
              <w:rPr>
                <w:sz w:val="20"/>
                <w:szCs w:val="20"/>
                <w:color w:val="auto"/>
              </w:rPr>
            </w:pPr>
            <w:r>
              <w:rPr>
                <w:rFonts w:ascii="Arial" w:cs="Arial" w:eastAsia="Arial" w:hAnsi="Arial"/>
                <w:sz w:val="18"/>
                <w:szCs w:val="18"/>
                <w:b w:val="1"/>
                <w:bCs w:val="1"/>
                <w:color w:val="auto"/>
              </w:rPr>
              <w:t>33-1-4062-1000</w:t>
            </w:r>
          </w:p>
        </w:tc>
        <w:tc>
          <w:tcPr>
            <w:tcW w:w="2520" w:type="dxa"/>
            <w:vAlign w:val="bottom"/>
          </w:tcPr>
          <w:p>
            <w:pPr>
              <w:spacing w:after="0"/>
              <w:rPr>
                <w:sz w:val="19"/>
                <w:szCs w:val="19"/>
                <w:color w:val="auto"/>
              </w:rPr>
            </w:pPr>
          </w:p>
        </w:tc>
      </w:tr>
    </w:tbl>
    <w:p>
      <w:pPr>
        <w:spacing w:after="0" w:line="1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Parkstraat 83, The Hague</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The Netherlands, 2514 JG</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31-70-310-5400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Ellen Summer, Esq.</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General Counsel and Secretary</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153 East 53rd Street, 57th Floor</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New York, New York 10022-4624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(212) 350-9400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104775</wp:posOffset>
            </wp:positionV>
            <wp:extent cx="1243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Copy to:</w:t>
      </w:r>
    </w:p>
    <w:p>
      <w:pPr>
        <w:spacing w:after="0" w:line="15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J. David Kirkland, Jr.</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Baker Botts L.L.P.</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One Shell Plaza</w:t>
      </w:r>
    </w:p>
    <w:p>
      <w:pPr>
        <w:spacing w:after="0" w:line="9" w:lineRule="exact"/>
        <w:rPr>
          <w:sz w:val="24"/>
          <w:szCs w:val="24"/>
          <w:color w:val="auto"/>
        </w:rPr>
      </w:pPr>
    </w:p>
    <w:p>
      <w:pPr>
        <w:ind w:left="5500" w:hanging="310"/>
        <w:spacing w:after="0"/>
        <w:tabs>
          <w:tab w:leader="none" w:pos="5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Louisiana</w:t>
      </w:r>
    </w:p>
    <w:p>
      <w:pPr>
        <w:spacing w:after="0" w:line="9" w:lineRule="exact"/>
        <w:rPr>
          <w:rFonts w:ascii="Arial" w:cs="Arial" w:eastAsia="Arial" w:hAnsi="Arial"/>
          <w:sz w:val="18"/>
          <w:szCs w:val="18"/>
          <w:b w:val="1"/>
          <w:bCs w:val="1"/>
          <w:color w:val="auto"/>
        </w:rPr>
      </w:pPr>
    </w:p>
    <w:p>
      <w:pPr>
        <w:ind w:left="49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Houston, Texas 77002</w:t>
      </w:r>
    </w:p>
    <w:p>
      <w:pPr>
        <w:spacing w:after="0" w:line="9" w:lineRule="exact"/>
        <w:rPr>
          <w:rFonts w:ascii="Arial" w:cs="Arial" w:eastAsia="Arial" w:hAnsi="Arial"/>
          <w:sz w:val="18"/>
          <w:szCs w:val="18"/>
          <w:b w:val="1"/>
          <w:bCs w:val="1"/>
          <w:color w:val="auto"/>
        </w:rPr>
      </w:pPr>
    </w:p>
    <w:p>
      <w:pPr>
        <w:ind w:left="51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(713) 229-1101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3006725</wp:posOffset>
            </wp:positionH>
            <wp:positionV relativeFrom="paragraph">
              <wp:posOffset>118745</wp:posOffset>
            </wp:positionV>
            <wp:extent cx="1243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41" w:lineRule="exact"/>
        <w:rPr>
          <w:sz w:val="24"/>
          <w:szCs w:val="24"/>
          <w:color w:val="auto"/>
        </w:rPr>
      </w:pPr>
    </w:p>
    <w:p>
      <w:pPr>
        <w:ind w:left="460"/>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From time to time after the effective date of this Registration Statement.</w:t>
      </w:r>
    </w:p>
    <w:p>
      <w:pPr>
        <w:spacing w:after="0" w:line="154" w:lineRule="exact"/>
        <w:rPr>
          <w:sz w:val="24"/>
          <w:szCs w:val="24"/>
          <w:color w:val="auto"/>
        </w:rPr>
      </w:pPr>
    </w:p>
    <w:p>
      <w:pPr>
        <w:ind w:left="460"/>
        <w:spacing w:after="0" w:line="184" w:lineRule="exact"/>
        <w:rPr>
          <w:sz w:val="20"/>
          <w:szCs w:val="20"/>
          <w:color w:val="auto"/>
        </w:rPr>
      </w:pPr>
      <w:r>
        <w:rPr>
          <w:rFonts w:ascii="Arial" w:cs="Arial" w:eastAsia="Arial" w:hAnsi="Arial"/>
          <w:sz w:val="16"/>
          <w:szCs w:val="16"/>
          <w:color w:val="auto"/>
        </w:rPr>
        <w:t xml:space="preserve">If the only securities being registered on this Form are to be offered pursuant to dividend or interest reinvestment plans, please check the following box. </w:t>
      </w:r>
      <w:r>
        <w:rPr>
          <w:rFonts w:ascii="MS PGothic" w:cs="MS PGothic" w:eastAsia="MS PGothic" w:hAnsi="MS PGothic"/>
          <w:sz w:val="16"/>
          <w:szCs w:val="16"/>
          <w:color w:val="auto"/>
        </w:rPr>
        <w:t>☐</w:t>
      </w:r>
    </w:p>
    <w:p>
      <w:pPr>
        <w:spacing w:after="0" w:line="213" w:lineRule="exact"/>
        <w:rPr>
          <w:sz w:val="24"/>
          <w:szCs w:val="24"/>
          <w:color w:val="auto"/>
        </w:rPr>
      </w:pPr>
    </w:p>
    <w:p>
      <w:pPr>
        <w:ind w:firstLine="456"/>
        <w:spacing w:after="0" w:line="230" w:lineRule="exact"/>
        <w:rPr>
          <w:sz w:val="20"/>
          <w:szCs w:val="20"/>
          <w:color w:val="auto"/>
        </w:rPr>
      </w:pPr>
      <w:r>
        <w:rPr>
          <w:rFonts w:ascii="Arial" w:cs="Arial" w:eastAsia="Arial" w:hAnsi="Arial"/>
          <w:sz w:val="16"/>
          <w:szCs w:val="16"/>
          <w:color w:val="auto"/>
        </w:rPr>
        <w:t xml:space="preserve">If any of the securities being registered on this Form are to be offered on a delayed or continuous basis pursuant to Rule 415 under the Securities Act of 1933, as amended (the “Securities Act”), other than securities offered only in connection with dividend or interest reinvestment plans, check the following box. </w:t>
      </w:r>
      <w:r>
        <w:rPr>
          <w:rFonts w:ascii="MS PGothic" w:cs="MS PGothic" w:eastAsia="MS PGothic" w:hAnsi="MS PGothic"/>
          <w:sz w:val="16"/>
          <w:szCs w:val="16"/>
          <w:color w:val="auto"/>
        </w:rPr>
        <w:t>☒</w:t>
      </w:r>
    </w:p>
    <w:p>
      <w:pPr>
        <w:spacing w:after="0" w:line="122" w:lineRule="exact"/>
        <w:rPr>
          <w:sz w:val="24"/>
          <w:szCs w:val="24"/>
          <w:color w:val="auto"/>
        </w:rPr>
      </w:pPr>
    </w:p>
    <w:p>
      <w:pPr>
        <w:ind w:right="20" w:firstLine="456"/>
        <w:spacing w:after="0" w:line="229" w:lineRule="exact"/>
        <w:rPr>
          <w:sz w:val="20"/>
          <w:szCs w:val="20"/>
          <w:color w:val="auto"/>
        </w:rPr>
      </w:pPr>
      <w:r>
        <w:rPr>
          <w:rFonts w:ascii="Arial" w:cs="Arial" w:eastAsia="Arial" w:hAnsi="Arial"/>
          <w:sz w:val="18"/>
          <w:szCs w:val="18"/>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124" w:lineRule="exact"/>
        <w:rPr>
          <w:sz w:val="24"/>
          <w:szCs w:val="24"/>
          <w:color w:val="auto"/>
        </w:rPr>
      </w:pPr>
    </w:p>
    <w:p>
      <w:pPr>
        <w:ind w:right="500" w:firstLine="456"/>
        <w:spacing w:after="0" w:line="229" w:lineRule="exact"/>
        <w:rPr>
          <w:sz w:val="20"/>
          <w:szCs w:val="20"/>
          <w:color w:val="auto"/>
        </w:rPr>
      </w:pPr>
      <w:r>
        <w:rPr>
          <w:rFonts w:ascii="Arial" w:cs="Arial" w:eastAsia="Arial" w:hAnsi="Arial"/>
          <w:sz w:val="18"/>
          <w:szCs w:val="18"/>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8"/>
          <w:szCs w:val="18"/>
          <w:color w:val="auto"/>
        </w:rPr>
        <w:t>☐</w:t>
      </w:r>
    </w:p>
    <w:p>
      <w:pPr>
        <w:spacing w:after="0" w:line="91" w:lineRule="exact"/>
        <w:rPr>
          <w:sz w:val="24"/>
          <w:szCs w:val="24"/>
          <w:color w:val="auto"/>
        </w:rPr>
      </w:pPr>
    </w:p>
    <w:p>
      <w:pPr>
        <w:ind w:left="460"/>
        <w:spacing w:after="0" w:line="207" w:lineRule="exact"/>
        <w:rPr>
          <w:sz w:val="20"/>
          <w:szCs w:val="20"/>
          <w:color w:val="auto"/>
        </w:rPr>
      </w:pPr>
      <w:r>
        <w:rPr>
          <w:rFonts w:ascii="Arial" w:cs="Arial" w:eastAsia="Arial" w:hAnsi="Arial"/>
          <w:sz w:val="18"/>
          <w:szCs w:val="18"/>
          <w:color w:val="auto"/>
        </w:rPr>
        <w:t xml:space="preserve">If delivery of the prospectus is expected to be made pursuant to Rule 434, please check the following box. </w:t>
      </w:r>
      <w:r>
        <w:rPr>
          <w:rFonts w:ascii="MS PGothic" w:cs="MS PGothic" w:eastAsia="MS PGothic" w:hAnsi="MS PGothic"/>
          <w:sz w:val="18"/>
          <w:szCs w:val="18"/>
          <w:color w:val="auto"/>
        </w:rPr>
        <w:t>☐</w:t>
      </w:r>
    </w:p>
    <w:p>
      <w:pPr>
        <w:spacing w:after="0" w:line="184" w:lineRule="exact"/>
        <w:rPr>
          <w:sz w:val="24"/>
          <w:szCs w:val="24"/>
          <w:color w:val="auto"/>
        </w:rPr>
      </w:pPr>
    </w:p>
    <w:p>
      <w:pPr>
        <w:ind w:left="4020"/>
        <w:spacing w:after="0"/>
        <w:rPr>
          <w:sz w:val="20"/>
          <w:szCs w:val="20"/>
          <w:color w:val="auto"/>
        </w:rPr>
      </w:pPr>
      <w:r>
        <w:rPr>
          <w:rFonts w:ascii="Arial" w:cs="Arial" w:eastAsia="Arial" w:hAnsi="Arial"/>
          <w:sz w:val="18"/>
          <w:szCs w:val="18"/>
          <w:b w:val="1"/>
          <w:bCs w:val="1"/>
          <w:color w:val="auto"/>
        </w:rPr>
        <w:t>CALCULATION OF REGISTRATION FEE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124460</wp:posOffset>
            </wp:positionV>
            <wp:extent cx="7250430"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00"/>
          </w:cols>
          <w:pgMar w:left="240" w:top="230" w:right="259" w:bottom="46"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jc w:val="center"/>
              <w:ind w:left="226"/>
              <w:spacing w:after="0"/>
              <w:rPr>
                <w:sz w:val="20"/>
                <w:szCs w:val="20"/>
                <w:color w:val="auto"/>
              </w:rPr>
            </w:pPr>
            <w:r>
              <w:rPr>
                <w:rFonts w:ascii="Arial" w:cs="Arial" w:eastAsia="Arial" w:hAnsi="Arial"/>
                <w:sz w:val="14"/>
                <w:szCs w:val="14"/>
                <w:b w:val="1"/>
                <w:bCs w:val="1"/>
                <w:color w:val="auto"/>
                <w:w w:val="86"/>
              </w:rPr>
              <w:t>Title of Each Class of</w:t>
            </w:r>
          </w:p>
        </w:tc>
        <w:tc>
          <w:tcPr>
            <w:tcW w:w="2320" w:type="dxa"/>
            <w:vAlign w:val="bottom"/>
          </w:tcPr>
          <w:p>
            <w:pPr>
              <w:jc w:val="center"/>
              <w:ind w:left="546"/>
              <w:spacing w:after="0"/>
              <w:rPr>
                <w:sz w:val="20"/>
                <w:szCs w:val="20"/>
                <w:color w:val="auto"/>
              </w:rPr>
            </w:pPr>
            <w:r>
              <w:rPr>
                <w:rFonts w:ascii="Arial" w:cs="Arial" w:eastAsia="Arial" w:hAnsi="Arial"/>
                <w:sz w:val="14"/>
                <w:szCs w:val="14"/>
                <w:b w:val="1"/>
                <w:bCs w:val="1"/>
                <w:color w:val="auto"/>
                <w:w w:val="86"/>
              </w:rPr>
              <w:t>Amount to be</w:t>
            </w:r>
          </w:p>
        </w:tc>
        <w:tc>
          <w:tcPr>
            <w:tcW w:w="2140" w:type="dxa"/>
            <w:vAlign w:val="bottom"/>
          </w:tcPr>
          <w:p>
            <w:pPr>
              <w:jc w:val="center"/>
              <w:spacing w:after="0"/>
              <w:rPr>
                <w:sz w:val="20"/>
                <w:szCs w:val="20"/>
                <w:color w:val="auto"/>
              </w:rPr>
            </w:pPr>
            <w:r>
              <w:rPr>
                <w:rFonts w:ascii="Arial" w:cs="Arial" w:eastAsia="Arial" w:hAnsi="Arial"/>
                <w:sz w:val="14"/>
                <w:szCs w:val="14"/>
                <w:b w:val="1"/>
                <w:bCs w:val="1"/>
                <w:color w:val="auto"/>
                <w:w w:val="88"/>
              </w:rPr>
              <w:t>Proposed Maximum Offering</w:t>
            </w:r>
          </w:p>
        </w:tc>
        <w:tc>
          <w:tcPr>
            <w:tcW w:w="1920" w:type="dxa"/>
            <w:vAlign w:val="bottom"/>
          </w:tcPr>
          <w:p>
            <w:pPr>
              <w:jc w:val="center"/>
              <w:spacing w:after="0"/>
              <w:rPr>
                <w:sz w:val="20"/>
                <w:szCs w:val="20"/>
                <w:color w:val="auto"/>
              </w:rPr>
            </w:pPr>
            <w:r>
              <w:rPr>
                <w:rFonts w:ascii="Arial" w:cs="Arial" w:eastAsia="Arial" w:hAnsi="Arial"/>
                <w:sz w:val="14"/>
                <w:szCs w:val="14"/>
                <w:b w:val="1"/>
                <w:bCs w:val="1"/>
                <w:color w:val="auto"/>
                <w:w w:val="87"/>
              </w:rPr>
              <w:t>Proposed Maximum</w:t>
            </w:r>
          </w:p>
        </w:tc>
        <w:tc>
          <w:tcPr>
            <w:tcW w:w="1220" w:type="dxa"/>
            <w:vAlign w:val="bottom"/>
          </w:tcPr>
          <w:p>
            <w:pPr>
              <w:jc w:val="center"/>
              <w:ind w:left="206"/>
              <w:spacing w:after="0"/>
              <w:rPr>
                <w:sz w:val="20"/>
                <w:szCs w:val="20"/>
                <w:color w:val="auto"/>
              </w:rPr>
            </w:pPr>
            <w:r>
              <w:rPr>
                <w:rFonts w:ascii="Arial" w:cs="Arial" w:eastAsia="Arial" w:hAnsi="Arial"/>
                <w:sz w:val="14"/>
                <w:szCs w:val="14"/>
                <w:b w:val="1"/>
                <w:bCs w:val="1"/>
                <w:color w:val="auto"/>
                <w:w w:val="88"/>
              </w:rPr>
              <w:t>Amount of</w:t>
            </w:r>
          </w:p>
        </w:tc>
      </w:tr>
      <w:tr>
        <w:trPr>
          <w:trHeight w:val="161"/>
        </w:trPr>
        <w:tc>
          <w:tcPr>
            <w:tcW w:w="20" w:type="dxa"/>
            <w:vAlign w:val="bottom"/>
          </w:tcPr>
          <w:p>
            <w:pPr>
              <w:spacing w:after="0"/>
              <w:rPr>
                <w:sz w:val="14"/>
                <w:szCs w:val="14"/>
                <w:color w:val="auto"/>
              </w:rPr>
            </w:pPr>
          </w:p>
        </w:tc>
        <w:tc>
          <w:tcPr>
            <w:tcW w:w="3800" w:type="dxa"/>
            <w:vAlign w:val="bottom"/>
            <w:tcBorders>
              <w:bottom w:val="single" w:sz="8" w:color="auto"/>
            </w:tcBorders>
          </w:tcPr>
          <w:p>
            <w:pPr>
              <w:jc w:val="center"/>
              <w:ind w:left="246"/>
              <w:spacing w:after="0"/>
              <w:rPr>
                <w:sz w:val="20"/>
                <w:szCs w:val="20"/>
                <w:color w:val="auto"/>
              </w:rPr>
            </w:pPr>
            <w:r>
              <w:rPr>
                <w:rFonts w:ascii="Arial" w:cs="Arial" w:eastAsia="Arial" w:hAnsi="Arial"/>
                <w:sz w:val="14"/>
                <w:szCs w:val="14"/>
                <w:b w:val="1"/>
                <w:bCs w:val="1"/>
                <w:color w:val="auto"/>
                <w:w w:val="84"/>
              </w:rPr>
              <w:t>Securities to be Registered</w:t>
            </w:r>
          </w:p>
        </w:tc>
        <w:tc>
          <w:tcPr>
            <w:tcW w:w="2320" w:type="dxa"/>
            <w:vAlign w:val="bottom"/>
            <w:tcBorders>
              <w:bottom w:val="single" w:sz="8" w:color="auto"/>
            </w:tcBorders>
          </w:tcPr>
          <w:p>
            <w:pPr>
              <w:jc w:val="center"/>
              <w:ind w:left="546"/>
              <w:spacing w:after="0"/>
              <w:rPr>
                <w:sz w:val="20"/>
                <w:szCs w:val="20"/>
                <w:color w:val="auto"/>
              </w:rPr>
            </w:pPr>
            <w:r>
              <w:rPr>
                <w:rFonts w:ascii="Arial" w:cs="Arial" w:eastAsia="Arial" w:hAnsi="Arial"/>
                <w:sz w:val="14"/>
                <w:szCs w:val="14"/>
                <w:b w:val="1"/>
                <w:bCs w:val="1"/>
                <w:color w:val="auto"/>
                <w:w w:val="85"/>
              </w:rPr>
              <w:t>Registered</w:t>
            </w:r>
          </w:p>
        </w:tc>
        <w:tc>
          <w:tcPr>
            <w:tcW w:w="21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w:t>
            </w: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Aggregate Offering Price</w:t>
            </w:r>
          </w:p>
        </w:tc>
        <w:tc>
          <w:tcPr>
            <w:tcW w:w="1220" w:type="dxa"/>
            <w:vAlign w:val="bottom"/>
            <w:tcBorders>
              <w:bottom w:val="single" w:sz="8" w:color="auto"/>
            </w:tcBorders>
          </w:tcPr>
          <w:p>
            <w:pPr>
              <w:jc w:val="center"/>
              <w:ind w:left="186"/>
              <w:spacing w:after="0"/>
              <w:rPr>
                <w:sz w:val="20"/>
                <w:szCs w:val="20"/>
                <w:color w:val="auto"/>
              </w:rPr>
            </w:pPr>
            <w:r>
              <w:rPr>
                <w:rFonts w:ascii="Arial" w:cs="Arial" w:eastAsia="Arial" w:hAnsi="Arial"/>
                <w:sz w:val="14"/>
                <w:szCs w:val="14"/>
                <w:b w:val="1"/>
                <w:bCs w:val="1"/>
                <w:color w:val="auto"/>
                <w:w w:val="87"/>
              </w:rPr>
              <w:t>Registration Fee</w:t>
            </w:r>
          </w:p>
        </w:tc>
      </w:tr>
      <w:tr>
        <w:trPr>
          <w:trHeight w:val="216"/>
        </w:trPr>
        <w:tc>
          <w:tcPr>
            <w:tcW w:w="20" w:type="dxa"/>
            <w:vAlign w:val="bottom"/>
          </w:tcPr>
          <w:p>
            <w:pPr>
              <w:spacing w:after="0"/>
              <w:rPr>
                <w:sz w:val="18"/>
                <w:szCs w:val="18"/>
                <w:color w:val="auto"/>
              </w:rPr>
            </w:pPr>
          </w:p>
        </w:tc>
        <w:tc>
          <w:tcPr>
            <w:tcW w:w="3800" w:type="dxa"/>
            <w:vAlign w:val="bottom"/>
          </w:tcPr>
          <w:p>
            <w:pPr>
              <w:spacing w:after="0"/>
              <w:rPr>
                <w:sz w:val="20"/>
                <w:szCs w:val="20"/>
                <w:color w:val="auto"/>
              </w:rPr>
            </w:pPr>
            <w:r>
              <w:rPr>
                <w:rFonts w:ascii="Arial" w:cs="Arial" w:eastAsia="Arial" w:hAnsi="Arial"/>
                <w:sz w:val="18"/>
                <w:szCs w:val="18"/>
                <w:color w:val="auto"/>
              </w:rPr>
              <w:t>Common Stock, par value $0.01 per share</w:t>
            </w:r>
          </w:p>
        </w:tc>
        <w:tc>
          <w:tcPr>
            <w:tcW w:w="2320" w:type="dxa"/>
            <w:vAlign w:val="bottom"/>
          </w:tcPr>
          <w:p>
            <w:pPr>
              <w:jc w:val="center"/>
              <w:ind w:left="546"/>
              <w:spacing w:after="0"/>
              <w:rPr>
                <w:sz w:val="20"/>
                <w:szCs w:val="20"/>
                <w:color w:val="auto"/>
              </w:rPr>
            </w:pPr>
            <w:r>
              <w:rPr>
                <w:rFonts w:ascii="Arial" w:cs="Arial" w:eastAsia="Arial" w:hAnsi="Arial"/>
                <w:sz w:val="18"/>
                <w:szCs w:val="18"/>
                <w:color w:val="auto"/>
                <w:w w:val="86"/>
              </w:rPr>
              <w:t>421,870 shares(1)</w:t>
            </w:r>
          </w:p>
        </w:tc>
        <w:tc>
          <w:tcPr>
            <w:tcW w:w="2140" w:type="dxa"/>
            <w:vAlign w:val="bottom"/>
          </w:tcPr>
          <w:p>
            <w:pPr>
              <w:jc w:val="center"/>
              <w:spacing w:after="0"/>
              <w:rPr>
                <w:sz w:val="20"/>
                <w:szCs w:val="20"/>
                <w:color w:val="auto"/>
              </w:rPr>
            </w:pPr>
            <w:r>
              <w:rPr>
                <w:rFonts w:ascii="Arial" w:cs="Arial" w:eastAsia="Arial" w:hAnsi="Arial"/>
                <w:sz w:val="18"/>
                <w:szCs w:val="18"/>
                <w:color w:val="auto"/>
                <w:w w:val="90"/>
              </w:rPr>
              <w:t>$68.18(2)</w:t>
            </w:r>
          </w:p>
        </w:tc>
        <w:tc>
          <w:tcPr>
            <w:tcW w:w="1920" w:type="dxa"/>
            <w:vAlign w:val="bottom"/>
          </w:tcPr>
          <w:p>
            <w:pPr>
              <w:jc w:val="center"/>
              <w:spacing w:after="0"/>
              <w:rPr>
                <w:sz w:val="20"/>
                <w:szCs w:val="20"/>
                <w:color w:val="auto"/>
              </w:rPr>
            </w:pPr>
            <w:r>
              <w:rPr>
                <w:rFonts w:ascii="Arial" w:cs="Arial" w:eastAsia="Arial" w:hAnsi="Arial"/>
                <w:sz w:val="18"/>
                <w:szCs w:val="18"/>
                <w:color w:val="auto"/>
                <w:w w:val="87"/>
              </w:rPr>
              <w:t>$28,763,097</w:t>
            </w:r>
          </w:p>
        </w:tc>
        <w:tc>
          <w:tcPr>
            <w:tcW w:w="1220" w:type="dxa"/>
            <w:vAlign w:val="bottom"/>
          </w:tcPr>
          <w:p>
            <w:pPr>
              <w:jc w:val="center"/>
              <w:ind w:left="186"/>
              <w:spacing w:after="0"/>
              <w:rPr>
                <w:sz w:val="20"/>
                <w:szCs w:val="20"/>
                <w:color w:val="auto"/>
              </w:rPr>
            </w:pPr>
            <w:r>
              <w:rPr>
                <w:rFonts w:ascii="Arial" w:cs="Arial" w:eastAsia="Arial" w:hAnsi="Arial"/>
                <w:sz w:val="18"/>
                <w:szCs w:val="18"/>
                <w:color w:val="auto"/>
                <w:w w:val="87"/>
              </w:rPr>
              <w:t>$3,386</w:t>
            </w:r>
          </w:p>
        </w:tc>
      </w:tr>
      <w:tr>
        <w:trPr>
          <w:trHeight w:val="125"/>
        </w:trPr>
        <w:tc>
          <w:tcPr>
            <w:tcW w:w="20" w:type="dxa"/>
            <w:vAlign w:val="bottom"/>
            <w:tcBorders>
              <w:bottom w:val="single" w:sz="8" w:color="auto"/>
            </w:tcBorders>
          </w:tcPr>
          <w:p>
            <w:pPr>
              <w:spacing w:after="0"/>
              <w:rPr>
                <w:sz w:val="10"/>
                <w:szCs w:val="10"/>
                <w:color w:val="auto"/>
              </w:rPr>
            </w:pPr>
          </w:p>
        </w:tc>
        <w:tc>
          <w:tcPr>
            <w:tcW w:w="380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2140" w:type="dxa"/>
            <w:vAlign w:val="bottom"/>
            <w:tcBorders>
              <w:bottom w:val="single" w:sz="8" w:color="auto"/>
            </w:tcBorders>
          </w:tcPr>
          <w:p>
            <w:pPr>
              <w:spacing w:after="0"/>
              <w:rPr>
                <w:sz w:val="10"/>
                <w:szCs w:val="10"/>
                <w:color w:val="auto"/>
              </w:rPr>
            </w:pPr>
          </w:p>
        </w:tc>
        <w:tc>
          <w:tcPr>
            <w:tcW w:w="1920" w:type="dxa"/>
            <w:vAlign w:val="bottom"/>
            <w:tcBorders>
              <w:bottom w:val="single" w:sz="8" w:color="auto"/>
            </w:tcBorders>
          </w:tcPr>
          <w:p>
            <w:pPr>
              <w:spacing w:after="0"/>
              <w:rPr>
                <w:sz w:val="10"/>
                <w:szCs w:val="10"/>
                <w:color w:val="auto"/>
              </w:rPr>
            </w:pPr>
          </w:p>
        </w:tc>
        <w:tc>
          <w:tcPr>
            <w:tcW w:w="1220" w:type="dxa"/>
            <w:vAlign w:val="bottom"/>
            <w:tcBorders>
              <w:bottom w:val="single" w:sz="8" w:color="auto"/>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144" w:lineRule="exact"/>
        <w:rPr>
          <w:sz w:val="20"/>
          <w:szCs w:val="20"/>
          <w:color w:val="auto"/>
        </w:rPr>
      </w:pPr>
    </w:p>
    <w:p>
      <w:pPr>
        <w:ind w:left="460" w:right="26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Pursuant to Rule 416 under the Securities Act of 1933, we are also registering an indeterminable number of shares of common stock as may be issued in connection with a stock split, stock dividend, recapitalization or similar event.</w:t>
      </w:r>
    </w:p>
    <w:p>
      <w:pPr>
        <w:spacing w:after="0" w:line="37" w:lineRule="exact"/>
        <w:rPr>
          <w:rFonts w:ascii="Arial" w:cs="Arial" w:eastAsia="Arial" w:hAnsi="Arial"/>
          <w:sz w:val="18"/>
          <w:szCs w:val="18"/>
          <w:color w:val="auto"/>
        </w:rPr>
      </w:pPr>
    </w:p>
    <w:p>
      <w:pPr>
        <w:ind w:left="460" w:right="340" w:hanging="452"/>
        <w:spacing w:after="0" w:line="268" w:lineRule="auto"/>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Estimated solely for the purpose of calculating the registration fee pursuant to Rule 457(h) under the Securities Act of 1933, on the basis of the average high and low sales prices of the common stock on the New York Stock Exchange on April 28, 2005.</w:t>
      </w:r>
    </w:p>
    <w:p>
      <w:pPr>
        <w:spacing w:after="0" w:line="112"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this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102235</wp:posOffset>
            </wp:positionV>
            <wp:extent cx="7250430"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11420"/>
          </w:cols>
          <w:pgMar w:left="240" w:top="114" w:right="239" w:bottom="1440" w:gutter="0" w:footer="0" w:header="0"/>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80"/>
        <w:spacing w:after="0" w:line="249" w:lineRule="auto"/>
        <w:rPr>
          <w:sz w:val="20"/>
          <w:szCs w:val="20"/>
          <w:color w:val="auto"/>
        </w:rPr>
      </w:pPr>
      <w:r>
        <w:rPr>
          <w:rFonts w:ascii="Arial" w:cs="Arial" w:eastAsia="Arial" w:hAnsi="Arial"/>
          <w:sz w:val="18"/>
          <w:szCs w:val="18"/>
          <w:b w:val="1"/>
          <w:bCs w:val="1"/>
          <w:color w:val="DE1A1E"/>
        </w:rPr>
        <w:t>The information in this prospectus is not complete and may be changed. These securities may not be sold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11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Subject to completion, dated May 2, 2005</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131" w:lineRule="exact"/>
        <w:rPr>
          <w:sz w:val="20"/>
          <w:szCs w:val="20"/>
          <w:color w:val="auto"/>
        </w:rPr>
      </w:pPr>
    </w:p>
    <w:p>
      <w:pPr>
        <w:ind w:left="4680"/>
        <w:spacing w:after="0"/>
        <w:rPr>
          <w:sz w:val="20"/>
          <w:szCs w:val="20"/>
          <w:color w:val="auto"/>
        </w:rPr>
      </w:pPr>
      <w:r>
        <w:rPr>
          <w:rFonts w:ascii="Arial" w:cs="Arial" w:eastAsia="Arial" w:hAnsi="Arial"/>
          <w:sz w:val="32"/>
          <w:szCs w:val="32"/>
          <w:b w:val="1"/>
          <w:bCs w:val="1"/>
          <w:color w:val="auto"/>
        </w:rPr>
        <w:t>421,870 Shares</w:t>
      </w:r>
    </w:p>
    <w:p>
      <w:pPr>
        <w:spacing w:after="0" w:line="145" w:lineRule="exact"/>
        <w:rPr>
          <w:sz w:val="20"/>
          <w:szCs w:val="20"/>
          <w:color w:val="auto"/>
        </w:rPr>
      </w:pPr>
    </w:p>
    <w:p>
      <w:pPr>
        <w:ind w:left="4640"/>
        <w:spacing w:after="0"/>
        <w:rPr>
          <w:sz w:val="20"/>
          <w:szCs w:val="20"/>
          <w:color w:val="auto"/>
        </w:rPr>
      </w:pPr>
      <w:r>
        <w:rPr>
          <w:rFonts w:ascii="Arial" w:cs="Arial" w:eastAsia="Arial" w:hAnsi="Arial"/>
          <w:sz w:val="32"/>
          <w:szCs w:val="32"/>
          <w:b w:val="1"/>
          <w:bCs w:val="1"/>
          <w:color w:val="auto"/>
        </w:rPr>
        <w:t>Common Stock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43"/>
          <w:szCs w:val="43"/>
          <w:b w:val="1"/>
          <w:bCs w:val="1"/>
          <w:color w:val="auto"/>
        </w:rPr>
        <w:t>Schlumberger Limited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125095</wp:posOffset>
            </wp:positionV>
            <wp:extent cx="1260475" cy="2832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0475" cy="283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421,870 shares of our common stock offered by this prospectus were originally issued by us in offshore transactions and in private placements in connection with our acquisition of interests in PetroAlliance Services Company Limited. All of the shares of common stock offered by this prospectus may be sold from time to time by or on behalf the selling stockholders named herein. The shares of common stock covered by this prospectus may be sold at fixed prices, at market prices prevailing at the time of sale, at prices related to such prevailing market prices or at negotiated prices. We will not receive any of the proceeds from the sale of our common stock by the selling stockholders. Please read “Plan of Distribution.”</w:t>
      </w:r>
    </w:p>
    <w:p>
      <w:pPr>
        <w:spacing w:after="0" w:line="10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Our common stock is listed on the New York Stock Exchange under the symbol “SLB.” On April 28, 2005, the closing sale price of our common stock as reported on the New York Stock Exchange was $68.41 per share.</w:t>
      </w:r>
    </w:p>
    <w:p>
      <w:pPr>
        <w:spacing w:after="0" w:line="105" w:lineRule="exact"/>
        <w:rPr>
          <w:sz w:val="20"/>
          <w:szCs w:val="20"/>
          <w:color w:val="auto"/>
        </w:rPr>
      </w:pPr>
    </w:p>
    <w:p>
      <w:pPr>
        <w:ind w:left="580"/>
        <w:spacing w:after="0"/>
        <w:rPr>
          <w:rFonts w:ascii="Arial" w:cs="Arial" w:eastAsia="Arial" w:hAnsi="Arial"/>
          <w:sz w:val="22"/>
          <w:szCs w:val="22"/>
          <w:b w:val="1"/>
          <w:bCs w:val="1"/>
          <w:i w:val="1"/>
          <w:iCs w:val="1"/>
          <w:color w:val="auto"/>
        </w:rPr>
      </w:pPr>
      <w:r>
        <w:rPr>
          <w:rFonts w:ascii="Arial" w:cs="Arial" w:eastAsia="Arial" w:hAnsi="Arial"/>
          <w:sz w:val="22"/>
          <w:szCs w:val="22"/>
          <w:b w:val="1"/>
          <w:bCs w:val="1"/>
          <w:i w:val="1"/>
          <w:iCs w:val="1"/>
          <w:color w:val="auto"/>
        </w:rPr>
        <w:t xml:space="preserve">Investing in our common stock involves risk. Please read “ </w:t>
      </w:r>
      <w:hyperlink w:anchor="page5">
        <w:r>
          <w:rPr>
            <w:rFonts w:ascii="Arial" w:cs="Arial" w:eastAsia="Arial" w:hAnsi="Arial"/>
            <w:sz w:val="22"/>
            <w:szCs w:val="22"/>
            <w:b w:val="1"/>
            <w:bCs w:val="1"/>
            <w:i w:val="1"/>
            <w:iCs w:val="1"/>
            <w:u w:val="single" w:color="auto"/>
            <w:color w:val="0000EE"/>
          </w:rPr>
          <w:t>Risk Factors</w:t>
        </w:r>
      </w:hyperlink>
      <w:r>
        <w:rPr>
          <w:rFonts w:ascii="Arial" w:cs="Arial" w:eastAsia="Arial" w:hAnsi="Arial"/>
          <w:sz w:val="22"/>
          <w:szCs w:val="22"/>
          <w:b w:val="1"/>
          <w:bCs w:val="1"/>
          <w:i w:val="1"/>
          <w:iCs w:val="1"/>
          <w:color w:val="auto"/>
        </w:rPr>
        <w:t>” beginning on page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118745</wp:posOffset>
            </wp:positionV>
            <wp:extent cx="153479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342" w:lineRule="exact"/>
        <w:rPr>
          <w:sz w:val="20"/>
          <w:szCs w:val="20"/>
          <w:color w:val="auto"/>
        </w:rPr>
      </w:pPr>
    </w:p>
    <w:p>
      <w:pPr>
        <w:ind w:right="740" w:firstLine="456"/>
        <w:spacing w:after="0" w:line="339"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2860675</wp:posOffset>
            </wp:positionH>
            <wp:positionV relativeFrom="paragraph">
              <wp:posOffset>64770</wp:posOffset>
            </wp:positionV>
            <wp:extent cx="153479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257" w:lineRule="exact"/>
        <w:rPr>
          <w:sz w:val="20"/>
          <w:szCs w:val="20"/>
          <w:color w:val="auto"/>
        </w:rPr>
      </w:pPr>
    </w:p>
    <w:tbl>
      <w:tblPr>
        <w:tblLayout w:type="fixed"/>
        <w:tblInd w:w="3920" w:type="dxa"/>
        <w:tblCellMar>
          <w:top w:w="0" w:type="dxa"/>
          <w:left w:w="0" w:type="dxa"/>
          <w:bottom w:w="0" w:type="dxa"/>
          <w:right w:w="0" w:type="dxa"/>
        </w:tblCellMar>
      </w:tblPr>
      <w:tr>
        <w:trPr>
          <w:trHeight w:val="228"/>
        </w:trPr>
        <w:tc>
          <w:tcPr>
            <w:tcW w:w="2640" w:type="dxa"/>
            <w:vAlign w:val="bottom"/>
          </w:tcPr>
          <w:p>
            <w:pPr>
              <w:spacing w:after="0"/>
              <w:rPr>
                <w:sz w:val="20"/>
                <w:szCs w:val="20"/>
                <w:color w:val="auto"/>
              </w:rPr>
            </w:pPr>
            <w:r>
              <w:rPr>
                <w:rFonts w:ascii="Arial" w:cs="Arial" w:eastAsia="Arial" w:hAnsi="Arial"/>
                <w:sz w:val="18"/>
                <w:szCs w:val="18"/>
                <w:b w:val="1"/>
                <w:bCs w:val="1"/>
                <w:color w:val="auto"/>
              </w:rPr>
              <w:t>The date of this prospectus is</w:t>
            </w:r>
          </w:p>
        </w:tc>
        <w:tc>
          <w:tcPr>
            <w:tcW w:w="940" w:type="dxa"/>
            <w:vAlign w:val="bottom"/>
          </w:tcPr>
          <w:p>
            <w:pPr>
              <w:jc w:val="right"/>
              <w:spacing w:after="0"/>
              <w:rPr>
                <w:sz w:val="20"/>
                <w:szCs w:val="20"/>
                <w:color w:val="auto"/>
              </w:rPr>
            </w:pPr>
            <w:r>
              <w:rPr>
                <w:rFonts w:ascii="Arial" w:cs="Arial" w:eastAsia="Arial" w:hAnsi="Arial"/>
                <w:sz w:val="18"/>
                <w:szCs w:val="18"/>
                <w:b w:val="1"/>
                <w:bCs w:val="1"/>
                <w:color w:val="auto"/>
              </w:rPr>
              <w:t>, 2005.</w:t>
            </w:r>
          </w:p>
        </w:tc>
      </w:tr>
    </w:tbl>
    <w:p>
      <w:pPr>
        <w:sectPr>
          <w:pgSz w:w="11900" w:h="16838" w:orient="portrait"/>
          <w:cols w:equalWidth="0" w:num="1">
            <w:col w:w="11380"/>
          </w:cols>
          <w:pgMar w:left="240" w:top="459" w:right="27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firstLine="456"/>
        <w:spacing w:after="0" w:line="296" w:lineRule="auto"/>
        <w:rPr>
          <w:sz w:val="20"/>
          <w:szCs w:val="20"/>
          <w:color w:val="auto"/>
        </w:rPr>
      </w:pPr>
      <w:r>
        <w:rPr>
          <w:rFonts w:ascii="Arial" w:cs="Arial" w:eastAsia="Arial" w:hAnsi="Arial"/>
          <w:sz w:val="16"/>
          <w:szCs w:val="16"/>
          <w:b w:val="1"/>
          <w:bCs w:val="1"/>
          <w:color w:val="auto"/>
        </w:rPr>
        <w:t>You should rely only on the information we have provided or incorporated by reference in this prospectus. We have not authorized any person to provide you with additional or different information. We are not making an offer of these securities in any jurisdiction where the offer is not permitted. You should not assume that the information in this prospectus is accurate as of any date other than the date on the cover page of this prospectus or that any information we have incorporated by reference is accurate as of any date other than the date of the documents incorporated by reference. Our business, financial condition, results of operations and prospectus may have changed since those dates.</w:t>
      </w:r>
    </w:p>
    <w:p>
      <w:pPr>
        <w:spacing w:after="0" w:line="94"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700" w:type="dxa"/>
            <w:vAlign w:val="bottom"/>
            <w:gridSpan w:val="2"/>
          </w:tcPr>
          <w:p>
            <w:pPr>
              <w:jc w:val="right"/>
              <w:ind w:right="4692"/>
              <w:spacing w:after="0"/>
              <w:rPr>
                <w:sz w:val="20"/>
                <w:szCs w:val="20"/>
                <w:color w:val="auto"/>
              </w:rPr>
            </w:pPr>
            <w:r>
              <w:rPr>
                <w:rFonts w:ascii="Arial" w:cs="Arial" w:eastAsia="Arial" w:hAnsi="Arial"/>
                <w:sz w:val="18"/>
                <w:szCs w:val="18"/>
                <w:b w:val="1"/>
                <w:bCs w:val="1"/>
                <w:color w:val="auto"/>
              </w:rPr>
              <w:t>TABLE OF CONTENTS</w:t>
            </w:r>
          </w:p>
        </w:tc>
      </w:tr>
      <w:tr>
        <w:trPr>
          <w:trHeight w:val="312"/>
        </w:trPr>
        <w:tc>
          <w:tcPr>
            <w:tcW w:w="7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7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760" w:type="dxa"/>
            <w:vAlign w:val="bottom"/>
          </w:tcPr>
          <w:p>
            <w:pPr>
              <w:spacing w:after="0"/>
              <w:rPr>
                <w:sz w:val="8"/>
                <w:szCs w:val="8"/>
                <w:color w:val="auto"/>
              </w:rPr>
            </w:pPr>
          </w:p>
        </w:tc>
        <w:tc>
          <w:tcPr>
            <w:tcW w:w="4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7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277"/>
        </w:trPr>
        <w:tc>
          <w:tcPr>
            <w:tcW w:w="2200" w:type="dxa"/>
            <w:vAlign w:val="bottom"/>
            <w:tcBorders>
              <w:bottom w:val="single" w:sz="8" w:color="0000EE"/>
            </w:tcBorders>
            <w:gridSpan w:val="7"/>
          </w:tcPr>
          <w:p>
            <w:pPr>
              <w:spacing w:after="0"/>
              <w:rPr>
                <w:rFonts w:ascii="Arial" w:cs="Arial" w:eastAsia="Arial" w:hAnsi="Arial"/>
                <w:sz w:val="18"/>
                <w:szCs w:val="18"/>
                <w:color w:val="0000EE"/>
                <w:w w:val="95"/>
              </w:rPr>
            </w:pPr>
            <w:hyperlink w:anchor="page5">
              <w:r>
                <w:rPr>
                  <w:rFonts w:ascii="Arial" w:cs="Arial" w:eastAsia="Arial" w:hAnsi="Arial"/>
                  <w:sz w:val="18"/>
                  <w:szCs w:val="18"/>
                  <w:color w:val="0000EE"/>
                  <w:w w:val="95"/>
                </w:rPr>
                <w:t>SCHLUMBERGER LIMITED</w:t>
              </w:r>
            </w:hyperlink>
          </w:p>
        </w:tc>
        <w:tc>
          <w:tcPr>
            <w:tcW w:w="1520" w:type="dxa"/>
            <w:vAlign w:val="bottom"/>
            <w:gridSpan w:val="3"/>
          </w:tcPr>
          <w:p>
            <w:pPr>
              <w:spacing w:after="0"/>
              <w:rPr>
                <w:sz w:val="24"/>
                <w:szCs w:val="24"/>
                <w:color w:val="auto"/>
              </w:rPr>
            </w:pPr>
          </w:p>
        </w:tc>
        <w:tc>
          <w:tcPr>
            <w:tcW w:w="770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5">
              <w:r>
                <w:rPr>
                  <w:rFonts w:ascii="Arial" w:cs="Arial" w:eastAsia="Arial" w:hAnsi="Arial"/>
                  <w:sz w:val="18"/>
                  <w:szCs w:val="18"/>
                  <w:color w:val="0000EE"/>
                </w:rPr>
                <w:t>RISK FACTORS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w:t>
            </w:r>
          </w:p>
        </w:tc>
      </w:tr>
      <w:tr>
        <w:trPr>
          <w:trHeight w:val="20"/>
        </w:trPr>
        <w:tc>
          <w:tcPr>
            <w:tcW w:w="76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FORWARD-LOOKING STATEMENTS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4</w:t>
            </w:r>
          </w:p>
        </w:tc>
      </w:tr>
      <w:tr>
        <w:trPr>
          <w:trHeight w:val="196"/>
        </w:trPr>
        <w:tc>
          <w:tcPr>
            <w:tcW w:w="2860" w:type="dxa"/>
            <w:vAlign w:val="bottom"/>
            <w:tcBorders>
              <w:top w:val="single" w:sz="8" w:color="0000EE"/>
            </w:tcBorders>
            <w:gridSpan w:val="8"/>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USE OF PROCEEDS</w:t>
              </w:r>
            </w:hyperlink>
          </w:p>
        </w:tc>
        <w:tc>
          <w:tcPr>
            <w:tcW w:w="860" w:type="dxa"/>
            <w:vAlign w:val="bottom"/>
            <w:gridSpan w:val="2"/>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2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SELLING STOCKHOLDERS</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5</w:t>
            </w:r>
          </w:p>
        </w:tc>
      </w:tr>
      <w:tr>
        <w:trPr>
          <w:trHeight w:val="196"/>
        </w:trPr>
        <w:tc>
          <w:tcPr>
            <w:tcW w:w="216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10">
              <w:r>
                <w:rPr>
                  <w:rFonts w:ascii="Arial" w:cs="Arial" w:eastAsia="Arial" w:hAnsi="Arial"/>
                  <w:sz w:val="18"/>
                  <w:szCs w:val="18"/>
                  <w:color w:val="0000EE"/>
                </w:rPr>
                <w:t>PLAN OF DISTRIBUTION</w:t>
              </w:r>
            </w:hyperlink>
          </w:p>
        </w:tc>
        <w:tc>
          <w:tcPr>
            <w:tcW w:w="1560" w:type="dxa"/>
            <w:vAlign w:val="bottom"/>
            <w:gridSpan w:val="4"/>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6</w:t>
            </w:r>
          </w:p>
        </w:tc>
      </w:tr>
      <w:tr>
        <w:trPr>
          <w:trHeight w:val="20"/>
        </w:trPr>
        <w:tc>
          <w:tcPr>
            <w:tcW w:w="76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700" w:type="dxa"/>
            <w:vAlign w:val="bottom"/>
            <w:gridSpan w:val="2"/>
          </w:tcPr>
          <w:p>
            <w:pPr>
              <w:spacing w:after="0" w:line="20" w:lineRule="exact"/>
              <w:rPr>
                <w:sz w:val="1"/>
                <w:szCs w:val="1"/>
                <w:color w:val="auto"/>
              </w:rPr>
            </w:pPr>
          </w:p>
        </w:tc>
      </w:tr>
      <w:tr>
        <w:trPr>
          <w:trHeight w:val="196"/>
        </w:trPr>
        <w:tc>
          <w:tcPr>
            <w:tcW w:w="3720" w:type="dxa"/>
            <w:vAlign w:val="bottom"/>
            <w:gridSpan w:val="10"/>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DESCRIPTION OF COMMON STOCK</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8</w:t>
            </w:r>
          </w:p>
        </w:tc>
      </w:tr>
      <w:tr>
        <w:trPr>
          <w:trHeight w:val="196"/>
        </w:trPr>
        <w:tc>
          <w:tcPr>
            <w:tcW w:w="2880" w:type="dxa"/>
            <w:vAlign w:val="bottom"/>
            <w:tcBorders>
              <w:top w:val="single" w:sz="8" w:color="0000EE"/>
            </w:tcBorders>
            <w:gridSpan w:val="9"/>
          </w:tcPr>
          <w:p>
            <w:pPr>
              <w:spacing w:after="0" w:line="196" w:lineRule="exact"/>
              <w:rPr>
                <w:rFonts w:ascii="Arial" w:cs="Arial" w:eastAsia="Arial" w:hAnsi="Arial"/>
                <w:sz w:val="18"/>
                <w:szCs w:val="18"/>
                <w:color w:val="0000EE"/>
              </w:rPr>
            </w:pPr>
            <w:hyperlink w:anchor="page14">
              <w:r>
                <w:rPr>
                  <w:rFonts w:ascii="Arial" w:cs="Arial" w:eastAsia="Arial" w:hAnsi="Arial"/>
                  <w:sz w:val="18"/>
                  <w:szCs w:val="18"/>
                  <w:color w:val="0000EE"/>
                </w:rPr>
                <w:t>LEGAL MATTERS</w:t>
              </w:r>
            </w:hyperlink>
          </w:p>
        </w:tc>
        <w:tc>
          <w:tcPr>
            <w:tcW w:w="840" w:type="dxa"/>
            <w:vAlign w:val="bottom"/>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10</w:t>
            </w:r>
          </w:p>
        </w:tc>
      </w:tr>
      <w:tr>
        <w:trPr>
          <w:trHeight w:val="196"/>
        </w:trPr>
        <w:tc>
          <w:tcPr>
            <w:tcW w:w="7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88"/>
              </w:rPr>
            </w:pPr>
            <w:hyperlink w:anchor="page15">
              <w:r>
                <w:rPr>
                  <w:rFonts w:ascii="Arial" w:cs="Arial" w:eastAsia="Arial" w:hAnsi="Arial"/>
                  <w:sz w:val="18"/>
                  <w:szCs w:val="18"/>
                  <w:color w:val="0000EE"/>
                  <w:w w:val="88"/>
                </w:rPr>
                <w:t>EXPERTS</w:t>
              </w:r>
            </w:hyperlink>
          </w:p>
        </w:tc>
        <w:tc>
          <w:tcPr>
            <w:tcW w:w="660" w:type="dxa"/>
            <w:vAlign w:val="bottom"/>
            <w:tcBorders>
              <w:top w:val="single" w:sz="8" w:color="0000EE"/>
            </w:tcBorders>
            <w:gridSpan w:val="2"/>
          </w:tcPr>
          <w:p>
            <w:pPr>
              <w:spacing w:after="0"/>
              <w:rPr>
                <w:sz w:val="17"/>
                <w:szCs w:val="17"/>
                <w:color w:val="auto"/>
              </w:rPr>
            </w:pPr>
          </w:p>
        </w:tc>
        <w:tc>
          <w:tcPr>
            <w:tcW w:w="2300" w:type="dxa"/>
            <w:vAlign w:val="bottom"/>
            <w:gridSpan w:val="7"/>
          </w:tcPr>
          <w:p>
            <w:pPr>
              <w:spacing w:after="0"/>
              <w:rPr>
                <w:sz w:val="17"/>
                <w:szCs w:val="17"/>
                <w:color w:val="auto"/>
              </w:rPr>
            </w:pPr>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r>
        <w:trPr>
          <w:trHeight w:val="196"/>
        </w:trPr>
        <w:tc>
          <w:tcPr>
            <w:tcW w:w="3720" w:type="dxa"/>
            <w:vAlign w:val="bottom"/>
            <w:tcBorders>
              <w:bottom w:val="single" w:sz="8" w:color="0000EE"/>
            </w:tcBorders>
            <w:gridSpan w:val="10"/>
          </w:tcPr>
          <w:p>
            <w:pPr>
              <w:spacing w:after="0" w:line="196" w:lineRule="exact"/>
              <w:rPr>
                <w:rFonts w:ascii="Arial" w:cs="Arial" w:eastAsia="Arial" w:hAnsi="Arial"/>
                <w:sz w:val="18"/>
                <w:szCs w:val="18"/>
                <w:color w:val="0000EE"/>
                <w:w w:val="94"/>
              </w:rPr>
            </w:pPr>
            <w:hyperlink w:anchor="page15">
              <w:r>
                <w:rPr>
                  <w:rFonts w:ascii="Arial" w:cs="Arial" w:eastAsia="Arial" w:hAnsi="Arial"/>
                  <w:sz w:val="18"/>
                  <w:szCs w:val="18"/>
                  <w:color w:val="0000EE"/>
                  <w:w w:val="94"/>
                </w:rPr>
                <w:t>WHERE YOU CAN FIND MORE INFORMATION</w:t>
              </w:r>
            </w:hyperlink>
          </w:p>
        </w:tc>
        <w:tc>
          <w:tcPr>
            <w:tcW w:w="7700" w:type="dxa"/>
            <w:vAlign w:val="bottom"/>
            <w:gridSpan w:val="2"/>
          </w:tcPr>
          <w:p>
            <w:pPr>
              <w:jc w:val="right"/>
              <w:spacing w:after="0" w:line="196" w:lineRule="exact"/>
              <w:rPr>
                <w:sz w:val="20"/>
                <w:szCs w:val="20"/>
                <w:color w:val="auto"/>
              </w:rPr>
            </w:pPr>
            <w:r>
              <w:rPr>
                <w:rFonts w:ascii="Arial" w:cs="Arial" w:eastAsia="Arial" w:hAnsi="Arial"/>
                <w:sz w:val="18"/>
                <w:szCs w:val="18"/>
                <w:color w:val="auto"/>
              </w:rPr>
              <w:t>11</w:t>
            </w:r>
          </w:p>
        </w:tc>
      </w:tr>
    </w:tbl>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SCHLUMBERGER LIMITED</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Founded in 1927, we are the world’s leading oilfield services company, supplying technology, project management, and information solutions that optimize performance in the oil and gas industry. As of December 31, 2004, we employed more than 52,000 people of over 140 nationalities operating in more than 80 countries. We have two business segments:</w:t>
      </w:r>
    </w:p>
    <w:p>
      <w:pPr>
        <w:spacing w:after="0" w:line="46" w:lineRule="exact"/>
        <w:rPr>
          <w:sz w:val="20"/>
          <w:szCs w:val="20"/>
          <w:color w:val="auto"/>
        </w:rPr>
      </w:pPr>
    </w:p>
    <w:p>
      <w:pPr>
        <w:ind w:left="900" w:right="140" w:hanging="446"/>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Schlumberger Oilfield Services is the world’s premier oilfield services company supplying a wide range of technology services and solutions to the international oil and gas industry.</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WesternGeco, jointly owned with Baker Hughes, is one of the world’s largest and most advanced surface seismic companies.</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We are incorporated under the laws of the Netherlands Antilles. The mailing addresses and telephone numbers of our principal executive offices are:</w:t>
      </w:r>
    </w:p>
    <w:p>
      <w:pPr>
        <w:spacing w:after="0" w:line="100" w:lineRule="exact"/>
        <w:rPr>
          <w:sz w:val="20"/>
          <w:szCs w:val="20"/>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153 East 53rd Street, 57th Floor, New York, New York, 10022-4624, 212-350-9400;</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42 Rue Saint-Dominique, Paris, France, 75007, 33-1-4062-1000;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Parkstraat 83, The Hague, The Netherlands 2514 JG, 31-70-310-5400.</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i w:val="1"/>
          <w:iCs w:val="1"/>
          <w:color w:val="auto"/>
        </w:rPr>
        <w:t>You should carefully consider the risks described below before making a decision to invest in our securities. If any of the matters included in the following risks were to occur, our business, financial condition, results of operations, cash flows or prospects could be materially adversely affected. In such case, the trading price of our common stock could decline and you could lose all or part of your investment. Additional risks and uncertainties not presently known to us or that we currently deem immaterial may also adversely affect our business and operations.</w:t>
      </w:r>
    </w:p>
    <w:p>
      <w:pPr>
        <w:spacing w:after="0" w:line="93" w:lineRule="exact"/>
        <w:rPr>
          <w:sz w:val="20"/>
          <w:szCs w:val="20"/>
          <w:color w:val="auto"/>
        </w:rPr>
      </w:pPr>
    </w:p>
    <w:p>
      <w:pPr>
        <w:ind w:right="220"/>
        <w:spacing w:after="0" w:line="329" w:lineRule="auto"/>
        <w:rPr>
          <w:sz w:val="20"/>
          <w:szCs w:val="20"/>
          <w:color w:val="auto"/>
        </w:rPr>
      </w:pPr>
      <w:r>
        <w:rPr>
          <w:rFonts w:ascii="Arial" w:cs="Arial" w:eastAsia="Arial" w:hAnsi="Arial"/>
          <w:sz w:val="16"/>
          <w:szCs w:val="16"/>
          <w:b w:val="1"/>
          <w:bCs w:val="1"/>
          <w:color w:val="auto"/>
        </w:rPr>
        <w:t>Demand for the majority of our oilfield services is substantially dependent on the level of expenditures by the oil and gas industry. A substantial or an extended decline in oil or gas prices could result in lower expenditures by the oil and gas industry and reduce our revenue.</w:t>
      </w:r>
    </w:p>
    <w:p>
      <w:pPr>
        <w:spacing w:after="0" w:line="1"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Demand for the majority of our oilfield services is substantially dependent on the level of expenditures by the oil and gas industry for the exploration, development and production of crude oil and natural gas reserves, which are sensitive to oil and natural gas prices and generally dependent on the industry’s view of future oil and gas prices. Oil and gas prices have historically been volatile and are affected by numerous factors, including:</w:t>
      </w:r>
    </w:p>
    <w:p>
      <w:pPr>
        <w:spacing w:after="0" w:line="12" w:lineRule="exact"/>
        <w:rPr>
          <w:sz w:val="20"/>
          <w:szCs w:val="20"/>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demand for energy, which is affected by worldwide population growth and general economic and business conditions;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ability of the Organization of Petroleum Exporting Countries, or OPEC, to set and maintain production levels for oil;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oil and gas production by non-OPEC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political and economic uncertainty and socio-political unrest;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level of worldwide oil exploration and production activity;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cost of exploring for, producing and delivering oil and gas;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technological advances affecting energy consumption;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weather conditions.</w:t>
      </w:r>
    </w:p>
    <w:p>
      <w:pPr>
        <w:sectPr>
          <w:pgSz w:w="11900" w:h="16838" w:orient="portrait"/>
          <w:cols w:equalWidth="0" w:num="1">
            <w:col w:w="11400"/>
          </w:cols>
          <w:pgMar w:left="240" w:top="459" w:right="25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80" w:firstLine="456"/>
        <w:spacing w:after="0" w:line="259" w:lineRule="auto"/>
        <w:rPr>
          <w:sz w:val="20"/>
          <w:szCs w:val="20"/>
          <w:color w:val="auto"/>
        </w:rPr>
      </w:pPr>
      <w:r>
        <w:rPr>
          <w:rFonts w:ascii="Arial" w:cs="Arial" w:eastAsia="Arial" w:hAnsi="Arial"/>
          <w:sz w:val="18"/>
          <w:szCs w:val="18"/>
          <w:color w:val="auto"/>
        </w:rPr>
        <w:t>The oil and gas industry has historically experienced periodic downturns, which have been characterized by diminished demand for our oilfield services and downward pressure on the prices we charge. A significant downturn in the oil and gas industry could result in a reduction in demand for oilfield services and could harm our operating results.</w:t>
      </w:r>
    </w:p>
    <w:p>
      <w:pPr>
        <w:spacing w:after="0" w:line="121" w:lineRule="exact"/>
        <w:rPr>
          <w:sz w:val="20"/>
          <w:szCs w:val="20"/>
          <w:color w:val="auto"/>
        </w:rPr>
      </w:pPr>
    </w:p>
    <w:p>
      <w:pPr>
        <w:spacing w:after="0" w:line="275" w:lineRule="auto"/>
        <w:rPr>
          <w:sz w:val="20"/>
          <w:szCs w:val="20"/>
          <w:color w:val="auto"/>
        </w:rPr>
      </w:pPr>
      <w:r>
        <w:rPr>
          <w:rFonts w:ascii="Arial" w:cs="Arial" w:eastAsia="Arial" w:hAnsi="Arial"/>
          <w:sz w:val="18"/>
          <w:szCs w:val="18"/>
          <w:b w:val="1"/>
          <w:bCs w:val="1"/>
          <w:color w:val="auto"/>
        </w:rPr>
        <w:t>A significant portion of our revenue is derived from our non-United States operations, which exposes us to risks inherent in doing business in each of the more than 80 countries in which we operate.</w:t>
      </w:r>
    </w:p>
    <w:p>
      <w:pPr>
        <w:spacing w:after="0" w:line="31"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Our non-US operations accounted for approximately 68% of our consolidated revenues in 2004 and 70% of our consolidated revenues 2003. Operations in countries other than the United States are subject to various risks, including:</w:t>
      </w:r>
    </w:p>
    <w:p>
      <w:pPr>
        <w:spacing w:after="0" w:line="37" w:lineRule="exact"/>
        <w:rPr>
          <w:sz w:val="20"/>
          <w:szCs w:val="20"/>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unsettled political and economic conditions in certain areas;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exposure to possible expropriation or other governmental actions;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social unrest, acts of terrorism, war or other armed conflict;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confiscatory taxation or other adverse tax policies;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deprivation of contract rights;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trade restrictions or embargoes imposed by the United States or other countries;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restrictions on the repatriation of income or capital;</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exchange controls;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inflation;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currency fluctuations and devaluations.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occurrence of any of the risks described above could reduce our earnings and our cash available for operations.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Environmental compliance costs and liabilities could reduce our earnings and cash available for operations.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We are subject to increasingly stringent laws and regulations relating to environmental protection, including laws and regulations governing air emissions, water discharges and waste management. We incur, and expect to continue to incur, capital and operating costs to comply with environmental laws and regulations. The technical requirements of environmental laws and regulations are becoming increasingly expensive, complex and stringent. These laws may provide for “strict liability” for damages to natural resources or threats to public health and safety. Strict liability can render a party liable for environmental damage without regard to negligence or fault on the part of the party. Some environmental laws provide for joint and several strict liability for remediation of spills and releases of hazardous substances.</w:t>
      </w:r>
    </w:p>
    <w:p>
      <w:pPr>
        <w:spacing w:after="0" w:line="131" w:lineRule="exact"/>
        <w:rPr>
          <w:sz w:val="20"/>
          <w:szCs w:val="20"/>
          <w:color w:val="auto"/>
        </w:rPr>
      </w:pPr>
    </w:p>
    <w:p>
      <w:pPr>
        <w:jc w:val="both"/>
        <w:ind w:right="100" w:firstLine="456"/>
        <w:spacing w:after="0" w:line="318" w:lineRule="auto"/>
        <w:rPr>
          <w:sz w:val="20"/>
          <w:szCs w:val="20"/>
          <w:color w:val="auto"/>
        </w:rPr>
      </w:pPr>
      <w:r>
        <w:rPr>
          <w:rFonts w:ascii="Arial" w:cs="Arial" w:eastAsia="Arial" w:hAnsi="Arial"/>
          <w:sz w:val="15"/>
          <w:szCs w:val="15"/>
          <w:color w:val="auto"/>
        </w:rPr>
        <w:t>We use and generate hazardous substances and wastes in our operations. In addition, many of our current and former properties are or have been used for industrial purposes. Accordingly, we could become subject to potentially material liabilities relating to the investigation and cleanup of contaminated properties, and to claims alleging personal injury or property damage as the result of exposures to, or releases of, hazardous substances. In addition, stricter enforcement of existing laws and regulations, new laws and regulations, the discovery of previously unknown contamination or the imposition of new or increased requirements could require us to incur costs or become the basis of new or increased liabilities that could reduce our earnings and our cash available for operations.</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459" w:right="25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could be subject to substantial liability claims, which would adversely affect our results and financial condition.</w:t>
      </w:r>
    </w:p>
    <w:p>
      <w:pPr>
        <w:spacing w:after="0" w:line="83"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Many of our oilfield products, such as directional drilling equipment, perforating systems, subsea completion equipment and well completion systems, are used in hostile environments, such as exploration, development and production applications. An accident or a failure of a product can cause personal injury, loss of life, damage to property, equipment or the environment, and suspension of operations. Our insurance may not adequately protect us against liability for some kinds of events, including events involving pollution, or against losses resulting from business interruption. Moreover, in the future we may not be able to maintain insurance at levels of risk coverage or policy limits that we deem adequate. Substantial claims made under our policies could cause our premiums to increase. Any future damages caused by our products that are not covered by insurance, or are in excess of policy limits or are subject to substantial deductibles, could reduce our earnings and our cash available for operations.</w:t>
      </w:r>
    </w:p>
    <w:p>
      <w:pPr>
        <w:spacing w:after="0" w:line="99" w:lineRule="exact"/>
        <w:rPr>
          <w:sz w:val="20"/>
          <w:szCs w:val="20"/>
          <w:color w:val="auto"/>
        </w:rPr>
      </w:pPr>
    </w:p>
    <w:p>
      <w:pPr>
        <w:ind w:right="480"/>
        <w:spacing w:after="0" w:line="275" w:lineRule="auto"/>
        <w:rPr>
          <w:sz w:val="20"/>
          <w:szCs w:val="20"/>
          <w:color w:val="auto"/>
        </w:rPr>
      </w:pPr>
      <w:r>
        <w:rPr>
          <w:rFonts w:ascii="Arial" w:cs="Arial" w:eastAsia="Arial" w:hAnsi="Arial"/>
          <w:sz w:val="18"/>
          <w:szCs w:val="18"/>
          <w:b w:val="1"/>
          <w:bCs w:val="1"/>
          <w:color w:val="auto"/>
        </w:rPr>
        <w:t>Limitations on our ability to protect our intellectual property rights, including our trade secrets, could cause a loss in revenue and any competitive advantage we hold.</w:t>
      </w:r>
    </w:p>
    <w:p>
      <w:pPr>
        <w:spacing w:after="0" w:line="31"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Some of our products or services, and the processes we use to produce or provide them, have been granted U.S. patent protection, have patent applications pending or are trade secrets. Our business may be adversely affected if our patents are unenforceable, the claims allowed under our patents are not sufficient to protect our technology, our patent applications are denied, or our trade secrets are not adequately protected. Our competitors may be able to develop technology independently that is similar to ours without infringing on our patents or gaining access to our trade secrets.</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 may be subject to litigation if another party claims that we have infringed upon its intellectual property rights.</w:t>
      </w:r>
    </w:p>
    <w:p>
      <w:pPr>
        <w:spacing w:after="0" w:line="83"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tools, techniques, methodologies, programs and components we use to provide our services may infringe upon the intellectual property rights of others. Infringement claims generally result in significant legal and other costs and may distract management from running our core business. Royalty payments under licenses from third parties, if available, would increase our costs. If a license were not available we might not be able to continue providing a particular product or service, which would reduce our revenue. Additionally, developing non-infringing technologies would increase our costs.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FORWARD-LOOKING STATEMENTS</w:t>
      </w:r>
    </w:p>
    <w:p>
      <w:pPr>
        <w:spacing w:after="0" w:line="16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document and the documents incorporated by reference in this prospectus contain both historical and forward-looking statements. All statements other than statements of historical fact are, or may be deemed to be, forward-looking statements within the meaning of Section 27A of the Securities Act of 1933 (the “Securities Act”) and Section 21E of the Securities Exchange Act of 1934 (the “Exchange Act”). Forward-looking statements include the information concerning our possible or assumed future results of operations, including statements about the following subjects:</w:t>
      </w:r>
    </w:p>
    <w:p>
      <w:pPr>
        <w:spacing w:after="0" w:line="18" w:lineRule="exact"/>
        <w:rPr>
          <w:sz w:val="20"/>
          <w:szCs w:val="20"/>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business and market outlook;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growth as a whole and growth for each of Oilfield Services and WesternGeco;</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and our customers’ business strategies;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oil and natural gas demand and production growth;</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operating and capital expenditures by us and the oil and gas industry;</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depreciation and amortization expense;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funding of pension plans and related pension expense;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benefits from contract awards and performance of contracts;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our competitive position;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outcomes of legal proceedings;</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expected results of operations and/or financial position;</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future effective tax rates;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compliance with applicable laws.</w:t>
      </w:r>
    </w:p>
    <w:p>
      <w:pPr>
        <w:spacing w:after="0" w:line="185"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Forward-looking statements in this prospectus or in the documents incorporated by reference in this prospectus are generally identifiable by use of the following words and other similar expressions, among others:</w:t>
      </w:r>
    </w:p>
    <w:p>
      <w:pPr>
        <w:spacing w:after="0" w:line="118" w:lineRule="exact"/>
        <w:rPr>
          <w:sz w:val="20"/>
          <w:szCs w:val="20"/>
          <w:color w:val="auto"/>
        </w:rPr>
      </w:pPr>
    </w:p>
    <w:tbl>
      <w:tblPr>
        <w:tblLayout w:type="fixed"/>
        <w:tblInd w:w="10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“anticipate”;</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“estimate”;</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“may”;</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“project”;</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“believe”;</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“expect”;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“might”;</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“shall”;</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“budget”;</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“forecast”;</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“plan”;</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w w:val="91"/>
              </w:rPr>
              <w:t>“should”; and</w:t>
            </w:r>
          </w:p>
        </w:tc>
      </w:tr>
      <w:tr>
        <w:trPr>
          <w:trHeight w:val="324"/>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860" w:type="dxa"/>
            <w:vAlign w:val="bottom"/>
          </w:tcPr>
          <w:p>
            <w:pPr>
              <w:ind w:left="140"/>
              <w:spacing w:after="0"/>
              <w:rPr>
                <w:sz w:val="20"/>
                <w:szCs w:val="20"/>
                <w:color w:val="auto"/>
              </w:rPr>
            </w:pPr>
            <w:r>
              <w:rPr>
                <w:rFonts w:ascii="Arial" w:cs="Arial" w:eastAsia="Arial" w:hAnsi="Arial"/>
                <w:sz w:val="18"/>
                <w:szCs w:val="18"/>
                <w:color w:val="auto"/>
              </w:rPr>
              <w:t>“could”;</w:t>
            </w:r>
          </w:p>
        </w:tc>
        <w:tc>
          <w:tcPr>
            <w:tcW w:w="1020" w:type="dxa"/>
            <w:vAlign w:val="bottom"/>
          </w:tcPr>
          <w:p>
            <w:pPr>
              <w:ind w:left="82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“intend”;</w:t>
            </w:r>
          </w:p>
        </w:tc>
        <w:tc>
          <w:tcPr>
            <w:tcW w:w="1080" w:type="dxa"/>
            <w:vAlign w:val="bottom"/>
          </w:tcPr>
          <w:p>
            <w:pPr>
              <w:ind w:left="880"/>
              <w:spacing w:after="0"/>
              <w:rPr>
                <w:sz w:val="20"/>
                <w:szCs w:val="20"/>
                <w:color w:val="auto"/>
              </w:rPr>
            </w:pPr>
            <w:r>
              <w:rPr>
                <w:rFonts w:ascii="Arial" w:cs="Arial" w:eastAsia="Arial" w:hAnsi="Arial"/>
                <w:sz w:val="18"/>
                <w:szCs w:val="18"/>
                <w:color w:val="auto"/>
              </w:rPr>
              <w:t>•</w:t>
            </w:r>
          </w:p>
        </w:tc>
        <w:tc>
          <w:tcPr>
            <w:tcW w:w="1780" w:type="dxa"/>
            <w:vAlign w:val="bottom"/>
          </w:tcPr>
          <w:p>
            <w:pPr>
              <w:ind w:left="120"/>
              <w:spacing w:after="0"/>
              <w:rPr>
                <w:sz w:val="20"/>
                <w:szCs w:val="20"/>
                <w:color w:val="auto"/>
              </w:rPr>
            </w:pPr>
            <w:r>
              <w:rPr>
                <w:rFonts w:ascii="Arial" w:cs="Arial" w:eastAsia="Arial" w:hAnsi="Arial"/>
                <w:sz w:val="18"/>
                <w:szCs w:val="18"/>
                <w:color w:val="auto"/>
              </w:rPr>
              <w:t>“predict”;</w:t>
            </w:r>
          </w:p>
        </w:tc>
        <w:tc>
          <w:tcPr>
            <w:tcW w:w="1180" w:type="dxa"/>
            <w:vAlign w:val="bottom"/>
          </w:tcPr>
          <w:p>
            <w:pPr>
              <w:ind w:left="980"/>
              <w:spacing w:after="0"/>
              <w:rPr>
                <w:sz w:val="20"/>
                <w:szCs w:val="20"/>
                <w:color w:val="auto"/>
              </w:rPr>
            </w:pPr>
            <w:r>
              <w:rPr>
                <w:rFonts w:ascii="Arial" w:cs="Arial" w:eastAsia="Arial" w:hAnsi="Arial"/>
                <w:sz w:val="18"/>
                <w:szCs w:val="18"/>
                <w:color w:val="auto"/>
              </w:rPr>
              <w:t>•</w:t>
            </w:r>
          </w:p>
        </w:tc>
        <w:tc>
          <w:tcPr>
            <w:tcW w:w="1100" w:type="dxa"/>
            <w:vAlign w:val="bottom"/>
          </w:tcPr>
          <w:p>
            <w:pPr>
              <w:ind w:left="120"/>
              <w:spacing w:after="0"/>
              <w:rPr>
                <w:sz w:val="20"/>
                <w:szCs w:val="20"/>
                <w:color w:val="auto"/>
              </w:rPr>
            </w:pPr>
            <w:r>
              <w:rPr>
                <w:rFonts w:ascii="Arial" w:cs="Arial" w:eastAsia="Arial" w:hAnsi="Arial"/>
                <w:sz w:val="18"/>
                <w:szCs w:val="18"/>
                <w:color w:val="auto"/>
              </w:rPr>
              <w:t>“will.”</w:t>
            </w:r>
          </w:p>
        </w:tc>
      </w:tr>
    </w:tbl>
    <w:p>
      <w:pPr>
        <w:spacing w:after="0" w:line="14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Assumptions, beliefs, expectations, intentions and projections about future events may and often do vary materially from actual results. Therefore, actual results may differ materially from those expressed or implied by our forward-looking statements. Some of the factors that could cause actual results to differ from those expressed or implied by our forward-looking statements are described in the “Risk Factors” section of this prospectus, in the “Management’s Discussion and Analysis of Financial Condition and Results of Operations” and “Business” sections of our Annual Report on Form 10-K for the fiscal year ended December 31, 2004, and in our subsequent filings with the Securities and Exchange Commission (“SEC”).</w:t>
      </w:r>
    </w:p>
    <w:p>
      <w:pPr>
        <w:spacing w:after="0" w:line="102"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You should not place undue reliance on forward-looking statements. Each forward-looking statement speaks only as of the date of the particular statement, and we undertake no obligation to publicly update or revise any forward-looking statements.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80"/>
          </w:cols>
          <w:pgMar w:left="240" w:top="459" w:right="27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USE OF PROCEEDS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will not receive any of the proceeds from the sale of shares of common stock by the selling stockholders.</w:t>
      </w:r>
    </w:p>
    <w:p>
      <w:pPr>
        <w:spacing w:after="0" w:line="152"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SELLING STOCKHOLDERS</w:t>
      </w:r>
    </w:p>
    <w:p>
      <w:pPr>
        <w:spacing w:after="0" w:line="164" w:lineRule="exact"/>
        <w:rPr>
          <w:sz w:val="20"/>
          <w:szCs w:val="20"/>
          <w:color w:val="auto"/>
        </w:rPr>
      </w:pPr>
    </w:p>
    <w:p>
      <w:pPr>
        <w:ind w:firstLine="456"/>
        <w:spacing w:after="0" w:line="323" w:lineRule="auto"/>
        <w:rPr>
          <w:sz w:val="20"/>
          <w:szCs w:val="20"/>
          <w:color w:val="auto"/>
        </w:rPr>
      </w:pPr>
      <w:r>
        <w:rPr>
          <w:rFonts w:ascii="Arial" w:cs="Arial" w:eastAsia="Arial" w:hAnsi="Arial"/>
          <w:sz w:val="15"/>
          <w:szCs w:val="15"/>
          <w:color w:val="auto"/>
        </w:rPr>
        <w:t>The following table sets forth the total number of shares of our common stock held by each selling stockholder as of the date of this prospectus and the number of shares of our common stock of each selling stockholder offered by this prospectus. No estimate can be given as to the number of shares of our common stock that each selling stockholder will own after the sale of any shares under this prospectus, because the selling stockholders may offer all, some or none of their respective shares. No selling stockholder named in the table below owns or will own more than 1% of our outstanding common stock before or after the offering.</w:t>
      </w:r>
    </w:p>
    <w:p>
      <w:pPr>
        <w:spacing w:after="0" w:line="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20" w:type="dxa"/>
            <w:vAlign w:val="bottom"/>
          </w:tcPr>
          <w:p>
            <w:pPr>
              <w:spacing w:after="0"/>
              <w:rPr>
                <w:sz w:val="14"/>
                <w:szCs w:val="14"/>
                <w:color w:val="auto"/>
              </w:rPr>
            </w:pPr>
          </w:p>
        </w:tc>
        <w:tc>
          <w:tcPr>
            <w:tcW w:w="21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Number of Shares of</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6"/>
              </w:rPr>
              <w:t>Number 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820" w:type="dxa"/>
            <w:vAlign w:val="bottom"/>
          </w:tcPr>
          <w:p>
            <w:pPr>
              <w:spacing w:after="0"/>
              <w:rPr>
                <w:sz w:val="12"/>
                <w:szCs w:val="12"/>
                <w:color w:val="auto"/>
              </w:rPr>
            </w:pPr>
          </w:p>
        </w:tc>
        <w:tc>
          <w:tcPr>
            <w:tcW w:w="2100" w:type="dxa"/>
            <w:vAlign w:val="bottom"/>
            <w:gridSpan w:val="2"/>
          </w:tcPr>
          <w:p>
            <w:pPr>
              <w:jc w:val="center"/>
              <w:ind w:right="82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10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6"/>
              </w:rPr>
              <w:t>of Common Stock</w:t>
            </w:r>
          </w:p>
        </w:tc>
        <w:tc>
          <w:tcPr>
            <w:tcW w:w="0" w:type="dxa"/>
            <w:vAlign w:val="bottom"/>
          </w:tcPr>
          <w:p>
            <w:pPr>
              <w:spacing w:after="0"/>
              <w:rPr>
                <w:sz w:val="1"/>
                <w:szCs w:val="1"/>
                <w:color w:val="auto"/>
              </w:rPr>
            </w:pPr>
          </w:p>
        </w:tc>
      </w:tr>
      <w:tr>
        <w:trPr>
          <w:trHeight w:val="174"/>
        </w:trPr>
        <w:tc>
          <w:tcPr>
            <w:tcW w:w="82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2100" w:type="dxa"/>
            <w:vAlign w:val="bottom"/>
            <w:gridSpan w:val="2"/>
          </w:tcPr>
          <w:p>
            <w:pPr>
              <w:jc w:val="center"/>
              <w:ind w:right="820"/>
              <w:spacing w:after="0"/>
              <w:rPr>
                <w:sz w:val="20"/>
                <w:szCs w:val="20"/>
                <w:color w:val="auto"/>
              </w:rPr>
            </w:pPr>
            <w:r>
              <w:rPr>
                <w:rFonts w:ascii="Arial" w:cs="Arial" w:eastAsia="Arial" w:hAnsi="Arial"/>
                <w:sz w:val="14"/>
                <w:szCs w:val="14"/>
                <w:b w:val="1"/>
                <w:bCs w:val="1"/>
                <w:color w:val="auto"/>
                <w:w w:val="87"/>
              </w:rPr>
              <w:t>Beneficially Owned(1)</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7"/>
              </w:rPr>
              <w:t>to be Offered</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7820" w:type="dxa"/>
            <w:vAlign w:val="bottom"/>
          </w:tcPr>
          <w:p>
            <w:pPr>
              <w:spacing w:after="0"/>
              <w:rPr>
                <w:sz w:val="8"/>
                <w:szCs w:val="8"/>
                <w:color w:val="auto"/>
              </w:rPr>
            </w:pPr>
          </w:p>
        </w:tc>
        <w:tc>
          <w:tcPr>
            <w:tcW w:w="1280" w:type="dxa"/>
            <w:vAlign w:val="bottom"/>
            <w:tcBorders>
              <w:bottom w:val="single" w:sz="8" w:color="auto"/>
            </w:tcBorders>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420" w:type="dxa"/>
            <w:vAlign w:val="bottom"/>
          </w:tcPr>
          <w:p>
            <w:pPr>
              <w:spacing w:after="0"/>
              <w:rPr>
                <w:sz w:val="8"/>
                <w:szCs w:val="8"/>
                <w:color w:val="auto"/>
              </w:rPr>
            </w:pPr>
          </w:p>
        </w:tc>
        <w:tc>
          <w:tcPr>
            <w:tcW w:w="7820" w:type="dxa"/>
            <w:vAlign w:val="bottom"/>
          </w:tcPr>
          <w:p>
            <w:pPr>
              <w:spacing w:after="0"/>
              <w:rPr>
                <w:sz w:val="8"/>
                <w:szCs w:val="8"/>
                <w:color w:val="auto"/>
              </w:rPr>
            </w:pPr>
          </w:p>
        </w:tc>
        <w:tc>
          <w:tcPr>
            <w:tcW w:w="12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Janak Kumar Basnet</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Glen Bird</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2,109</w:t>
            </w:r>
          </w:p>
        </w:tc>
        <w:tc>
          <w:tcPr>
            <w:tcW w:w="1060" w:type="dxa"/>
            <w:vAlign w:val="bottom"/>
          </w:tcPr>
          <w:p>
            <w:pPr>
              <w:jc w:val="right"/>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Majoram Limited</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105,468</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105,468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Alexander Yulievich Djaparidze</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63,281</w:t>
            </w:r>
          </w:p>
        </w:tc>
        <w:tc>
          <w:tcPr>
            <w:tcW w:w="1060" w:type="dxa"/>
            <w:vAlign w:val="bottom"/>
          </w:tcPr>
          <w:p>
            <w:pPr>
              <w:jc w:val="right"/>
              <w:spacing w:after="0"/>
              <w:rPr>
                <w:sz w:val="20"/>
                <w:szCs w:val="20"/>
                <w:color w:val="auto"/>
              </w:rPr>
            </w:pPr>
            <w:r>
              <w:rPr>
                <w:rFonts w:ascii="Arial" w:cs="Arial" w:eastAsia="Arial" w:hAnsi="Arial"/>
                <w:sz w:val="18"/>
                <w:szCs w:val="18"/>
                <w:color w:val="auto"/>
              </w:rPr>
              <w:t>63,281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Efraim Dory</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2,109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Alexander V. Gavura</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649</w:t>
            </w:r>
          </w:p>
        </w:tc>
        <w:tc>
          <w:tcPr>
            <w:tcW w:w="1060" w:type="dxa"/>
            <w:vAlign w:val="bottom"/>
          </w:tcPr>
          <w:p>
            <w:pPr>
              <w:jc w:val="right"/>
              <w:spacing w:after="0"/>
              <w:rPr>
                <w:sz w:val="20"/>
                <w:szCs w:val="20"/>
                <w:color w:val="auto"/>
              </w:rPr>
            </w:pPr>
            <w:r>
              <w:rPr>
                <w:rFonts w:ascii="Arial" w:cs="Arial" w:eastAsia="Arial" w:hAnsi="Arial"/>
                <w:sz w:val="18"/>
                <w:szCs w:val="18"/>
                <w:color w:val="auto"/>
              </w:rPr>
              <w:t>649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Martin Hansen</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8,437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Inter Jura Cy (Services) Limited</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406</w:t>
            </w:r>
          </w:p>
        </w:tc>
        <w:tc>
          <w:tcPr>
            <w:tcW w:w="1060" w:type="dxa"/>
            <w:vAlign w:val="bottom"/>
          </w:tcPr>
          <w:p>
            <w:pPr>
              <w:jc w:val="right"/>
              <w:spacing w:after="0"/>
              <w:rPr>
                <w:sz w:val="20"/>
                <w:szCs w:val="20"/>
                <w:color w:val="auto"/>
              </w:rPr>
            </w:pPr>
            <w:r>
              <w:rPr>
                <w:rFonts w:ascii="Arial" w:cs="Arial" w:eastAsia="Arial" w:hAnsi="Arial"/>
                <w:sz w:val="18"/>
                <w:szCs w:val="18"/>
                <w:color w:val="auto"/>
              </w:rPr>
              <w:t>406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Igor N. Kerysov</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852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KNK Real Estate Services, Inc.</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8,437</w:t>
            </w:r>
          </w:p>
        </w:tc>
        <w:tc>
          <w:tcPr>
            <w:tcW w:w="1060" w:type="dxa"/>
            <w:vAlign w:val="bottom"/>
          </w:tcPr>
          <w:p>
            <w:pPr>
              <w:jc w:val="right"/>
              <w:spacing w:after="0"/>
              <w:rPr>
                <w:sz w:val="20"/>
                <w:szCs w:val="20"/>
                <w:color w:val="auto"/>
              </w:rPr>
            </w:pPr>
            <w:r>
              <w:rPr>
                <w:rFonts w:ascii="Arial" w:cs="Arial" w:eastAsia="Arial" w:hAnsi="Arial"/>
                <w:sz w:val="18"/>
                <w:szCs w:val="18"/>
                <w:color w:val="auto"/>
              </w:rPr>
              <w:t>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Vassili Kyvelidi</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8,437</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Vladimir V. Metlin</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852</w:t>
            </w:r>
          </w:p>
        </w:tc>
        <w:tc>
          <w:tcPr>
            <w:tcW w:w="1060" w:type="dxa"/>
            <w:vAlign w:val="bottom"/>
          </w:tcPr>
          <w:p>
            <w:pPr>
              <w:jc w:val="right"/>
              <w:spacing w:after="0"/>
              <w:rPr>
                <w:sz w:val="20"/>
                <w:szCs w:val="20"/>
                <w:color w:val="auto"/>
              </w:rPr>
            </w:pPr>
            <w:r>
              <w:rPr>
                <w:rFonts w:ascii="Arial" w:cs="Arial" w:eastAsia="Arial" w:hAnsi="Arial"/>
                <w:sz w:val="18"/>
                <w:szCs w:val="18"/>
                <w:color w:val="auto"/>
              </w:rPr>
              <w:t>852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Andrei Niziev</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37,116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PetroAlliance Directors, Officers and Employees Benefits Plan Limited</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15,211</w:t>
            </w:r>
          </w:p>
        </w:tc>
        <w:tc>
          <w:tcPr>
            <w:tcW w:w="1060" w:type="dxa"/>
            <w:vAlign w:val="bottom"/>
          </w:tcPr>
          <w:p>
            <w:pPr>
              <w:jc w:val="right"/>
              <w:spacing w:after="0"/>
              <w:rPr>
                <w:sz w:val="20"/>
                <w:szCs w:val="20"/>
                <w:color w:val="auto"/>
              </w:rPr>
            </w:pPr>
            <w:r>
              <w:rPr>
                <w:rFonts w:ascii="Arial" w:cs="Arial" w:eastAsia="Arial" w:hAnsi="Arial"/>
                <w:sz w:val="18"/>
                <w:szCs w:val="18"/>
                <w:color w:val="auto"/>
              </w:rPr>
              <w:t>15,211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PetroAlliance Stock Incentive Plan Limited</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47,663</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47,663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The Rice Family Living Trust</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4,219</w:t>
            </w:r>
          </w:p>
        </w:tc>
        <w:tc>
          <w:tcPr>
            <w:tcW w:w="1060" w:type="dxa"/>
            <w:vAlign w:val="bottom"/>
          </w:tcPr>
          <w:p>
            <w:pPr>
              <w:jc w:val="right"/>
              <w:spacing w:after="0"/>
              <w:rPr>
                <w:sz w:val="20"/>
                <w:szCs w:val="20"/>
                <w:color w:val="auto"/>
              </w:rPr>
            </w:pPr>
            <w:r>
              <w:rPr>
                <w:rFonts w:ascii="Arial" w:cs="Arial" w:eastAsia="Arial" w:hAnsi="Arial"/>
                <w:sz w:val="18"/>
                <w:szCs w:val="18"/>
                <w:color w:val="auto"/>
              </w:rPr>
              <w:t>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A. Russell</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21,094</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21,094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Murat Sampiev</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28,679</w:t>
            </w:r>
          </w:p>
        </w:tc>
        <w:tc>
          <w:tcPr>
            <w:tcW w:w="1060" w:type="dxa"/>
            <w:vAlign w:val="bottom"/>
          </w:tcPr>
          <w:p>
            <w:pPr>
              <w:jc w:val="right"/>
              <w:spacing w:after="0"/>
              <w:rPr>
                <w:sz w:val="20"/>
                <w:szCs w:val="20"/>
                <w:color w:val="auto"/>
              </w:rPr>
            </w:pPr>
            <w:r>
              <w:rPr>
                <w:rFonts w:ascii="Arial" w:cs="Arial" w:eastAsia="Arial" w:hAnsi="Arial"/>
                <w:sz w:val="18"/>
                <w:szCs w:val="18"/>
                <w:color w:val="auto"/>
              </w:rPr>
              <w:t>28,679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Isa Sharaputtinovich Shabanov</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4,219</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Alexander Sizov</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37,116</w:t>
            </w:r>
          </w:p>
        </w:tc>
        <w:tc>
          <w:tcPr>
            <w:tcW w:w="1060" w:type="dxa"/>
            <w:vAlign w:val="bottom"/>
          </w:tcPr>
          <w:p>
            <w:pPr>
              <w:jc w:val="right"/>
              <w:spacing w:after="0"/>
              <w:rPr>
                <w:sz w:val="20"/>
                <w:szCs w:val="20"/>
                <w:color w:val="auto"/>
              </w:rPr>
            </w:pPr>
            <w:r>
              <w:rPr>
                <w:rFonts w:ascii="Arial" w:cs="Arial" w:eastAsia="Arial" w:hAnsi="Arial"/>
                <w:sz w:val="18"/>
                <w:szCs w:val="18"/>
                <w:color w:val="auto"/>
              </w:rPr>
              <w:t>37,116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Vladimir Stenin</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7,586</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7,586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tcPr>
          <w:p>
            <w:pPr>
              <w:spacing w:after="0"/>
              <w:rPr>
                <w:sz w:val="20"/>
                <w:szCs w:val="20"/>
                <w:color w:val="auto"/>
              </w:rPr>
            </w:pPr>
            <w:r>
              <w:rPr>
                <w:rFonts w:ascii="Arial" w:cs="Arial" w:eastAsia="Arial" w:hAnsi="Arial"/>
                <w:sz w:val="18"/>
                <w:szCs w:val="18"/>
                <w:color w:val="auto"/>
              </w:rPr>
              <w:t>Alexander A. Vaigel</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4,219</w:t>
            </w:r>
          </w:p>
        </w:tc>
        <w:tc>
          <w:tcPr>
            <w:tcW w:w="1060" w:type="dxa"/>
            <w:vAlign w:val="bottom"/>
          </w:tcPr>
          <w:p>
            <w:pPr>
              <w:jc w:val="right"/>
              <w:spacing w:after="0"/>
              <w:rPr>
                <w:sz w:val="20"/>
                <w:szCs w:val="20"/>
                <w:color w:val="auto"/>
              </w:rPr>
            </w:pPr>
            <w:r>
              <w:rPr>
                <w:rFonts w:ascii="Arial" w:cs="Arial" w:eastAsia="Arial" w:hAnsi="Arial"/>
                <w:sz w:val="18"/>
                <w:szCs w:val="18"/>
                <w:color w:val="auto"/>
              </w:rPr>
              <w:t>4,219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Vadim E. Usakovsky</w:t>
            </w:r>
          </w:p>
        </w:tc>
        <w:tc>
          <w:tcPr>
            <w:tcW w:w="2100" w:type="dxa"/>
            <w:vAlign w:val="bottom"/>
            <w:gridSpan w:val="2"/>
            <w:shd w:val="clear" w:color="auto" w:fill="CCEEFF"/>
          </w:tcPr>
          <w:p>
            <w:pPr>
              <w:jc w:val="right"/>
              <w:ind w:right="820"/>
              <w:spacing w:after="0"/>
              <w:rPr>
                <w:sz w:val="20"/>
                <w:szCs w:val="20"/>
                <w:color w:val="auto"/>
              </w:rPr>
            </w:pPr>
            <w:r>
              <w:rPr>
                <w:rFonts w:ascii="Arial" w:cs="Arial" w:eastAsia="Arial" w:hAnsi="Arial"/>
                <w:sz w:val="18"/>
                <w:szCs w:val="18"/>
                <w:color w:val="auto"/>
              </w:rPr>
              <w:t>9,492</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9,492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240" w:type="dxa"/>
            <w:vAlign w:val="bottom"/>
            <w:gridSpan w:val="2"/>
          </w:tcPr>
          <w:p>
            <w:pPr>
              <w:ind w:left="420"/>
              <w:spacing w:after="0"/>
              <w:rPr>
                <w:sz w:val="20"/>
                <w:szCs w:val="20"/>
                <w:color w:val="auto"/>
              </w:rPr>
            </w:pPr>
            <w:r>
              <w:rPr>
                <w:rFonts w:ascii="Arial" w:cs="Arial" w:eastAsia="Arial" w:hAnsi="Arial"/>
                <w:sz w:val="18"/>
                <w:szCs w:val="18"/>
                <w:color w:val="auto"/>
              </w:rPr>
              <w:t>Total</w:t>
            </w:r>
          </w:p>
        </w:tc>
        <w:tc>
          <w:tcPr>
            <w:tcW w:w="2100" w:type="dxa"/>
            <w:vAlign w:val="bottom"/>
            <w:gridSpan w:val="2"/>
          </w:tcPr>
          <w:p>
            <w:pPr>
              <w:jc w:val="right"/>
              <w:ind w:right="820"/>
              <w:spacing w:after="0"/>
              <w:rPr>
                <w:sz w:val="20"/>
                <w:szCs w:val="20"/>
                <w:color w:val="auto"/>
              </w:rPr>
            </w:pPr>
            <w:r>
              <w:rPr>
                <w:rFonts w:ascii="Arial" w:cs="Arial" w:eastAsia="Arial" w:hAnsi="Arial"/>
                <w:sz w:val="18"/>
                <w:szCs w:val="18"/>
                <w:color w:val="auto"/>
              </w:rPr>
              <w:t>421,870</w:t>
            </w:r>
          </w:p>
        </w:tc>
        <w:tc>
          <w:tcPr>
            <w:tcW w:w="1060" w:type="dxa"/>
            <w:vAlign w:val="bottom"/>
          </w:tcPr>
          <w:p>
            <w:pPr>
              <w:jc w:val="right"/>
              <w:spacing w:after="0"/>
              <w:rPr>
                <w:sz w:val="20"/>
                <w:szCs w:val="20"/>
                <w:color w:val="auto"/>
              </w:rPr>
            </w:pPr>
            <w:r>
              <w:rPr>
                <w:rFonts w:ascii="Arial" w:cs="Arial" w:eastAsia="Arial" w:hAnsi="Arial"/>
                <w:sz w:val="18"/>
                <w:szCs w:val="18"/>
                <w:color w:val="auto"/>
              </w:rPr>
              <w:t>421,870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6000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195" w:lineRule="exact"/>
        <w:rPr>
          <w:sz w:val="20"/>
          <w:szCs w:val="20"/>
          <w:color w:val="auto"/>
        </w:rPr>
      </w:pPr>
    </w:p>
    <w:p>
      <w:pPr>
        <w:ind w:left="460" w:right="80" w:hanging="452"/>
        <w:spacing w:after="0" w:line="294" w:lineRule="auto"/>
        <w:tabs>
          <w:tab w:leader="none" w:pos="460" w:val="left"/>
        </w:tabs>
        <w:numPr>
          <w:ilvl w:val="0"/>
          <w:numId w:val="8"/>
        </w:numPr>
        <w:rPr>
          <w:rFonts w:ascii="Arial" w:cs="Arial" w:eastAsia="Arial" w:hAnsi="Arial"/>
          <w:sz w:val="16"/>
          <w:szCs w:val="16"/>
          <w:color w:val="auto"/>
        </w:rPr>
      </w:pPr>
      <w:r>
        <w:rPr>
          <w:rFonts w:ascii="Arial" w:cs="Arial" w:eastAsia="Arial" w:hAnsi="Arial"/>
          <w:sz w:val="16"/>
          <w:szCs w:val="16"/>
          <w:color w:val="auto"/>
        </w:rPr>
        <w:t>Beneficial ownership is determined in accordance with the rules of the SEC and generally includes voting or investment power with respect to securities. Shares of common stock subject to securities exercisable or convertible into shares of common stock that are currently exercisable or exercisable within 60 days of May 2, 2005, are deemed to be beneficially owned by the person holding such securities for the purpose of computing the percentage of ownership of such person, but are not treated as outstanding for the purpose of computing the percentage ownership of any other person. This information has been obtained from the selling stockholders, and we have not independently verified this information.</w:t>
      </w:r>
    </w:p>
    <w:p>
      <w:pPr>
        <w:spacing w:after="0" w:line="102"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Each of the selling stockholders is a current or former security holder of PetroAlliance Services Company Limited immediately prior to our acquisition of interests in PetroAlliance Services Company Limited. 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93"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Except as set forth above, none of the selling stockholders has, or within the past three years has had, any position, office or other material relationship with us or, insofar as we are aware, any of our predecessors or affiliates.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PLAN OF DISTRIBUTION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Resales by Selling Stockholders</w:t>
      </w:r>
    </w:p>
    <w:p>
      <w:pPr>
        <w:spacing w:after="0" w:line="77"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We are registering the shares of common stock on behalf of the selling stockholders pursuant to the terms of a registration rights agreement entered into in connection with our acquisition of interests in PetroAlliance Services Company Limited. A copy of the registration rights agreement has been filed as an exhibit to the registration statement of which this prospectus is a part.</w:t>
      </w:r>
    </w:p>
    <w:p>
      <w:pPr>
        <w:spacing w:after="0" w:line="127"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Any or all of the selling stockholders may offer the shares of common stock from time to time, either in increments or in a single transaction. The selling stockholders may also decide not to sell all the shares of common stock they are allowed to sell under this prospectus. The selling stockholders will act independently of us in making decisions with respect to the timing, manner and size of each sale.</w:t>
      </w:r>
    </w:p>
    <w:p>
      <w:pPr>
        <w:spacing w:after="0" w:line="93" w:lineRule="exact"/>
        <w:rPr>
          <w:sz w:val="20"/>
          <w:szCs w:val="20"/>
          <w:color w:val="auto"/>
        </w:rPr>
      </w:pPr>
    </w:p>
    <w:p>
      <w:pPr>
        <w:ind w:right="320" w:firstLine="456"/>
        <w:spacing w:after="0" w:line="268" w:lineRule="auto"/>
        <w:rPr>
          <w:sz w:val="20"/>
          <w:szCs w:val="20"/>
          <w:color w:val="auto"/>
        </w:rPr>
      </w:pPr>
      <w:r>
        <w:rPr>
          <w:rFonts w:ascii="Arial" w:cs="Arial" w:eastAsia="Arial" w:hAnsi="Arial"/>
          <w:sz w:val="18"/>
          <w:szCs w:val="18"/>
          <w:color w:val="auto"/>
        </w:rPr>
        <w:t>The term “selling stockholders” also includes persons who obtain common stock from the selling stockholders as a gift, on foreclosure of a pledge, in a distribution or dividend of assets by an entity to its equity holders or in another private transaction.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Types of Sale Transactions</w:t>
      </w:r>
    </w:p>
    <w:p>
      <w:pPr>
        <w:spacing w:after="0" w:line="77" w:lineRule="exact"/>
        <w:rPr>
          <w:sz w:val="20"/>
          <w:szCs w:val="20"/>
          <w:color w:val="auto"/>
        </w:rPr>
      </w:pPr>
    </w:p>
    <w:p>
      <w:pPr>
        <w:jc w:val="both"/>
        <w:ind w:right="140" w:firstLine="456"/>
        <w:spacing w:after="0" w:line="306" w:lineRule="auto"/>
        <w:rPr>
          <w:sz w:val="20"/>
          <w:szCs w:val="20"/>
          <w:color w:val="auto"/>
        </w:rPr>
      </w:pPr>
      <w:r>
        <w:rPr>
          <w:rFonts w:ascii="Arial" w:cs="Arial" w:eastAsia="Arial" w:hAnsi="Arial"/>
          <w:sz w:val="16"/>
          <w:szCs w:val="16"/>
          <w:color w:val="auto"/>
        </w:rPr>
        <w:t>The selling stockholders may sell the shares of common stock offered by this prospectus at market prices prevailing at the time of sale, at prices related to such prevailing market prices, at negotiated prices or at fixed prices that may be changed. Sales of shares of our common stock by the selling stockholders may occur from time to time in one or more of the following types of transactions (which may involve crosses or block transactions):</w:t>
      </w:r>
    </w:p>
    <w:p>
      <w:pPr>
        <w:spacing w:after="0" w:line="12"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through the New York Stock Exchange or any other securities exchange that quotes the common stock;</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the over-the-counter market;</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in transactions other than on those exchanges or in the over-the-counter market (including negotiated transactions and other private transactions);</w:t>
      </w:r>
    </w:p>
    <w:p>
      <w:pPr>
        <w:spacing w:after="0" w:line="126" w:lineRule="exact"/>
        <w:rPr>
          <w:rFonts w:ascii="Arial" w:cs="Arial" w:eastAsia="Arial" w:hAnsi="Arial"/>
          <w:sz w:val="16"/>
          <w:szCs w:val="16"/>
          <w:color w:val="auto"/>
        </w:rPr>
      </w:pPr>
    </w:p>
    <w:p>
      <w:pPr>
        <w:ind w:left="900" w:right="380" w:hanging="446"/>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short sales (sales of shares completed by delivery of borrowed stock) of the common stock, in transactions to cover short sales or otherwise in connection with short sales;</w:t>
      </w:r>
    </w:p>
    <w:p>
      <w:pPr>
        <w:spacing w:after="0" w:line="37"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by pledge to secure debts and other obligations or on foreclosure of a pledge;</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6"/>
          <w:szCs w:val="16"/>
          <w:color w:val="auto"/>
        </w:rPr>
      </w:pPr>
      <w:r>
        <w:rPr>
          <w:rFonts w:ascii="Arial" w:cs="Arial" w:eastAsia="Arial" w:hAnsi="Arial"/>
          <w:sz w:val="16"/>
          <w:szCs w:val="16"/>
          <w:color w:val="auto"/>
        </w:rPr>
        <w:t>through put or call options, including the writing of exchange-traded call options, or other hedging transactions related to the common stock; or</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a combination of any of the above transactions.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Selling stockholders may enter into hedging transactions from time to time in which a selling stockholder may:</w:t>
      </w:r>
    </w:p>
    <w:p>
      <w:pPr>
        <w:spacing w:after="0" w:line="77" w:lineRule="exact"/>
        <w:rPr>
          <w:sz w:val="20"/>
          <w:szCs w:val="20"/>
          <w:color w:val="auto"/>
        </w:rPr>
      </w:pPr>
    </w:p>
    <w:p>
      <w:pPr>
        <w:ind w:left="900" w:hanging="446"/>
        <w:spacing w:after="0" w:line="259"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transactions with a broker-dealer or any other person in connection with which such broker-dealer or other person will engage in short sales of common stock, in which case such broker-dealer or other person may use shares of common stock received from the selling stockholder to close out its short positions;</w:t>
      </w:r>
    </w:p>
    <w:p>
      <w:pPr>
        <w:spacing w:after="0" w:line="45"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sell common stock short itself and redeliver shares offered by this prospectus to close out its short positions or to close out stock loans incurred in connection with its short positions;</w:t>
      </w:r>
    </w:p>
    <w:p>
      <w:pPr>
        <w:spacing w:after="0" w:line="37" w:lineRule="exact"/>
        <w:rPr>
          <w:rFonts w:ascii="Arial" w:cs="Arial" w:eastAsia="Arial" w:hAnsi="Arial"/>
          <w:sz w:val="18"/>
          <w:szCs w:val="18"/>
          <w:color w:val="auto"/>
        </w:rPr>
      </w:pPr>
    </w:p>
    <w:p>
      <w:pPr>
        <w:ind w:left="900" w:right="28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enter into option or other types of transactions that require the selling stockholder to deliver common stock to a broker-dealer or any other person, who will then resell or transfer the common stock under this prospectus; or</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45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right="34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loan or pledge the common stock to a broker-dealer or any other person, who may sell the loaned shares or, in an event of default in the case of a pledge, sell the pledged shares under this prospectus.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Selling stockholders may use broker-dealers or other persons to sell their shares in transactions that may include one or more of the following:</w:t>
      </w:r>
    </w:p>
    <w:p>
      <w:pPr>
        <w:spacing w:after="0" w:line="100"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 block trade in which a broker-dealer or other person may resell a portion of the block, as principal or agent, in order to facilitate the transaction;</w:t>
      </w:r>
    </w:p>
    <w:p>
      <w:pPr>
        <w:spacing w:after="0" w:line="126" w:lineRule="exact"/>
        <w:rPr>
          <w:rFonts w:ascii="Arial" w:cs="Arial" w:eastAsia="Arial" w:hAnsi="Arial"/>
          <w:sz w:val="16"/>
          <w:szCs w:val="16"/>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purchases by a broker-dealer or other person, as principal, and resale by the broker-dealer or other person for its account; or</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ordinary brokerage transactions and transactions in which a broker solicits purchasers.</w:t>
      </w:r>
    </w:p>
    <w:p>
      <w:pPr>
        <w:spacing w:after="0" w:line="185"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Resales by selling stockholders may be made directly to investors or through securities firms acting as underwriters, brokers or dealers. When resales are to be made through a securities firm, the securities firm may be engaged to act as the selling stockholder’s agent in the resale of the shares of common stock by the selling stockholder, or the securities firm may purchase shares of our common stock from the selling security holder as principal and thereafter resell those shares from time to time. The fees earned by or paid to the securities firm may be the normal stock exchange commission or negotiated commissions or underwriting discounts to the extent permissible. The securities firm may resell the securities through other securities dealers, and commissions or concessions to those other dealers may be allowed.</w:t>
      </w:r>
    </w:p>
    <w:p>
      <w:pPr>
        <w:spacing w:after="0" w:line="131"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The selling stockholders and any agent, broker or dealer that participates in sales of common stock offered by this prospectus may be deemed “underwriters” under the Securities Act, and any commissions or other consideration received by any agent, broker or dealer may be considered underwriting discounts or commissions under the Securities Act.</w:t>
      </w:r>
    </w:p>
    <w:p>
      <w:pPr>
        <w:spacing w:after="0" w:line="127"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Instead of selling shares of common stock under this prospectus, the selling stockholders may sell shares of common stock in compliance with the provisions of Rule 144 under the Securities Act, if available.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Regulation M</w:t>
      </w:r>
    </w:p>
    <w:p>
      <w:pPr>
        <w:spacing w:after="0" w:line="77" w:lineRule="exact"/>
        <w:rPr>
          <w:sz w:val="20"/>
          <w:szCs w:val="20"/>
          <w:color w:val="auto"/>
        </w:rPr>
      </w:pPr>
    </w:p>
    <w:p>
      <w:pPr>
        <w:ind w:right="460" w:firstLine="456"/>
        <w:spacing w:after="0" w:line="268" w:lineRule="auto"/>
        <w:rPr>
          <w:sz w:val="20"/>
          <w:szCs w:val="20"/>
          <w:color w:val="auto"/>
        </w:rPr>
      </w:pPr>
      <w:r>
        <w:rPr>
          <w:rFonts w:ascii="Arial" w:cs="Arial" w:eastAsia="Arial" w:hAnsi="Arial"/>
          <w:sz w:val="18"/>
          <w:szCs w:val="18"/>
          <w:color w:val="auto"/>
        </w:rPr>
        <w:t>We have informed the selling stockholders that the anti-manipulation provisions of Regulation M under the Exchange Act may apply to their sales of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Delivery Requirements</w:t>
      </w:r>
    </w:p>
    <w:p>
      <w:pPr>
        <w:spacing w:after="0" w:line="77"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Because a selling stockholder may be deemed an underwriter, the selling stockholders must deliver this prospectus and any supplements to this prospectus in the manner required by the Securities Act. This might include delivery through the facilities of the New York Stock Exchange in accordance with Rule 153 under the Securities Act.</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Prospectus Supplements; Post-Effective Amendments</w:t>
      </w:r>
    </w:p>
    <w:p>
      <w:pPr>
        <w:spacing w:after="0" w:line="7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To our knowledge, there are currently no plans, arrangements or understandings between the selling stockholders and any broker-dealer or agent regarding the sale of common stock by the selling stockholders. To the extent required, the shares of common stock to be sold, the name of the selling stockholders, the respective purchase prices and public offering prices, the names of any agent, dealer or underwriter, and any applicable commissions or discounts with respect to a particular offer will be set forth in an accompanying prospectus supplement filed with the SEC under Rule 424(b) under the Securities Act or, if appropriate, a post-effective amendment to the shelf registration statement of which this prospectus is a part.</w:t>
      </w:r>
    </w:p>
    <w:p>
      <w:pPr>
        <w:spacing w:after="0" w:line="10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459" w:right="25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w:t>
      </w:r>
    </w:p>
    <w:p>
      <w:pPr>
        <w:spacing w:after="0" w:line="77"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We have agreed to indemnify selling stockholders against certain liabilities arising under the Securities Act from sales of common stock. The selling stockholders may agree to indemnify any agent, broker or dealer that participates in sales of common stock against liabilities arising under the Securities Act from sales of common stock.</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Effectiveness of Registration Statement</w:t>
      </w:r>
    </w:p>
    <w:p>
      <w:pPr>
        <w:spacing w:after="0" w:line="77" w:lineRule="exact"/>
        <w:rPr>
          <w:sz w:val="20"/>
          <w:szCs w:val="20"/>
          <w:color w:val="auto"/>
        </w:rPr>
      </w:pPr>
    </w:p>
    <w:p>
      <w:pPr>
        <w:jc w:val="both"/>
        <w:ind w:right="280" w:firstLine="456"/>
        <w:spacing w:after="0" w:line="259" w:lineRule="auto"/>
        <w:rPr>
          <w:sz w:val="20"/>
          <w:szCs w:val="20"/>
          <w:color w:val="auto"/>
        </w:rPr>
      </w:pPr>
      <w:r>
        <w:rPr>
          <w:rFonts w:ascii="Arial" w:cs="Arial" w:eastAsia="Arial" w:hAnsi="Arial"/>
          <w:sz w:val="18"/>
          <w:szCs w:val="18"/>
          <w:color w:val="auto"/>
        </w:rPr>
        <w:t>Under the registration rights agreement, we will use our commercially reasonable efforts to keep the registration statement of which this prospectus is a part effective until the earlier of (1) the sale of all of the registrable securities registered under the registration statement; and (2) two years after the date of the second closing at which we acquired interests in PetroAlliance Services Company Limited.</w:t>
      </w:r>
    </w:p>
    <w:p>
      <w:pPr>
        <w:spacing w:after="0" w:line="127"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We are permitted to suspend the use of this prospectus for a period not to exceed 90 consecutive days and an aggregate of 150 days during any calendar year if the use of this prospectus would be significantly disadvantageous to us or our stockholders for any reason, including the existence, or in anticipation, of any acquisition, divestiture or financing activity involving us or the unavailability of any required financial statements, or any disclosure that would be required to be made or any other event or condition of similar significance to us.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this Offering</w:t>
      </w:r>
    </w:p>
    <w:p>
      <w:pPr>
        <w:spacing w:after="0" w:line="77" w:lineRule="exact"/>
        <w:rPr>
          <w:sz w:val="20"/>
          <w:szCs w:val="20"/>
          <w:color w:val="auto"/>
        </w:rPr>
      </w:pPr>
    </w:p>
    <w:p>
      <w:pPr>
        <w:jc w:val="both"/>
        <w:ind w:right="580" w:firstLine="456"/>
        <w:spacing w:after="0" w:line="259" w:lineRule="auto"/>
        <w:rPr>
          <w:sz w:val="20"/>
          <w:szCs w:val="20"/>
          <w:color w:val="auto"/>
        </w:rPr>
      </w:pPr>
      <w:r>
        <w:rPr>
          <w:rFonts w:ascii="Arial" w:cs="Arial" w:eastAsia="Arial" w:hAnsi="Arial"/>
          <w:sz w:val="18"/>
          <w:szCs w:val="18"/>
          <w:color w:val="auto"/>
        </w:rPr>
        <w:t>We have agreed, among other things, to pay all expenses in connection with the registration and sale of the shares of common stock covered by this prospectus, other than underwriting fees, discounts, selling commissions and stock transfer taxes applicable to the sale of our common stock by the selling stockholders.</w:t>
      </w:r>
    </w:p>
    <w:p>
      <w:pPr>
        <w:spacing w:after="0" w:line="1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COMMON STOCK</w:t>
      </w:r>
    </w:p>
    <w:p>
      <w:pPr>
        <w:spacing w:after="0" w:line="164" w:lineRule="exact"/>
        <w:rPr>
          <w:sz w:val="20"/>
          <w:szCs w:val="20"/>
          <w:color w:val="auto"/>
        </w:rPr>
      </w:pPr>
    </w:p>
    <w:p>
      <w:pPr>
        <w:ind w:right="160" w:firstLine="456"/>
        <w:spacing w:after="0" w:line="332" w:lineRule="auto"/>
        <w:rPr>
          <w:sz w:val="20"/>
          <w:szCs w:val="20"/>
          <w:color w:val="auto"/>
        </w:rPr>
      </w:pPr>
      <w:r>
        <w:rPr>
          <w:rFonts w:ascii="Arial" w:cs="Arial" w:eastAsia="Arial" w:hAnsi="Arial"/>
          <w:sz w:val="16"/>
          <w:szCs w:val="16"/>
          <w:color w:val="auto"/>
        </w:rPr>
        <w:t>The following summarizes the material terms of our capital stock. Reference is made to our articles of incorporation and our by-laws, each as amended to date. Please read “Where You Can Find More Information” for information on how to obtain a copy of our articles of incorporation or by-laws.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Available, Issued and Treasury Shares</w:t>
      </w:r>
    </w:p>
    <w:p>
      <w:pPr>
        <w:spacing w:after="0" w:line="7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We may issue an aggregate of 1,500,000,000 shares of common stock, par value $0.01 per share. As of March 31, 2005, 667,106,015 shares were issued, of which 589,174,503 shares were outstanding and 77,931,512 shares were held by us as treasury stock.</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We may also issue an aggregate of 200,000,000 shares of preferred stock, par value $0.01 per share, which may be issued in one or more separate series. Under the articles of incorporation, our preferred stock (1) may be issued for not less than par value and not less than fair value taking into account the terms and conditions of such preferred stock, (2) would be subject to maximum and minimum dividend rates, (3) would be entitled to one vote per share, (4) would be entitled to receive certain liquidation preferences, (5) may contain provisions allowing it to be converted into common stock or other securities, and (6) may contain optional or mandatory redemption provisions. No shares of preferred stock have been issued as of the date of this prospectus.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 Rights</w:t>
      </w:r>
    </w:p>
    <w:p>
      <w:pPr>
        <w:spacing w:after="0" w:line="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All outstanding shares of our common stock (</w:t>
      </w:r>
      <w:r>
        <w:rPr>
          <w:rFonts w:ascii="Arial" w:cs="Arial" w:eastAsia="Arial" w:hAnsi="Arial"/>
          <w:sz w:val="16"/>
          <w:szCs w:val="16"/>
          <w:i w:val="1"/>
          <w:iCs w:val="1"/>
          <w:color w:val="auto"/>
        </w:rPr>
        <w:t>i.e.</w:t>
      </w:r>
      <w:r>
        <w:rPr>
          <w:rFonts w:ascii="Arial" w:cs="Arial" w:eastAsia="Arial" w:hAnsi="Arial"/>
          <w:sz w:val="16"/>
          <w:szCs w:val="16"/>
          <w:color w:val="auto"/>
        </w:rPr>
        <w:t>, shares not held by us) are entitled to participate equally and receive dividends that may be paid out of available profits of the preceding fiscal year or years or distributions out of contributed surplus capital reserves. All accumulated and unpaid dividends payable on preferred stock (if issued and outstanding) must be paid prior to the payment of any dividends on common stock. The amount of dividends payable with respect to any fiscal year is determined by the stockholders at the annual general meeting following such fiscal year, except that our board of directors may allocate such part of the earnings to the retained earnings reserves as it deems fit and may declare interim dividends and may declare and make distributions out of retained earnings reserves or out of contributed surplus capital reserves. Any such distribution can only occur if, at</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the time of distribution, our “equity” (i.e., our net asset value) at least equals the nominal capital (i.e., the aggregate par value of our outstanding shares) and as a result of the distribution will not fall below the nominal capital.</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Entitlement to Vote</w:t>
      </w:r>
    </w:p>
    <w:p>
      <w:pPr>
        <w:spacing w:after="0" w:line="77"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holder of shares of common stock and each holder of preferred shares (if issued and outstanding) is entitled to one vote for each share registered in that holder’s name. Voting rights may be exercised in person or by proxy.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Quorum</w:t>
      </w:r>
    </w:p>
    <w:p>
      <w:pPr>
        <w:spacing w:after="0" w:line="77" w:lineRule="exact"/>
        <w:rPr>
          <w:sz w:val="20"/>
          <w:szCs w:val="20"/>
          <w:color w:val="auto"/>
        </w:rPr>
      </w:pPr>
    </w:p>
    <w:p>
      <w:pPr>
        <w:ind w:right="140" w:firstLine="456"/>
        <w:spacing w:after="0" w:line="314" w:lineRule="auto"/>
        <w:rPr>
          <w:sz w:val="20"/>
          <w:szCs w:val="20"/>
          <w:color w:val="auto"/>
        </w:rPr>
      </w:pPr>
      <w:r>
        <w:rPr>
          <w:rFonts w:ascii="Arial" w:cs="Arial" w:eastAsia="Arial" w:hAnsi="Arial"/>
          <w:sz w:val="15"/>
          <w:szCs w:val="15"/>
          <w:color w:val="auto"/>
        </w:rPr>
        <w:t>No action may be taken at any general meeting of stockholders unless a quorum consisting of the holders of at least one-half of the outstanding shares entitling the holders thereof to vote at such meeting are present at such meeting in person or by proxy. If a quorum is not present in person or by proxy at any general meeting of stockholders, a second general meeting will be called in the same manner as the original meeting of stockholders, to be held within two months, at which second meeting, regardless of the number of shares represented (subject to certain limitations in the event of an asset disposition or liquidation of us or the amendment of our articles of incorporation), valid resolutions may be adopted with respect to any matter stated in the notice of the original meeting and also in the notice of the second meeting or which by law is required to be brought before the stockholders despite the absence of a quorum.</w:t>
      </w:r>
    </w:p>
    <w:p>
      <w:pPr>
        <w:spacing w:after="0" w:line="91"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Required Vote</w:t>
      </w:r>
    </w:p>
    <w:p>
      <w:pPr>
        <w:spacing w:after="0" w:line="7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In general, any action requiring the approval of the stockholders may be authorized by a majority of the votes cast (excluding any abstentions) at any meeting at which a quorum is present (subject to the quorum exception described above).</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No action to amend our articles of incorporation or to dissolve us can be taken, however, unless such action is approved by the holders of at least a majority of the shares outstanding and entitled to vote. In addition, holders of preferred stock (if issued and outstanding) would have additional rights to vote as a class on certain amendments to our articles of incorporation that would adversely affect the preferred stock.</w:t>
      </w:r>
    </w:p>
    <w:p>
      <w:pPr>
        <w:spacing w:after="0" w:line="127"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sale or disposition of all or substantially all of our assets must be approved by the holders of at least a majority of the shares outstanding and entitled to vote, except that under the articles of incorporation this requirement does not apply to a reorganization or rearrangement of us or any of our subsidiaries or any of our assets in any transaction that does not result in any diminution of the beneficial interest of the stockholders in our assets.</w:t>
      </w:r>
    </w:p>
    <w:p>
      <w:pPr>
        <w:spacing w:after="0" w:line="93"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Under the articles of incorporation, the board of directors may move our corporate seat to, or convert us into a legal entity under the laws of, another jurisdiction, and may change our corporate domicile from the Netherlands Antilles to another jurisdiction to the extent allowed by applicable law. In certain cases, stockholder approval of such action may not be required under applicable law.</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Preemptive and Other Rights</w:t>
      </w:r>
    </w:p>
    <w:p>
      <w:pPr>
        <w:spacing w:after="0" w:line="77"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The shares of our common stock do not carry any preferential, preemptive or conversion rights, and there are no redemption provisions with respect to the common stock. The shares of preferred stock (if issued and outstanding) would not carry any preemptive rights, but our board of directors could specify conversion rights, redemption provisions and (within limits) liquidation preferences with respect to one or more series of preferred stock. The board of directors may grant contract rights to acquire shares of our capital stock.</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Repurchases of Common Stock</w:t>
      </w:r>
    </w:p>
    <w:p>
      <w:pPr>
        <w:spacing w:after="0" w:line="77"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We may for our own account purchase shares of common stock so long as one share of common stock remains outstanding and our equity before and after such a purchase at least equals our nominal capital.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Election and Removal of Directors</w:t>
      </w:r>
    </w:p>
    <w:p>
      <w:pPr>
        <w:spacing w:after="0" w:line="77"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Directors are elected at a general meeting of stockholders by a majority of votes cast by stockholders entitled to vote. The number of directors constituting the whole board of directors may not be less than five nor more than 24, as fixed and elected by the general meeting of stockholders. The board of directors is authorized to appoint directors to fill vacancies on the board of directors, which appointment will be effective until the next general meeting of stockholders. Directors may be suspended or dismissed at any general meeting of stockholders. A suspension automatically terminates if the person concerned has not been dismissed within two months after the day of suspension.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Meetings</w:t>
      </w:r>
    </w:p>
    <w:p>
      <w:pPr>
        <w:spacing w:after="0" w:line="77"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accordance with applicable law, all general meetings of stockholders must be held in the Netherlands Antilles. The annual general meeting of stockholders is held on a date determined from year to year by the board of directors, for the purpose of electing directors, reporting on the course of business during the preceding fiscal year, approving of the balance sheet and the profit and loss account for the preceding fiscal year and for any other purposes required by law or as may be stated in the notice of such meeting. Special general meetings of stockholders may be called at any time upon the direction of the chairman, the vice chairman, the chief executive officer, the president or the board of directors. Special general meetings of stockholders may also be called by one or more stockholders representing at least 10% of the votes that can be cast on the topics they wish to be addressed at such meeting and that have a reasonable interest in having such meeting convened, by one or more holders of shares representing in the aggregate a majority of shares then outstanding and, in certain circumstances if all of the directors are prevented from or incapable of serving, by any person or persons holding in the aggregate at least 5% of the outstanding shares of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Stockholder Action by Written Consent</w:t>
      </w:r>
    </w:p>
    <w:p>
      <w:pPr>
        <w:spacing w:after="0" w:line="77"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Under Netherlands Antilles law, stockholders may not act by written consent without a meeting, unless all stockholders entitled to vote on the matter have cast a vote.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Buy-Out</w:t>
      </w:r>
    </w:p>
    <w:p>
      <w:pPr>
        <w:spacing w:after="0" w:line="77"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the articles of incorporation, any one person, or any two or more legal entities belonging to the same group, holding shares representing at least 90% of our equity can require the remaining stockholders to transfer their shares as provided by and in accordance with the provisions of Netherlands Antilles law. This provision is somewhat similar to statutes that exist in Delaware and most U.S. states, which typically allow the owner or owners of 90% of a company’s outstanding equity to effect a “short-form” merger. In order to effect a compulsory share transfer, the owner or owners of 90% of our outstanding equity would have to institute an action in a Netherlands Antilles court and pay the transferring stockholders the value of the shares to be transferred as determined by the judge (based on the advice of one or three experts). A judge can deny a request for a compulsory share transfer if a stockholder would suffer serious material damage through the transfer.</w:t>
      </w:r>
    </w:p>
    <w:p>
      <w:pPr>
        <w:spacing w:after="0" w:line="1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Upon Liquidation</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the event of liquidation, each share of common stock is entitled to equal rights after satisfaction of any preferred stock liquidation preference.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Listing, Transfer Agents and Registrars</w:t>
      </w:r>
    </w:p>
    <w:p>
      <w:pPr>
        <w:spacing w:after="0" w:line="77" w:lineRule="exact"/>
        <w:rPr>
          <w:sz w:val="20"/>
          <w:szCs w:val="20"/>
          <w:color w:val="auto"/>
        </w:rPr>
      </w:pPr>
    </w:p>
    <w:p>
      <w:pPr>
        <w:ind w:right="320" w:firstLine="456"/>
        <w:spacing w:after="0" w:line="332" w:lineRule="auto"/>
        <w:rPr>
          <w:sz w:val="20"/>
          <w:szCs w:val="20"/>
          <w:color w:val="auto"/>
        </w:rPr>
      </w:pPr>
      <w:r>
        <w:rPr>
          <w:rFonts w:ascii="Arial" w:cs="Arial" w:eastAsia="Arial" w:hAnsi="Arial"/>
          <w:sz w:val="16"/>
          <w:szCs w:val="16"/>
          <w:color w:val="auto"/>
        </w:rPr>
        <w:t>Our common stock is listed for trading on the New York Stock Exchange, The London Stock Exchange, Euronext Paris, Euronext Amsterdam and The SWS Swiss Exchange. The transfer agent and registrar for the common stock is EquiServe Trust Company, N.A., Canton, Massachusetts.</w:t>
      </w:r>
    </w:p>
    <w:p>
      <w:pPr>
        <w:spacing w:after="0" w:line="66" w:lineRule="exact"/>
        <w:rPr>
          <w:sz w:val="20"/>
          <w:szCs w:val="20"/>
          <w:color w:val="auto"/>
        </w:rPr>
      </w:pPr>
    </w:p>
    <w:p>
      <w:pPr>
        <w:ind w:left="4960"/>
        <w:spacing w:after="0"/>
        <w:rPr>
          <w:sz w:val="20"/>
          <w:szCs w:val="20"/>
          <w:color w:val="auto"/>
        </w:rPr>
      </w:pPr>
      <w:r>
        <w:rPr>
          <w:rFonts w:ascii="Arial" w:cs="Arial" w:eastAsia="Arial" w:hAnsi="Arial"/>
          <w:sz w:val="18"/>
          <w:szCs w:val="18"/>
          <w:b w:val="1"/>
          <w:bCs w:val="1"/>
          <w:color w:val="auto"/>
        </w:rPr>
        <w:t>LEGAL MATTERS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validity of the common stock will be passed upon for us by Ellen Summer, Esq., our General Counsel.</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64"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The consolidated financial statements and management’s assessment of the effectiveness of internal control over financial reporting (which is included in Management’s Report on Internal Control over Financial Reporting) incorporated in this prospectus by reference to the Annual Report on Form 10-K for the year ended December 31, 2004 have been so incorporated in reliance on the report of PricewaterhouseCoopers LLP, an independent registered public accounting firm, given on the authority of said firm as experts in auditing and accounting.</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164" w:lineRule="exact"/>
        <w:rPr>
          <w:sz w:val="20"/>
          <w:szCs w:val="20"/>
          <w:color w:val="auto"/>
        </w:rPr>
      </w:pPr>
    </w:p>
    <w:p>
      <w:pPr>
        <w:jc w:val="both"/>
        <w:ind w:right="140" w:firstLine="456"/>
        <w:spacing w:after="0" w:line="298" w:lineRule="auto"/>
        <w:rPr>
          <w:sz w:val="20"/>
          <w:szCs w:val="20"/>
          <w:color w:val="auto"/>
        </w:rPr>
      </w:pPr>
      <w:r>
        <w:rPr>
          <w:rFonts w:ascii="Arial" w:cs="Arial" w:eastAsia="Arial" w:hAnsi="Arial"/>
          <w:sz w:val="16"/>
          <w:szCs w:val="16"/>
          <w:color w:val="auto"/>
        </w:rPr>
        <w:t>We file annual, quarterly and current reports, proxy statements and other information with the SEC. Our SEC filings are available over the Internet at our website at www.slb.com and at the SEC’s website at www.sec.gov. You may also read and copy any document we file at the SEC’s public reference room at 450 Fifth Street N.W., Washington, D.C. 20549. Please call the SEC at 1-800-SEC-0330 for more information on the public reference rooms and their copy charges. You may also inspect our SEC reports and other information at the New York Stock Exchange, 20 Broad Street, New York, New York 10005.</w:t>
      </w:r>
    </w:p>
    <w:p>
      <w:pPr>
        <w:spacing w:after="0" w:line="99"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This prospectus is part of a registration statement that we have filed with the SEC relating to the common stock. This prospectus does not contain all of the information we have included in the registration statement and the accompanying exhibits and schedules as permitted by the rules and regulations of the SEC, and we refer you to the omitted information. The statements this prospectus makes pertaining to the content of any contract, agreement or other document that is an exhibit to the registration statement are necessarily summaries of their material provisions, and we qualify them in their entirety by reference to those exhibits for complete statements of their provisions. The registration statement, exhibits and schedules are available at the SEC’s public reference room or through its website.</w:t>
      </w:r>
    </w:p>
    <w:p>
      <w:pPr>
        <w:spacing w:after="0" w:line="86"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this document, we “incorporate by reference” certain information we file with the SEC, which means that we disclose important information to you by referring to that information. The information incorporated by reference is considered to be a part of this prospectus, and later information filed with the SEC will update and supersede this information. We incorporate by reference the documents listed below that we have previously filed with the SEC and any future filings we make with the SEC pursuant to Sections 13(a), 13(c), 14 and 15(d) of the Exchange Act after the date of this prospectus and until this offering is completed (other than information in such documents that is deemed not to be filed) and any filings we make with the SEC pursuant to Sections 13(a), 13(c), 14 and 15(d) of the Exchange Act after the date of the initial registration statement and prior to the effectiveness of the registration statement:</w:t>
      </w:r>
    </w:p>
    <w:p>
      <w:pPr>
        <w:spacing w:after="0" w:line="26" w:lineRule="exact"/>
        <w:rPr>
          <w:sz w:val="20"/>
          <w:szCs w:val="20"/>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annual report on Form 10-K for the fiscal year ended December 31, 2004;</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quarterly report on Form 10-Q for the fiscal quarter ended March 31, 2005;</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reports on Form 8-K filed with the SEC on April 1, 2005, April 19, 2005 and April 22, 2005; and</w:t>
      </w:r>
    </w:p>
    <w:p>
      <w:pPr>
        <w:spacing w:after="0" w:line="103" w:lineRule="exact"/>
        <w:rPr>
          <w:rFonts w:ascii="Arial" w:cs="Arial" w:eastAsia="Arial" w:hAnsi="Arial"/>
          <w:sz w:val="18"/>
          <w:szCs w:val="18"/>
          <w:color w:val="auto"/>
        </w:rPr>
      </w:pPr>
    </w:p>
    <w:p>
      <w:pPr>
        <w:ind w:left="900" w:hanging="446"/>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description of our common stock contained in our current report on Form 8-K filed with the SEC on April 29, 2005.</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may request a copy of these filings at no cost, by writing or telephoning us at: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5580" w:hanging="415"/>
        <w:spacing w:after="0"/>
        <w:tabs>
          <w:tab w:leader="none" w:pos="55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350-9400</w:t>
      </w:r>
    </w:p>
    <w:p>
      <w:pPr>
        <w:spacing w:after="0" w:line="32" w:lineRule="exact"/>
        <w:rPr>
          <w:rFonts w:ascii="Arial" w:cs="Arial" w:eastAsia="Arial" w:hAnsi="Arial"/>
          <w:sz w:val="16"/>
          <w:szCs w:val="16"/>
          <w:color w:val="auto"/>
        </w:rPr>
      </w:pPr>
    </w:p>
    <w:p>
      <w:pPr>
        <w:ind w:left="4700"/>
        <w:spacing w:after="0"/>
        <w:rPr>
          <w:rFonts w:ascii="Arial" w:cs="Arial" w:eastAsia="Arial" w:hAnsi="Arial"/>
          <w:sz w:val="16"/>
          <w:szCs w:val="16"/>
          <w:color w:val="auto"/>
        </w:rPr>
      </w:pPr>
      <w:r>
        <w:rPr>
          <w:rFonts w:ascii="Arial" w:cs="Arial" w:eastAsia="Arial" w:hAnsi="Arial"/>
          <w:sz w:val="18"/>
          <w:szCs w:val="18"/>
          <w:color w:val="auto"/>
        </w:rPr>
        <w:t>Attention: Investor Relations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Any statement contained in a document incorporated or considered to be incorporated by reference in this prospectus shall be considered to be modified or superseded for purposes of this prospectus to the extent that a statement contained in this prospectus or in any subsequently filed document that is or is considered to be incorporated by reference modifies or supersedes that statement. Any statement that is modified or superseded shall not, except as so modified or superseded, constitute a part of this prospectus.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0"/>
        <w:spacing w:after="0"/>
        <w:rPr>
          <w:sz w:val="20"/>
          <w:szCs w:val="20"/>
          <w:color w:val="auto"/>
        </w:rPr>
      </w:pPr>
      <w:r>
        <w:rPr>
          <w:rFonts w:ascii="Arial" w:cs="Arial" w:eastAsia="Arial" w:hAnsi="Arial"/>
          <w:sz w:val="18"/>
          <w:szCs w:val="18"/>
          <w:b w:val="1"/>
          <w:bCs w:val="1"/>
          <w:color w:val="auto"/>
        </w:rPr>
        <w:t>PART II</w:t>
      </w:r>
    </w:p>
    <w:p>
      <w:pPr>
        <w:spacing w:after="0" w:line="158"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158"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8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following table sets forth the estimated expenses payable by Schlumberger Limited (the “Registrant”) in connection with the issuance and distribution of the securities being registered. All amounts shown are estimates, except the registration fee.</w:t>
      </w:r>
    </w:p>
    <w:p>
      <w:pPr>
        <w:spacing w:after="0" w:line="12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Securities and Exchange Commission registration fee</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Printing expenses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26,614</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6100" w:type="dxa"/>
            <w:vAlign w:val="bottom"/>
          </w:tcPr>
          <w:p>
            <w:pPr>
              <w:spacing w:after="0"/>
              <w:rPr>
                <w:sz w:val="9"/>
                <w:szCs w:val="9"/>
                <w:color w:val="auto"/>
              </w:rPr>
            </w:pPr>
          </w:p>
        </w:tc>
        <w:tc>
          <w:tcPr>
            <w:tcW w:w="23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6100" w:type="dxa"/>
            <w:vAlign w:val="bottom"/>
          </w:tcPr>
          <w:p>
            <w:pPr>
              <w:spacing w:after="0"/>
              <w:rPr>
                <w:sz w:val="8"/>
                <w:szCs w:val="8"/>
                <w:color w:val="auto"/>
              </w:rPr>
            </w:pPr>
          </w:p>
        </w:tc>
        <w:tc>
          <w:tcPr>
            <w:tcW w:w="2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120,000</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6100" w:type="dxa"/>
            <w:vAlign w:val="bottom"/>
          </w:tcPr>
          <w:p>
            <w:pPr>
              <w:spacing w:after="0"/>
              <w:rPr>
                <w:sz w:val="11"/>
                <w:szCs w:val="11"/>
                <w:color w:val="auto"/>
              </w:rPr>
            </w:pPr>
          </w:p>
        </w:tc>
        <w:tc>
          <w:tcPr>
            <w:tcW w:w="23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6100445</wp:posOffset>
            </wp:positionH>
            <wp:positionV relativeFrom="paragraph">
              <wp:posOffset>-29210</wp:posOffset>
            </wp:positionV>
            <wp:extent cx="12700"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6520815</wp:posOffset>
            </wp:positionH>
            <wp:positionV relativeFrom="paragraph">
              <wp:posOffset>-29210</wp:posOffset>
            </wp:positionV>
            <wp:extent cx="12700"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6151880</wp:posOffset>
            </wp:positionH>
            <wp:positionV relativeFrom="paragraph">
              <wp:posOffset>-29210</wp:posOffset>
            </wp:positionV>
            <wp:extent cx="2159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83" w:lineRule="exact"/>
        <w:rPr>
          <w:sz w:val="20"/>
          <w:szCs w:val="20"/>
          <w:color w:val="auto"/>
        </w:rPr>
      </w:pPr>
    </w:p>
    <w:p>
      <w:pPr>
        <w:ind w:right="100" w:firstLine="456"/>
        <w:spacing w:after="0" w:line="254" w:lineRule="auto"/>
        <w:rPr>
          <w:sz w:val="20"/>
          <w:szCs w:val="20"/>
          <w:color w:val="auto"/>
        </w:rPr>
      </w:pPr>
      <w:r>
        <w:rPr>
          <w:rFonts w:ascii="Arial" w:cs="Arial" w:eastAsia="Arial" w:hAnsi="Arial"/>
          <w:sz w:val="18"/>
          <w:szCs w:val="18"/>
          <w:color w:val="auto"/>
        </w:rPr>
        <w:t>Article 10 of the Registrant’s Articles of Incorporation and Article V of the Registrant’s Amended and Restated By-Laws contain provisions providing for indemnification of the Registrant’s directors, officers, employees and agents. Article 10 of the Articles of Incorporation permits (but does not require) the Registrant to indemnify directors, officers, employees and agents, except that indemnification is mandatory with respect to a present or former officer or director in the event of a change of control or if such present or former officer or director has been successful on the merits or otherwise in the defense of any action, suit or proceeding. Article V of the Registrant’s Amended and Restated By-Laws contains mandatory indemnification for current and former directors and officers as described below.</w:t>
      </w:r>
    </w:p>
    <w:p>
      <w:pPr>
        <w:spacing w:after="0" w:line="131"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suit or proceeding, whether civil, criminal, administrative or investigative (other than an action by or in the right of the Registrant) by reason of the fact that he or she is or was a director or officer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such action, suit or proceeding if such person acted in good faith and in a manner such person reasonably believed to be in or not opposed to the best interests of the Registrant, and, with respect to any criminal action or proceeding, had no reasonable cause to believe that such person’s conduct was unlawful. The termination of any action, suit or proceeding by judgment, order, settlement, conviction, or upon a plea of nolo contendere or its equivalent, does not, of itself, create a presumption that the person did not act in good faith and in a manner which such person reasonably believed to be in or not opposed to the best interests of the Registrant, and, with respect to any criminal action or proceeding, had reasonable cause to believe that such person’s conduct was unlawful. The Registrant is required to indemnify any present or former officer or director of the Registrant to the fullest extent allowed by the preceding paragraphs in the event of a “Change of Control.” “Change of Control” means a change in control of the Registrant, which shall be deemed to have occurred if at any time (i) any entity, person or organization is or becomes the legal or beneficial owner, directly or indirectly, of securities of the Registrant representing 30% or more of the combined voting power of the Registrant’s then outstanding shares without the prior approval of at least two-thirds of the members of the Board of Directors in office immediately prior to such entity, person or organization attaining such percentage interest; (ii) the Registrant is a party to a merger, consolidation, share exchange, sale of assets or other reorganization, or a proxy contest, as a consequence of which members of the Board of Directors in office immediately prior to such transaction or event constitute less than a majority of the Board of Directors thereafter; or (iii) during any 15-month period, individuals who at the beginning of such period constituted the Board of Directors (including for this purpose any new director whose election or nomination for election by the Registrant’s stockholders was approved by a vote of at least two-thirds of the directors then still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office who were directors at the beginning of such period) cease for any reason to constitute at least a majority of the Board of Directors.</w:t>
      </w:r>
    </w:p>
    <w:p>
      <w:pPr>
        <w:spacing w:after="0" w:line="158"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To the fullest extent permitted by applicable law, the Registrant shall indemnify any current or former director or officer who was or is a party or is threatened to be made a party to any threatened, pending or completed action or suit by or in the right of the Registrant to procure a judgment in the Registrant’s favor by reason of the fact that such person is or was a director, officer, employee or agent of the Registrant, or is or was serving at the request of the Registrant as a director, officer, employee or agent of another corporation, partnership, joint venture, trust or other enterprise or entity against expenses (including attorneys’ fees), judgments, fines and amounts paid in settlement actually and reasonably incurred by such person in connection with the defense or settlement of such action or suit if such person acted in good faith and in a manner such person reasonably believed to be in or not opposed to the best interests of the Registrant and except that no indemnification may be made in respect of any claim, issue or matter as to which such person has been finally adjudged to be liable to the Registrant for improper conduct unless and only to the extent that the court in which that action or suit was brought or any other court having appropriate jurisdiction determines upon application that, despite the adjudication of liability, but in view of all the circumstances of the case, such person is fairly and reasonably entitled to indemnity for those expenses, judgments, fines and amounts paid in settlement which the court in which the action or suit was brought or such other court having appropriate jurisdiction deems proper. The Registrant is required to indemnify any present or former officer or director to the fullest extent allowed by this paragraph in the event of a Change of Control (as defined above).</w:t>
      </w:r>
    </w:p>
    <w:p>
      <w:pPr>
        <w:spacing w:after="0" w:line="111"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color w:val="auto"/>
        </w:rPr>
        <w:t>Any indemnification under the first two paragraphs in this item (unless ordered by a court) may be extended to current or former employees or agents of the Registrant only as authorized by the Chief Executive Officer or by contract approved, or by-laws, resolution or other action adopted or taken, by the board of directors or by the stockholders.</w:t>
      </w:r>
    </w:p>
    <w:p>
      <w:pPr>
        <w:spacing w:after="0" w:line="127"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Expenses (including attorneys’ fees) incurred by a present or former director or a present officer in defending any civil or criminal, administrative or investigative action, suit or proceeding will be paid by the Registrant in advance of the final disposition of such action, suit or proceeding upon receipt of an undertaking by or on behalf of such person to repay such amount if it is ultimately determined that such person is not entitled to be indemnified by the Registrant.</w:t>
      </w:r>
    </w:p>
    <w:p>
      <w:pPr>
        <w:spacing w:after="0" w:line="93" w:lineRule="exact"/>
        <w:rPr>
          <w:sz w:val="20"/>
          <w:szCs w:val="20"/>
          <w:color w:val="auto"/>
        </w:rPr>
      </w:pPr>
    </w:p>
    <w:p>
      <w:pPr>
        <w:ind w:right="700" w:firstLine="456"/>
        <w:spacing w:after="0" w:line="268" w:lineRule="auto"/>
        <w:rPr>
          <w:sz w:val="20"/>
          <w:szCs w:val="20"/>
          <w:color w:val="auto"/>
        </w:rPr>
      </w:pPr>
      <w:r>
        <w:rPr>
          <w:rFonts w:ascii="Arial" w:cs="Arial" w:eastAsia="Arial" w:hAnsi="Arial"/>
          <w:sz w:val="18"/>
          <w:szCs w:val="18"/>
          <w:color w:val="auto"/>
        </w:rPr>
        <w:t>The Registrant may pay such expenses (including attorneys’ fees) incurred by former officers or other employees and agents upon such terms and conditions, if any, it deems appropriate.</w:t>
      </w:r>
    </w:p>
    <w:p>
      <w:pPr>
        <w:spacing w:after="0" w:line="118"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The indemnification and advancement of expenses described above are not exclusive of any other rights to which those seeking indemnification or advancement of expenses may be entitled under any law, by-law, agreement, vote of stockholders or disinterested directors, or otherwise, both as to action in such person’s official capacity and as to action in another capacity while holding such office, and, unless otherwise provided when authorized or ratified, continues as to a person who has ceased to be a director, officer, employee or agent and inures to the benefit of the heirs, executors and administrators of that person.</w:t>
      </w:r>
    </w:p>
    <w:p>
      <w:pPr>
        <w:spacing w:after="0" w:line="84"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The Registrant has the power to purchase and maintain insurance on behalf of any person who is or was a director, officer, employee or agent of the Registrant, or is or was serving at the request of the Registrant in such a capacity for another corporation, partnership, joint venture, trust or other enterprise or entity against any liability asserted against that person and incurred by that person in any of those capacities or arising out of such person’s status as such, whether or not the Registrant would have the power to indemnify such person against such liability.</w:t>
      </w:r>
    </w:p>
    <w:p>
      <w:pPr>
        <w:spacing w:after="0" w:line="99"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References to the Registrant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or is or was serving at the request of such constituent corporation as a director, officer, employee or agent of another corporation, partnership, joint venture, trust or other enterprise or entity, stands in the same position with respect to the resulting or surviving corporation as such person would have had with respect to such constituent corporation if its separate existence had continued.</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References to “other enterprises” includes employee benefit plans; references to “fines” includes any excise taxes assessed on a person with respect to any employee benefit plan; and references to “serving at the request of the Registrant” includes any service as a director, officer, employee or agent of the Registrant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Registrant.”</w:t>
      </w:r>
    </w:p>
    <w:p>
      <w:pPr>
        <w:spacing w:after="0" w:line="102" w:lineRule="exact"/>
        <w:rPr>
          <w:sz w:val="20"/>
          <w:szCs w:val="20"/>
          <w:color w:val="auto"/>
        </w:rPr>
      </w:pPr>
    </w:p>
    <w:p>
      <w:pPr>
        <w:ind w:right="100" w:firstLine="456"/>
        <w:spacing w:after="0" w:line="323" w:lineRule="auto"/>
        <w:rPr>
          <w:sz w:val="20"/>
          <w:szCs w:val="20"/>
          <w:color w:val="auto"/>
        </w:rPr>
      </w:pPr>
      <w:r>
        <w:rPr>
          <w:rFonts w:ascii="Arial" w:cs="Arial" w:eastAsia="Arial" w:hAnsi="Arial"/>
          <w:sz w:val="15"/>
          <w:szCs w:val="15"/>
          <w:color w:val="auto"/>
        </w:rPr>
        <w:t>A member of the Board of Directors, or a member of any committee designated by the Board of Directors, shall, in the performance of such member’s duties, be fully protected in relying in good faith upon the records of the Registrant and upon such information, opinions, reports or statements presented to the Registrant by any of the Registrant’s officers or employees, or committees of the Board of Directors, or by any other person as to matters the member reasonably believes are within such other person’s professional or expert competence and who has been selected with reasonable care by or on behalf of the Registrant.</w:t>
      </w:r>
    </w:p>
    <w:p>
      <w:pPr>
        <w:spacing w:after="0" w:line="84"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In addition, the Registrant maintains directors’ and officers’ liability insurance which insures against certain liabilities that the officers and directors of the Registrant may incur in such capacities.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420"/>
          </w:cols>
          <w:pgMar w:left="240" w:top="45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i w:val="1"/>
          <w:iCs w:val="1"/>
          <w:color w:val="auto"/>
        </w:rPr>
        <w:t>Exhibits</w:t>
      </w:r>
    </w:p>
    <w:p>
      <w:pPr>
        <w:spacing w:after="0" w:line="159" w:lineRule="exact"/>
        <w:rPr>
          <w:sz w:val="20"/>
          <w:szCs w:val="20"/>
          <w:color w:val="auto"/>
        </w:rPr>
      </w:pPr>
    </w:p>
    <w:p>
      <w:pPr>
        <w:ind w:left="120"/>
        <w:spacing w:after="0"/>
        <w:tabs>
          <w:tab w:leader="none" w:pos="1400" w:val="left"/>
        </w:tabs>
        <w:rPr>
          <w:sz w:val="20"/>
          <w:szCs w:val="20"/>
          <w:color w:val="auto"/>
        </w:rPr>
      </w:pPr>
      <w:r>
        <w:rPr>
          <w:rFonts w:ascii="Arial" w:cs="Arial" w:eastAsia="Arial" w:hAnsi="Arial"/>
          <w:sz w:val="14"/>
          <w:szCs w:val="14"/>
          <w:b w:val="1"/>
          <w:bCs w:val="1"/>
          <w:color w:val="auto"/>
        </w:rPr>
        <w:t>Exhibit No.</w:t>
      </w:r>
      <w:r>
        <w:rPr>
          <w:sz w:val="20"/>
          <w:szCs w:val="20"/>
          <w:color w:val="auto"/>
        </w:rPr>
        <w:tab/>
      </w: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1964055"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964055" cy="8890"/>
                    </a:xfrm>
                    <a:prstGeom prst="rect">
                      <a:avLst/>
                    </a:prstGeom>
                    <a:noFill/>
                  </pic:spPr>
                </pic:pic>
              </a:graphicData>
            </a:graphic>
          </wp:anchor>
        </w:drawing>
      </w:r>
    </w:p>
    <w:p>
      <w:pPr>
        <w:spacing w:after="0" w:line="310" w:lineRule="exact"/>
        <w:rPr>
          <w:sz w:val="20"/>
          <w:szCs w:val="20"/>
          <w:color w:val="auto"/>
        </w:rPr>
      </w:pPr>
    </w:p>
    <w:p>
      <w:pPr>
        <w:ind w:left="1420" w:hanging="846"/>
        <w:spacing w:after="0" w:line="259" w:lineRule="auto"/>
        <w:tabs>
          <w:tab w:leader="none" w:pos="140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Articles of Incorporation of Schlumberger N.V. (Schlumberger Limited) as last amended and restated on April 13, 2005 (incorporated by reference to Appendix 1 to Schlumberger’s definitive proxy statement for the 2005 Annual General Meeting of Stockholders held on April 13, 2005).</w:t>
      </w:r>
    </w:p>
    <w:p>
      <w:pPr>
        <w:spacing w:after="0" w:line="86" w:lineRule="exact"/>
        <w:rPr>
          <w:sz w:val="20"/>
          <w:szCs w:val="20"/>
          <w:color w:val="auto"/>
        </w:rPr>
      </w:pPr>
    </w:p>
    <w:p>
      <w:pPr>
        <w:ind w:left="1420" w:right="140" w:hanging="846"/>
        <w:spacing w:after="0" w:line="268" w:lineRule="auto"/>
        <w:tabs>
          <w:tab w:leader="none" w:pos="140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Amended and Restated Bylaws of Schlumberger N.V. (Schlumberger Limited) as last amended on April 21, 2005 (incorporated by reference to Exhibit 3.1 to Schlumberger’s Form 8-K filed on April 22, 2005).</w:t>
      </w:r>
    </w:p>
    <w:p>
      <w:pPr>
        <w:spacing w:after="0" w:line="78"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5"/>
          <w:szCs w:val="15"/>
          <w:color w:val="auto"/>
        </w:rPr>
        <w:t>Registration Rights Agreement, dated as of May 27, 2004, by and between Schlumberger and the other parties thereto.</w:t>
      </w:r>
    </w:p>
    <w:p>
      <w:pPr>
        <w:spacing w:after="0" w:line="117" w:lineRule="exact"/>
        <w:rPr>
          <w:sz w:val="20"/>
          <w:szCs w:val="20"/>
          <w:color w:val="auto"/>
        </w:rPr>
      </w:pPr>
    </w:p>
    <w:p>
      <w:pPr>
        <w:ind w:left="480"/>
        <w:spacing w:after="0"/>
        <w:tabs>
          <w:tab w:leader="none" w:pos="140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8"/>
          <w:szCs w:val="18"/>
          <w:color w:val="auto"/>
        </w:rPr>
        <w:t>Opinion of Ellen Summer, Esq. regarding the legality of the securities being offered.</w:t>
      </w:r>
    </w:p>
    <w:p>
      <w:pPr>
        <w:spacing w:after="0" w:line="117"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5"/>
          <w:szCs w:val="15"/>
          <w:color w:val="auto"/>
        </w:rPr>
        <w:t>Consent of PricewaterhouseCoopers LLP.</w:t>
      </w:r>
    </w:p>
    <w:p>
      <w:pPr>
        <w:spacing w:after="0" w:line="117" w:lineRule="exact"/>
        <w:rPr>
          <w:sz w:val="20"/>
          <w:szCs w:val="20"/>
          <w:color w:val="auto"/>
        </w:rPr>
      </w:pPr>
    </w:p>
    <w:p>
      <w:pPr>
        <w:ind w:left="380"/>
        <w:spacing w:after="0"/>
        <w:tabs>
          <w:tab w:leader="none" w:pos="1400" w:val="left"/>
        </w:tabs>
        <w:rPr>
          <w:sz w:val="20"/>
          <w:szCs w:val="20"/>
          <w:color w:val="auto"/>
        </w:rPr>
      </w:pPr>
      <w:r>
        <w:rPr>
          <w:rFonts w:ascii="Arial" w:cs="Arial" w:eastAsia="Arial" w:hAnsi="Arial"/>
          <w:sz w:val="18"/>
          <w:szCs w:val="18"/>
          <w:color w:val="auto"/>
        </w:rPr>
        <w:t>**23.2</w:t>
      </w:r>
      <w:r>
        <w:rPr>
          <w:sz w:val="20"/>
          <w:szCs w:val="20"/>
          <w:color w:val="auto"/>
        </w:rPr>
        <w:tab/>
      </w:r>
      <w:r>
        <w:rPr>
          <w:rFonts w:ascii="Arial" w:cs="Arial" w:eastAsia="Arial" w:hAnsi="Arial"/>
          <w:sz w:val="18"/>
          <w:szCs w:val="18"/>
          <w:color w:val="auto"/>
        </w:rPr>
        <w:t>Consent of Ellen Summer, Esq. (included in Exhibit 5.1).</w:t>
      </w:r>
    </w:p>
    <w:p>
      <w:pPr>
        <w:spacing w:after="0" w:line="117" w:lineRule="exact"/>
        <w:rPr>
          <w:sz w:val="20"/>
          <w:szCs w:val="20"/>
          <w:color w:val="auto"/>
        </w:rPr>
      </w:pPr>
    </w:p>
    <w:p>
      <w:pPr>
        <w:ind w:left="560"/>
        <w:spacing w:after="0"/>
        <w:tabs>
          <w:tab w:leader="none" w:pos="140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Powers 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600075"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00075" cy="8890"/>
                    </a:xfrm>
                    <a:prstGeom prst="rect">
                      <a:avLst/>
                    </a:prstGeom>
                    <a:noFill/>
                  </pic:spPr>
                </pic:pic>
              </a:graphicData>
            </a:graphic>
          </wp:anchor>
        </w:drawing>
      </w:r>
    </w:p>
    <w:p>
      <w:pPr>
        <w:spacing w:after="0" w:line="219" w:lineRule="exact"/>
        <w:rPr>
          <w:sz w:val="20"/>
          <w:szCs w:val="20"/>
          <w:color w:val="auto"/>
        </w:rPr>
      </w:pPr>
    </w:p>
    <w:p>
      <w:pPr>
        <w:ind w:right="8240" w:firstLine="8"/>
        <w:spacing w:after="0" w:line="346" w:lineRule="auto"/>
        <w:tabs>
          <w:tab w:leader="none" w:pos="446"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Incorporated by reference as indicated. ** To be filed by amendment.</w:t>
      </w:r>
    </w:p>
    <w:p>
      <w:pPr>
        <w:spacing w:after="0" w:line="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83" w:lineRule="exact"/>
        <w:rPr>
          <w:sz w:val="20"/>
          <w:szCs w:val="20"/>
          <w:color w:val="auto"/>
        </w:rPr>
      </w:pPr>
    </w:p>
    <w:p>
      <w:pPr>
        <w:ind w:left="700" w:hanging="236"/>
        <w:spacing w:after="0"/>
        <w:tabs>
          <w:tab w:leader="none" w:pos="7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 hereby undertakes:</w:t>
      </w:r>
    </w:p>
    <w:p>
      <w:pPr>
        <w:spacing w:after="0" w:line="76" w:lineRule="exact"/>
        <w:rPr>
          <w:rFonts w:ascii="Arial" w:cs="Arial" w:eastAsia="Arial" w:hAnsi="Arial"/>
          <w:sz w:val="18"/>
          <w:szCs w:val="18"/>
          <w:color w:val="auto"/>
        </w:rPr>
      </w:pPr>
    </w:p>
    <w:p>
      <w:pPr>
        <w:ind w:left="1160" w:hanging="257"/>
        <w:spacing w:after="0"/>
        <w:tabs>
          <w:tab w:leader="none" w:pos="11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76" w:lineRule="exact"/>
        <w:rPr>
          <w:rFonts w:ascii="Arial" w:cs="Arial" w:eastAsia="Arial" w:hAnsi="Arial"/>
          <w:sz w:val="18"/>
          <w:szCs w:val="18"/>
          <w:color w:val="auto"/>
        </w:rPr>
      </w:pPr>
    </w:p>
    <w:p>
      <w:pPr>
        <w:ind w:left="1560" w:hanging="219"/>
        <w:spacing w:after="0"/>
        <w:tabs>
          <w:tab w:leader="none" w:pos="1560"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76"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this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of the Securities Act of 1933 if, in the aggregate, the changes in volume and price represent no more than a 20% change in the maximum aggregate offering price set forth in the “Calculation of Registration Fee” table in the effective registration statement;</w:t>
      </w:r>
    </w:p>
    <w:p>
      <w:pPr>
        <w:spacing w:after="0" w:line="52" w:lineRule="exact"/>
        <w:rPr>
          <w:rFonts w:ascii="Arial" w:cs="Arial" w:eastAsia="Arial" w:hAnsi="Arial"/>
          <w:sz w:val="18"/>
          <w:szCs w:val="18"/>
          <w:color w:val="auto"/>
        </w:rPr>
      </w:pPr>
    </w:p>
    <w:p>
      <w:pPr>
        <w:ind w:left="920" w:right="240" w:firstLine="421"/>
        <w:spacing w:after="0" w:line="268" w:lineRule="auto"/>
        <w:tabs>
          <w:tab w:leader="none" w:pos="1647" w:val="left"/>
        </w:tabs>
        <w:numPr>
          <w:ilvl w:val="2"/>
          <w:numId w:val="1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this registration statement or any material change to such information in this registration statement;</w:t>
      </w:r>
    </w:p>
    <w:p>
      <w:pPr>
        <w:spacing w:after="0" w:line="37" w:lineRule="exact"/>
        <w:rPr>
          <w:sz w:val="20"/>
          <w:szCs w:val="20"/>
          <w:color w:val="auto"/>
        </w:rPr>
      </w:pPr>
    </w:p>
    <w:p>
      <w:pPr>
        <w:ind w:left="460" w:right="260"/>
        <w:spacing w:after="0" w:line="259" w:lineRule="auto"/>
        <w:rPr>
          <w:sz w:val="20"/>
          <w:szCs w:val="20"/>
          <w:color w:val="auto"/>
        </w:rPr>
      </w:pPr>
      <w:r>
        <w:rPr>
          <w:rFonts w:ascii="Arial" w:cs="Arial" w:eastAsia="Arial" w:hAnsi="Arial"/>
          <w:sz w:val="18"/>
          <w:szCs w:val="18"/>
          <w:color w:val="auto"/>
        </w:rPr>
        <w:t>provided, however, that the undertakings set forth in paragraphs (a)(1)(i) and (a)(1)(ii) above do not apply if the information required to be included in a post-effective amendment by those paragraphs is contained in periodic reports filed by the registrant pursuant to Section 13 or Section 15(d) of the Securities Exchange Act of 1934 that are incorporated by reference in this registration statement.</w:t>
      </w:r>
    </w:p>
    <w:p>
      <w:pPr>
        <w:spacing w:after="0" w:line="46" w:lineRule="exact"/>
        <w:rPr>
          <w:sz w:val="20"/>
          <w:szCs w:val="20"/>
          <w:color w:val="auto"/>
        </w:rPr>
      </w:pPr>
    </w:p>
    <w:p>
      <w:pPr>
        <w:ind w:left="460" w:right="20" w:firstLine="443"/>
        <w:spacing w:after="0" w:line="259"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w:t>
      </w:r>
    </w:p>
    <w:p>
      <w:pPr>
        <w:spacing w:after="0" w:line="45" w:lineRule="exact"/>
        <w:rPr>
          <w:rFonts w:ascii="Arial" w:cs="Arial" w:eastAsia="Arial" w:hAnsi="Arial"/>
          <w:sz w:val="18"/>
          <w:szCs w:val="18"/>
          <w:color w:val="auto"/>
        </w:rPr>
      </w:pPr>
    </w:p>
    <w:p>
      <w:pPr>
        <w:ind w:left="460" w:right="820" w:firstLine="443"/>
        <w:spacing w:after="0" w:line="268" w:lineRule="auto"/>
        <w:tabs>
          <w:tab w:leader="none" w:pos="1147"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rFonts w:ascii="Arial" w:cs="Arial" w:eastAsia="Arial" w:hAnsi="Arial"/>
          <w:sz w:val="18"/>
          <w:szCs w:val="18"/>
          <w:color w:val="auto"/>
        </w:rPr>
      </w:pPr>
    </w:p>
    <w:p>
      <w:pPr>
        <w:ind w:right="80" w:firstLine="464"/>
        <w:spacing w:after="0" w:line="255"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undersigned registrant hereby undertakes that, for purposes of determining any liability under the Securities Act of 1933, each filing of the registrant’s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spacing w:after="0" w:line="129" w:lineRule="exact"/>
        <w:rPr>
          <w:rFonts w:ascii="Arial" w:cs="Arial" w:eastAsia="Arial" w:hAnsi="Arial"/>
          <w:sz w:val="18"/>
          <w:szCs w:val="18"/>
          <w:color w:val="auto"/>
        </w:rPr>
      </w:pPr>
    </w:p>
    <w:p>
      <w:pPr>
        <w:ind w:right="160" w:firstLine="464"/>
        <w:spacing w:after="0" w:line="289" w:lineRule="auto"/>
        <w:tabs>
          <w:tab w:leader="none" w:pos="695" w:val="left"/>
        </w:tabs>
        <w:numPr>
          <w:ilvl w:val="0"/>
          <w:numId w:val="18"/>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under Item 6 above, or otherwise, the registrant has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the Registrant certifies that it has reasonable grounds to believe that it meets all of the requirements for filing on Form S-3 and has duly caused this registration statement to be signed on its behalf by the undersigned, thereunto duly authorized, in the City of New York, the State of New York, on May 2, 2005.</w:t>
      </w:r>
    </w:p>
    <w:p>
      <w:pPr>
        <w:spacing w:after="0" w:line="1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N.V.</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(Schlumberger Limited)</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Jean-Marc Perraud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4558665</wp:posOffset>
            </wp:positionH>
            <wp:positionV relativeFrom="paragraph">
              <wp:posOffset>10795</wp:posOffset>
            </wp:positionV>
            <wp:extent cx="269303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Jean-Marc Perraud</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6"/>
          <w:szCs w:val="16"/>
          <w:color w:val="auto"/>
        </w:rPr>
        <w:t>Executive Vice President and Chief Financial Officer</w:t>
      </w:r>
    </w:p>
    <w:p>
      <w:pPr>
        <w:spacing w:after="0" w:line="174"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on May 2, 2005 in the capacities indicated.</w:t>
      </w:r>
    </w:p>
    <w:p>
      <w:pPr>
        <w:spacing w:after="0" w:line="114" w:lineRule="exact"/>
        <w:rPr>
          <w:sz w:val="20"/>
          <w:szCs w:val="20"/>
          <w:color w:val="auto"/>
        </w:rPr>
      </w:pPr>
    </w:p>
    <w:p>
      <w:pPr>
        <w:ind w:left="2640"/>
        <w:spacing w:after="0"/>
        <w:tabs>
          <w:tab w:leader="none" w:pos="8700" w:val="left"/>
        </w:tabs>
        <w:rPr>
          <w:sz w:val="20"/>
          <w:szCs w:val="20"/>
          <w:color w:val="auto"/>
        </w:rPr>
      </w:pPr>
      <w:r>
        <w:rPr>
          <w:rFonts w:ascii="Arial" w:cs="Arial" w:eastAsia="Arial" w:hAnsi="Arial"/>
          <w:sz w:val="14"/>
          <w:szCs w:val="14"/>
          <w:b w:val="1"/>
          <w:bCs w:val="1"/>
          <w:color w:val="auto"/>
        </w:rPr>
        <w:t>Signature</w:t>
      </w:r>
      <w:r>
        <w:rPr>
          <w:sz w:val="20"/>
          <w:szCs w:val="20"/>
          <w:color w:val="auto"/>
        </w:rPr>
        <w:tab/>
      </w: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68580</wp:posOffset>
            </wp:positionV>
            <wp:extent cx="44577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45770" cy="8890"/>
                    </a:xfrm>
                    <a:prstGeom prst="rect">
                      <a:avLst/>
                    </a:prstGeom>
                    <a:noFill/>
                  </pic:spPr>
                </pic:pic>
              </a:graphicData>
            </a:graphic>
          </wp:anchor>
        </w:drawing>
        <w:drawing>
          <wp:anchor simplePos="0" relativeHeight="251657728" behindDoc="1" locked="0" layoutInCell="0" allowOverlap="1">
            <wp:simplePos x="0" y="0"/>
            <wp:positionH relativeFrom="column">
              <wp:posOffset>5502275</wp:posOffset>
            </wp:positionH>
            <wp:positionV relativeFrom="paragraph">
              <wp:posOffset>68580</wp:posOffset>
            </wp:positionV>
            <wp:extent cx="24003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240030" cy="8890"/>
                    </a:xfrm>
                    <a:prstGeom prst="rect">
                      <a:avLst/>
                    </a:prstGeom>
                    <a:noFill/>
                  </pic:spPr>
                </pic:pic>
              </a:graphicData>
            </a:graphic>
          </wp:anchor>
        </w:drawing>
      </w:r>
    </w:p>
    <w:p>
      <w:pPr>
        <w:spacing w:after="0" w:line="200" w:lineRule="exact"/>
        <w:rPr>
          <w:sz w:val="20"/>
          <w:szCs w:val="20"/>
          <w:color w:val="auto"/>
        </w:rPr>
      </w:pP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w w:val="90"/>
              </w:rPr>
              <w:t>Director, Chairman and Chief Executive Officer (Principal Executive</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91"/>
              </w:rPr>
              <w:t>Andrew Gould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5820" w:type="dxa"/>
            <w:vAlign w:val="bottom"/>
          </w:tcPr>
          <w:p>
            <w:pPr>
              <w:jc w:val="center"/>
              <w:spacing w:after="0"/>
              <w:rPr>
                <w:sz w:val="20"/>
                <w:szCs w:val="20"/>
                <w:color w:val="auto"/>
              </w:rPr>
            </w:pPr>
            <w:r>
              <w:rPr>
                <w:rFonts w:ascii="Arial" w:cs="Arial" w:eastAsia="Arial" w:hAnsi="Arial"/>
                <w:sz w:val="18"/>
                <w:szCs w:val="18"/>
                <w:color w:val="auto"/>
                <w:w w:val="86"/>
              </w:rPr>
              <w:t>/s/ Jean-Marc Perraud</w:t>
            </w:r>
          </w:p>
        </w:tc>
        <w:tc>
          <w:tcPr>
            <w:tcW w:w="5340" w:type="dxa"/>
            <w:vAlign w:val="bottom"/>
          </w:tcPr>
          <w:p>
            <w:pPr>
              <w:ind w:left="460"/>
              <w:spacing w:after="0"/>
              <w:rPr>
                <w:sz w:val="20"/>
                <w:szCs w:val="20"/>
                <w:color w:val="auto"/>
              </w:rPr>
            </w:pPr>
            <w:r>
              <w:rPr>
                <w:rFonts w:ascii="Arial" w:cs="Arial" w:eastAsia="Arial" w:hAnsi="Arial"/>
                <w:sz w:val="18"/>
                <w:szCs w:val="18"/>
                <w:color w:val="auto"/>
                <w:w w:val="97"/>
              </w:rPr>
              <w:t>Executive Vice President and Chief Financial Officer (Principal</w:t>
            </w:r>
          </w:p>
        </w:tc>
        <w:tc>
          <w:tcPr>
            <w:tcW w:w="0" w:type="dxa"/>
            <w:vAlign w:val="bottom"/>
          </w:tcPr>
          <w:p>
            <w:pPr>
              <w:spacing w:after="0"/>
              <w:rPr>
                <w:sz w:val="1"/>
                <w:szCs w:val="1"/>
                <w:color w:val="auto"/>
              </w:rPr>
            </w:pPr>
          </w:p>
        </w:tc>
      </w:tr>
      <w:tr>
        <w:trPr>
          <w:trHeight w:val="116"/>
        </w:trPr>
        <w:tc>
          <w:tcPr>
            <w:tcW w:w="5820" w:type="dxa"/>
            <w:vAlign w:val="bottom"/>
            <w:tcBorders>
              <w:bottom w:val="single" w:sz="8" w:color="auto"/>
            </w:tcBorders>
          </w:tcPr>
          <w:p>
            <w:pPr>
              <w:spacing w:after="0"/>
              <w:rPr>
                <w:sz w:val="10"/>
                <w:szCs w:val="10"/>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Financial Officer)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85"/>
              </w:rPr>
              <w:t>Jean-Marc Perraud</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w w:val="88"/>
              </w:rPr>
              <w:t>/s/ Frank A. Sorgie</w:t>
            </w:r>
          </w:p>
        </w:tc>
        <w:tc>
          <w:tcPr>
            <w:tcW w:w="5340" w:type="dxa"/>
            <w:vAlign w:val="bottom"/>
          </w:tcPr>
          <w:p>
            <w:pPr>
              <w:ind w:left="460"/>
              <w:spacing w:after="0"/>
              <w:rPr>
                <w:sz w:val="20"/>
                <w:szCs w:val="20"/>
                <w:color w:val="auto"/>
              </w:rPr>
            </w:pPr>
            <w:r>
              <w:rPr>
                <w:rFonts w:ascii="Arial" w:cs="Arial" w:eastAsia="Arial" w:hAnsi="Arial"/>
                <w:sz w:val="18"/>
                <w:szCs w:val="18"/>
                <w:color w:val="auto"/>
              </w:rPr>
              <w:t>Chief Accounting Officer (Principal Accounting Officer)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9"/>
              </w:rPr>
              <w:t>Frank A. Sorgie</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John Deutch</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7"/>
              </w:rPr>
              <w:t>Jamie S. Gorelick</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86"/>
              </w:rPr>
              <w:t>Tony Isaac</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0"/>
              </w:rPr>
              <w:t>Adrian Lajous</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5820" w:type="dxa"/>
            <w:vAlign w:val="bottom"/>
          </w:tcPr>
          <w:p>
            <w:pPr>
              <w:jc w:val="center"/>
              <w:spacing w:after="0"/>
              <w:rPr>
                <w:sz w:val="20"/>
                <w:szCs w:val="20"/>
                <w:color w:val="auto"/>
              </w:rPr>
            </w:pPr>
            <w:r>
              <w:rPr>
                <w:rFonts w:ascii="Arial" w:cs="Arial" w:eastAsia="Arial" w:hAnsi="Arial"/>
                <w:sz w:val="18"/>
                <w:szCs w:val="18"/>
                <w:color w:val="auto"/>
              </w:rPr>
              <w:t>*</w:t>
            </w:r>
          </w:p>
        </w:tc>
        <w:tc>
          <w:tcPr>
            <w:tcW w:w="5340" w:type="dxa"/>
            <w:vAlign w:val="bottom"/>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10"/>
        </w:trPr>
        <w:tc>
          <w:tcPr>
            <w:tcW w:w="5820" w:type="dxa"/>
            <w:vAlign w:val="bottom"/>
            <w:tcBorders>
              <w:bottom w:val="single" w:sz="8" w:color="auto"/>
            </w:tcBorders>
          </w:tcPr>
          <w:p>
            <w:pPr>
              <w:spacing w:after="0"/>
              <w:rPr>
                <w:sz w:val="9"/>
                <w:szCs w:val="9"/>
                <w:color w:val="auto"/>
              </w:rPr>
            </w:pPr>
          </w:p>
        </w:tc>
        <w:tc>
          <w:tcPr>
            <w:tcW w:w="53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5820" w:type="dxa"/>
            <w:vAlign w:val="bottom"/>
          </w:tcPr>
          <w:p>
            <w:pPr>
              <w:jc w:val="center"/>
              <w:spacing w:after="0"/>
              <w:rPr>
                <w:sz w:val="20"/>
                <w:szCs w:val="20"/>
                <w:color w:val="auto"/>
              </w:rPr>
            </w:pPr>
            <w:r>
              <w:rPr>
                <w:rFonts w:ascii="Arial" w:cs="Arial" w:eastAsia="Arial" w:hAnsi="Arial"/>
                <w:sz w:val="18"/>
                <w:szCs w:val="18"/>
                <w:color w:val="auto"/>
                <w:w w:val="91"/>
              </w:rPr>
              <w:t>Andre Levy-Lang</w:t>
            </w:r>
          </w:p>
        </w:tc>
        <w:tc>
          <w:tcPr>
            <w:tcW w:w="5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5820" w:type="dxa"/>
            <w:vAlign w:val="bottom"/>
            <w:tcBorders>
              <w:bottom w:val="single" w:sz="8" w:color="auto"/>
            </w:tcBorders>
          </w:tcPr>
          <w:p>
            <w:pPr>
              <w:spacing w:after="0"/>
              <w:rPr>
                <w:sz w:val="24"/>
                <w:szCs w:val="24"/>
                <w:color w:val="auto"/>
              </w:rPr>
            </w:pPr>
          </w:p>
        </w:tc>
        <w:tc>
          <w:tcPr>
            <w:tcW w:w="5340" w:type="dxa"/>
            <w:vAlign w:val="bottom"/>
            <w:vMerge w:val="restart"/>
          </w:tcPr>
          <w:p>
            <w:pPr>
              <w:ind w:left="46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86"/>
        </w:trPr>
        <w:tc>
          <w:tcPr>
            <w:tcW w:w="5820" w:type="dxa"/>
            <w:vAlign w:val="bottom"/>
            <w:vMerge w:val="restart"/>
          </w:tcPr>
          <w:p>
            <w:pPr>
              <w:jc w:val="center"/>
              <w:spacing w:after="0"/>
              <w:rPr>
                <w:sz w:val="20"/>
                <w:szCs w:val="20"/>
                <w:color w:val="auto"/>
              </w:rPr>
            </w:pPr>
            <w:r>
              <w:rPr>
                <w:rFonts w:ascii="Arial" w:cs="Arial" w:eastAsia="Arial" w:hAnsi="Arial"/>
                <w:sz w:val="18"/>
                <w:szCs w:val="18"/>
                <w:color w:val="auto"/>
                <w:w w:val="92"/>
              </w:rPr>
              <w:t>Michael E. Marks</w:t>
            </w:r>
          </w:p>
        </w:tc>
        <w:tc>
          <w:tcPr>
            <w:tcW w:w="53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5820" w:type="dxa"/>
            <w:vAlign w:val="bottom"/>
            <w:vMerge w:val="continue"/>
          </w:tcPr>
          <w:p>
            <w:pPr>
              <w:spacing w:after="0"/>
              <w:rPr>
                <w:sz w:val="19"/>
                <w:szCs w:val="19"/>
                <w:color w:val="auto"/>
              </w:rPr>
            </w:pPr>
          </w:p>
        </w:tc>
        <w:tc>
          <w:tcPr>
            <w:tcW w:w="534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45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hyperlink w:anchor="page4">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19"/>
                <w:szCs w:val="19"/>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Didier Primat</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87"/>
              </w:rPr>
              <w:t>Tore I. Sandvold</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89"/>
              </w:rPr>
              <w:t>Nicolas Seydoux</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580" w:type="dxa"/>
            <w:vAlign w:val="bottom"/>
            <w:gridSpan w:val="2"/>
          </w:tcPr>
          <w:p>
            <w:pPr>
              <w:jc w:val="center"/>
              <w:ind w:left="1172"/>
              <w:spacing w:after="0"/>
              <w:rPr>
                <w:sz w:val="20"/>
                <w:szCs w:val="20"/>
                <w:color w:val="auto"/>
              </w:rPr>
            </w:pPr>
            <w:r>
              <w:rPr>
                <w:rFonts w:ascii="Arial" w:cs="Arial" w:eastAsia="Arial" w:hAnsi="Arial"/>
                <w:sz w:val="18"/>
                <w:szCs w:val="18"/>
                <w:color w:val="auto"/>
              </w:rPr>
              <w:t>*</w:t>
            </w:r>
          </w:p>
        </w:tc>
        <w:tc>
          <w:tcPr>
            <w:tcW w:w="1240" w:type="dxa"/>
            <w:vAlign w:val="bottom"/>
          </w:tcPr>
          <w:p>
            <w:pPr>
              <w:spacing w:after="0"/>
              <w:rPr>
                <w:sz w:val="24"/>
                <w:szCs w:val="24"/>
                <w:color w:val="auto"/>
              </w:rPr>
            </w:pPr>
          </w:p>
        </w:tc>
        <w:tc>
          <w:tcPr>
            <w:tcW w:w="1060" w:type="dxa"/>
            <w:vAlign w:val="bottom"/>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110"/>
        </w:trPr>
        <w:tc>
          <w:tcPr>
            <w:tcW w:w="360" w:type="dxa"/>
            <w:vAlign w:val="bottom"/>
            <w:tcBorders>
              <w:bottom w:val="single" w:sz="8" w:color="auto"/>
            </w:tcBorders>
          </w:tcPr>
          <w:p>
            <w:pPr>
              <w:spacing w:after="0"/>
              <w:rPr>
                <w:sz w:val="9"/>
                <w:szCs w:val="9"/>
                <w:color w:val="auto"/>
              </w:rPr>
            </w:pPr>
          </w:p>
        </w:tc>
        <w:tc>
          <w:tcPr>
            <w:tcW w:w="4220" w:type="dxa"/>
            <w:vAlign w:val="bottom"/>
            <w:tcBorders>
              <w:bottom w:val="single" w:sz="8" w:color="auto"/>
            </w:tcBorders>
          </w:tcPr>
          <w:p>
            <w:pPr>
              <w:spacing w:after="0"/>
              <w:rPr>
                <w:sz w:val="9"/>
                <w:szCs w:val="9"/>
                <w:color w:val="auto"/>
              </w:rPr>
            </w:pPr>
          </w:p>
        </w:tc>
        <w:tc>
          <w:tcPr>
            <w:tcW w:w="1240" w:type="dxa"/>
            <w:vAlign w:val="bottom"/>
            <w:tcBorders>
              <w:bottom w:val="single" w:sz="8" w:color="auto"/>
            </w:tcBorders>
          </w:tcPr>
          <w:p>
            <w:pPr>
              <w:spacing w:after="0"/>
              <w:rPr>
                <w:sz w:val="9"/>
                <w:szCs w:val="9"/>
                <w:color w:val="auto"/>
              </w:rPr>
            </w:pPr>
          </w:p>
        </w:tc>
        <w:tc>
          <w:tcPr>
            <w:tcW w:w="10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16"/>
        </w:trPr>
        <w:tc>
          <w:tcPr>
            <w:tcW w:w="360" w:type="dxa"/>
            <w:vAlign w:val="bottom"/>
          </w:tcPr>
          <w:p>
            <w:pPr>
              <w:spacing w:after="0"/>
              <w:rPr>
                <w:sz w:val="24"/>
                <w:szCs w:val="24"/>
                <w:color w:val="auto"/>
              </w:rPr>
            </w:pPr>
          </w:p>
        </w:tc>
        <w:tc>
          <w:tcPr>
            <w:tcW w:w="5460" w:type="dxa"/>
            <w:vAlign w:val="bottom"/>
            <w:gridSpan w:val="2"/>
          </w:tcPr>
          <w:p>
            <w:pPr>
              <w:jc w:val="center"/>
              <w:ind w:right="340"/>
              <w:spacing w:after="0"/>
              <w:rPr>
                <w:sz w:val="20"/>
                <w:szCs w:val="20"/>
                <w:color w:val="auto"/>
              </w:rPr>
            </w:pPr>
            <w:r>
              <w:rPr>
                <w:rFonts w:ascii="Arial" w:cs="Arial" w:eastAsia="Arial" w:hAnsi="Arial"/>
                <w:sz w:val="18"/>
                <w:szCs w:val="18"/>
                <w:color w:val="auto"/>
                <w:w w:val="90"/>
              </w:rPr>
              <w:t>Linda G. Stuntz</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36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060" w:type="dxa"/>
            <w:vAlign w:val="bottom"/>
            <w:vMerge w:val="restart"/>
          </w:tcPr>
          <w:p>
            <w:pPr>
              <w:ind w:left="460"/>
              <w:spacing w:after="0"/>
              <w:rPr>
                <w:sz w:val="20"/>
                <w:szCs w:val="20"/>
                <w:color w:val="auto"/>
              </w:rPr>
            </w:pPr>
            <w:r>
              <w:rPr>
                <w:rFonts w:ascii="Arial" w:cs="Arial" w:eastAsia="Arial" w:hAnsi="Arial"/>
                <w:sz w:val="18"/>
                <w:szCs w:val="18"/>
                <w:color w:val="auto"/>
                <w:w w:val="91"/>
              </w:rPr>
              <w:t>Director</w:t>
            </w:r>
          </w:p>
        </w:tc>
        <w:tc>
          <w:tcPr>
            <w:tcW w:w="0" w:type="dxa"/>
            <w:vAlign w:val="bottom"/>
          </w:tcPr>
          <w:p>
            <w:pPr>
              <w:spacing w:after="0"/>
              <w:rPr>
                <w:sz w:val="1"/>
                <w:szCs w:val="1"/>
                <w:color w:val="auto"/>
              </w:rPr>
            </w:pPr>
          </w:p>
        </w:tc>
      </w:tr>
      <w:tr>
        <w:trPr>
          <w:trHeight w:val="86"/>
        </w:trPr>
        <w:tc>
          <w:tcPr>
            <w:tcW w:w="360" w:type="dxa"/>
            <w:vAlign w:val="bottom"/>
          </w:tcPr>
          <w:p>
            <w:pPr>
              <w:spacing w:after="0"/>
              <w:rPr>
                <w:sz w:val="7"/>
                <w:szCs w:val="7"/>
                <w:color w:val="auto"/>
              </w:rPr>
            </w:pPr>
          </w:p>
        </w:tc>
        <w:tc>
          <w:tcPr>
            <w:tcW w:w="5460" w:type="dxa"/>
            <w:vAlign w:val="bottom"/>
            <w:gridSpan w:val="2"/>
            <w:vMerge w:val="restart"/>
          </w:tcPr>
          <w:p>
            <w:pPr>
              <w:jc w:val="center"/>
              <w:ind w:right="340"/>
              <w:spacing w:after="0"/>
              <w:rPr>
                <w:sz w:val="20"/>
                <w:szCs w:val="20"/>
                <w:color w:val="auto"/>
              </w:rPr>
            </w:pPr>
            <w:r>
              <w:rPr>
                <w:rFonts w:ascii="Arial" w:cs="Arial" w:eastAsia="Arial" w:hAnsi="Arial"/>
                <w:sz w:val="18"/>
                <w:szCs w:val="18"/>
                <w:color w:val="auto"/>
                <w:w w:val="86"/>
              </w:rPr>
              <w:t>Rana Talwar</w:t>
            </w:r>
          </w:p>
        </w:tc>
        <w:tc>
          <w:tcPr>
            <w:tcW w:w="10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360" w:type="dxa"/>
            <w:vAlign w:val="bottom"/>
          </w:tcPr>
          <w:p>
            <w:pPr>
              <w:spacing w:after="0"/>
              <w:rPr>
                <w:sz w:val="19"/>
                <w:szCs w:val="19"/>
                <w:color w:val="auto"/>
              </w:rPr>
            </w:pPr>
          </w:p>
        </w:tc>
        <w:tc>
          <w:tcPr>
            <w:tcW w:w="546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95"/>
        </w:trPr>
        <w:tc>
          <w:tcPr>
            <w:tcW w:w="5820" w:type="dxa"/>
            <w:vAlign w:val="bottom"/>
            <w:gridSpan w:val="3"/>
          </w:tcPr>
          <w:p>
            <w:pPr>
              <w:spacing w:after="0"/>
              <w:rPr>
                <w:sz w:val="20"/>
                <w:szCs w:val="20"/>
                <w:color w:val="auto"/>
              </w:rPr>
            </w:pPr>
            <w:r>
              <w:rPr>
                <w:rFonts w:ascii="Arial" w:cs="Arial" w:eastAsia="Arial" w:hAnsi="Arial"/>
                <w:sz w:val="18"/>
                <w:szCs w:val="18"/>
                <w:color w:val="auto"/>
              </w:rPr>
              <w:t>*By: /s/ Ellen Summer</w:t>
            </w: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60" w:type="dxa"/>
            <w:vAlign w:val="bottom"/>
          </w:tcPr>
          <w:p>
            <w:pPr>
              <w:spacing w:after="0"/>
              <w:rPr>
                <w:sz w:val="18"/>
                <w:szCs w:val="18"/>
                <w:color w:val="auto"/>
              </w:rPr>
            </w:pPr>
          </w:p>
        </w:tc>
        <w:tc>
          <w:tcPr>
            <w:tcW w:w="4220" w:type="dxa"/>
            <w:vAlign w:val="bottom"/>
            <w:tcBorders>
              <w:top w:val="single" w:sz="8" w:color="auto"/>
            </w:tcBorders>
          </w:tcPr>
          <w:p>
            <w:pPr>
              <w:ind w:left="1000"/>
              <w:spacing w:after="0"/>
              <w:rPr>
                <w:sz w:val="20"/>
                <w:szCs w:val="20"/>
                <w:color w:val="auto"/>
              </w:rPr>
            </w:pPr>
            <w:r>
              <w:rPr>
                <w:rFonts w:ascii="Arial" w:cs="Arial" w:eastAsia="Arial" w:hAnsi="Arial"/>
                <w:sz w:val="18"/>
                <w:szCs w:val="18"/>
                <w:color w:val="auto"/>
              </w:rPr>
              <w:t>Ellen Summer, Attorney-in-Fact</w:t>
            </w:r>
          </w:p>
        </w:tc>
        <w:tc>
          <w:tcPr>
            <w:tcW w:w="12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459" w:right="1440"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4.3</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REGISTRATION RIGHTS AGREEMENT</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DATED AS OF</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MAY 27, 2004</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BETWEEN</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SCHLUMBERGER LIMITED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AND</w:t>
      </w:r>
    </w:p>
    <w:p>
      <w:pPr>
        <w:spacing w:after="0" w:line="158" w:lineRule="exact"/>
        <w:rPr>
          <w:sz w:val="20"/>
          <w:szCs w:val="20"/>
          <w:color w:val="auto"/>
        </w:rPr>
      </w:pPr>
    </w:p>
    <w:p>
      <w:pPr>
        <w:jc w:val="center"/>
        <w:ind w:right="1180"/>
        <w:spacing w:after="0"/>
        <w:rPr>
          <w:sz w:val="20"/>
          <w:szCs w:val="20"/>
          <w:color w:val="auto"/>
        </w:rPr>
      </w:pPr>
      <w:r>
        <w:rPr>
          <w:rFonts w:ascii="Arial" w:cs="Arial" w:eastAsia="Arial" w:hAnsi="Arial"/>
          <w:sz w:val="16"/>
          <w:szCs w:val="16"/>
          <w:b w:val="1"/>
          <w:bCs w:val="1"/>
          <w:color w:val="auto"/>
        </w:rPr>
        <w:t>THE PERSONS DESIGNATED IN SCHEDULE 1</w:t>
      </w:r>
    </w:p>
    <w:p>
      <w:pPr>
        <w:sectPr>
          <w:pgSz w:w="11900" w:h="16838" w:orient="portrait"/>
          <w:cols w:equalWidth="0" w:num="1">
            <w:col w:w="10220"/>
          </w:cols>
          <w:pgMar w:left="1440" w:top="125"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28"/>
        </w:trPr>
        <w:tc>
          <w:tcPr>
            <w:tcW w:w="164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6260" w:type="dxa"/>
            <w:vAlign w:val="bottom"/>
            <w:gridSpan w:val="2"/>
          </w:tcPr>
          <w:p>
            <w:pPr>
              <w:jc w:val="right"/>
              <w:ind w:right="5152"/>
              <w:spacing w:after="0"/>
              <w:rPr>
                <w:sz w:val="20"/>
                <w:szCs w:val="20"/>
                <w:color w:val="auto"/>
              </w:rPr>
            </w:pPr>
            <w:r>
              <w:rPr>
                <w:rFonts w:ascii="Arial" w:cs="Arial" w:eastAsia="Arial" w:hAnsi="Arial"/>
                <w:sz w:val="18"/>
                <w:szCs w:val="18"/>
                <w:b w:val="1"/>
                <w:bCs w:val="1"/>
                <w:color w:val="auto"/>
              </w:rPr>
              <w:t>CONTENTS</w:t>
            </w:r>
          </w:p>
        </w:tc>
        <w:tc>
          <w:tcPr>
            <w:tcW w:w="0" w:type="dxa"/>
            <w:vAlign w:val="bottom"/>
          </w:tcPr>
          <w:p>
            <w:pPr>
              <w:spacing w:after="0"/>
              <w:rPr>
                <w:sz w:val="1"/>
                <w:szCs w:val="1"/>
                <w:color w:val="auto"/>
              </w:rPr>
            </w:pPr>
          </w:p>
        </w:tc>
      </w:tr>
      <w:tr>
        <w:trPr>
          <w:trHeight w:val="312"/>
        </w:trPr>
        <w:tc>
          <w:tcPr>
            <w:tcW w:w="16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95"/>
        </w:trPr>
        <w:tc>
          <w:tcPr>
            <w:tcW w:w="1640" w:type="dxa"/>
            <w:vAlign w:val="bottom"/>
            <w:vMerge w:val="restart"/>
          </w:tcPr>
          <w:p>
            <w:pPr>
              <w:spacing w:after="0"/>
              <w:rPr>
                <w:sz w:val="20"/>
                <w:szCs w:val="20"/>
                <w:color w:val="auto"/>
              </w:rPr>
            </w:pPr>
            <w:r>
              <w:rPr>
                <w:rFonts w:ascii="Arial" w:cs="Arial" w:eastAsia="Arial" w:hAnsi="Arial"/>
                <w:sz w:val="18"/>
                <w:szCs w:val="18"/>
                <w:b w:val="1"/>
                <w:bCs w:val="1"/>
                <w:color w:val="auto"/>
              </w:rPr>
              <w:t>Article</w:t>
            </w:r>
          </w:p>
        </w:tc>
        <w:tc>
          <w:tcPr>
            <w:tcW w:w="3520" w:type="dxa"/>
            <w:vAlign w:val="bottom"/>
          </w:tcPr>
          <w:p>
            <w:pPr>
              <w:spacing w:after="0"/>
              <w:rPr>
                <w:sz w:val="8"/>
                <w:szCs w:val="8"/>
                <w:color w:val="auto"/>
              </w:rPr>
            </w:pPr>
          </w:p>
        </w:tc>
        <w:tc>
          <w:tcPr>
            <w:tcW w:w="598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316"/>
        </w:trPr>
        <w:tc>
          <w:tcPr>
            <w:tcW w:w="1640" w:type="dxa"/>
            <w:vAlign w:val="bottom"/>
            <w:vMerge w:val="continue"/>
          </w:tcPr>
          <w:p>
            <w:pPr>
              <w:spacing w:after="0"/>
              <w:rPr>
                <w:sz w:val="24"/>
                <w:szCs w:val="24"/>
                <w:color w:val="auto"/>
              </w:rPr>
            </w:pPr>
          </w:p>
        </w:tc>
        <w:tc>
          <w:tcPr>
            <w:tcW w:w="35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640" w:type="dxa"/>
            <w:vAlign w:val="bottom"/>
          </w:tcPr>
          <w:p>
            <w:pPr>
              <w:spacing w:after="0"/>
              <w:rPr>
                <w:sz w:val="20"/>
                <w:szCs w:val="20"/>
                <w:color w:val="auto"/>
              </w:rPr>
            </w:pPr>
            <w:r>
              <w:rPr>
                <w:rFonts w:ascii="Arial" w:cs="Arial" w:eastAsia="Arial" w:hAnsi="Arial"/>
                <w:sz w:val="18"/>
                <w:szCs w:val="18"/>
                <w:color w:val="auto"/>
              </w:rPr>
              <w:t>Article 1.</w:t>
            </w:r>
          </w:p>
        </w:tc>
        <w:tc>
          <w:tcPr>
            <w:tcW w:w="3520" w:type="dxa"/>
            <w:vAlign w:val="bottom"/>
          </w:tcPr>
          <w:p>
            <w:pPr>
              <w:ind w:left="320"/>
              <w:spacing w:after="0"/>
              <w:rPr>
                <w:sz w:val="20"/>
                <w:szCs w:val="20"/>
                <w:color w:val="auto"/>
              </w:rPr>
            </w:pPr>
            <w:r>
              <w:rPr>
                <w:rFonts w:ascii="Arial" w:cs="Arial" w:eastAsia="Arial" w:hAnsi="Arial"/>
                <w:sz w:val="18"/>
                <w:szCs w:val="18"/>
                <w:color w:val="auto"/>
              </w:rPr>
              <w:t>Registration Rights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1.01</w:t>
            </w:r>
          </w:p>
        </w:tc>
        <w:tc>
          <w:tcPr>
            <w:tcW w:w="3520" w:type="dxa"/>
            <w:vAlign w:val="bottom"/>
          </w:tcPr>
          <w:p>
            <w:pPr>
              <w:ind w:left="320"/>
              <w:spacing w:after="0"/>
              <w:rPr>
                <w:sz w:val="20"/>
                <w:szCs w:val="20"/>
                <w:color w:val="auto"/>
              </w:rPr>
            </w:pPr>
            <w:r>
              <w:rPr>
                <w:rFonts w:ascii="Arial" w:cs="Arial" w:eastAsia="Arial" w:hAnsi="Arial"/>
                <w:sz w:val="18"/>
                <w:szCs w:val="18"/>
                <w:color w:val="auto"/>
              </w:rPr>
              <w:t>Definitions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1.02</w:t>
            </w:r>
          </w:p>
        </w:tc>
        <w:tc>
          <w:tcPr>
            <w:tcW w:w="3520" w:type="dxa"/>
            <w:vAlign w:val="bottom"/>
          </w:tcPr>
          <w:p>
            <w:pPr>
              <w:ind w:left="320"/>
              <w:spacing w:after="0"/>
              <w:rPr>
                <w:sz w:val="20"/>
                <w:szCs w:val="20"/>
                <w:color w:val="auto"/>
              </w:rPr>
            </w:pPr>
            <w:r>
              <w:rPr>
                <w:rFonts w:ascii="Arial" w:cs="Arial" w:eastAsia="Arial" w:hAnsi="Arial"/>
                <w:sz w:val="18"/>
                <w:szCs w:val="18"/>
                <w:color w:val="auto"/>
              </w:rPr>
              <w:t>Shelf Registration</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1.03</w:t>
            </w:r>
          </w:p>
        </w:tc>
        <w:tc>
          <w:tcPr>
            <w:tcW w:w="3520" w:type="dxa"/>
            <w:vAlign w:val="bottom"/>
          </w:tcPr>
          <w:p>
            <w:pPr>
              <w:ind w:left="320"/>
              <w:spacing w:after="0"/>
              <w:rPr>
                <w:sz w:val="20"/>
                <w:szCs w:val="20"/>
                <w:color w:val="auto"/>
              </w:rPr>
            </w:pPr>
            <w:r>
              <w:rPr>
                <w:rFonts w:ascii="Arial" w:cs="Arial" w:eastAsia="Arial" w:hAnsi="Arial"/>
                <w:sz w:val="18"/>
                <w:szCs w:val="18"/>
                <w:color w:val="auto"/>
              </w:rPr>
              <w:t>Registration Procedures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1.04</w:t>
            </w:r>
          </w:p>
        </w:tc>
        <w:tc>
          <w:tcPr>
            <w:tcW w:w="3520" w:type="dxa"/>
            <w:vAlign w:val="bottom"/>
          </w:tcPr>
          <w:p>
            <w:pPr>
              <w:ind w:left="320"/>
              <w:spacing w:after="0"/>
              <w:rPr>
                <w:sz w:val="20"/>
                <w:szCs w:val="20"/>
                <w:color w:val="auto"/>
              </w:rPr>
            </w:pPr>
            <w:r>
              <w:rPr>
                <w:rFonts w:ascii="Arial" w:cs="Arial" w:eastAsia="Arial" w:hAnsi="Arial"/>
                <w:sz w:val="18"/>
                <w:szCs w:val="18"/>
                <w:color w:val="auto"/>
              </w:rPr>
              <w:t>Registration Expenses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1.05</w:t>
            </w:r>
          </w:p>
        </w:tc>
        <w:tc>
          <w:tcPr>
            <w:tcW w:w="3520" w:type="dxa"/>
            <w:vAlign w:val="bottom"/>
          </w:tcPr>
          <w:p>
            <w:pPr>
              <w:ind w:left="320"/>
              <w:spacing w:after="0"/>
              <w:rPr>
                <w:sz w:val="20"/>
                <w:szCs w:val="20"/>
                <w:color w:val="auto"/>
              </w:rPr>
            </w:pPr>
            <w:r>
              <w:rPr>
                <w:rFonts w:ascii="Arial" w:cs="Arial" w:eastAsia="Arial" w:hAnsi="Arial"/>
                <w:sz w:val="18"/>
                <w:szCs w:val="18"/>
                <w:color w:val="auto"/>
              </w:rPr>
              <w:t>Indemnification</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1.06</w:t>
            </w:r>
          </w:p>
        </w:tc>
        <w:tc>
          <w:tcPr>
            <w:tcW w:w="3520" w:type="dxa"/>
            <w:vAlign w:val="bottom"/>
          </w:tcPr>
          <w:p>
            <w:pPr>
              <w:ind w:left="320"/>
              <w:spacing w:after="0"/>
              <w:rPr>
                <w:sz w:val="20"/>
                <w:szCs w:val="20"/>
                <w:color w:val="auto"/>
              </w:rPr>
            </w:pPr>
            <w:r>
              <w:rPr>
                <w:rFonts w:ascii="Arial" w:cs="Arial" w:eastAsia="Arial" w:hAnsi="Arial"/>
                <w:sz w:val="18"/>
                <w:szCs w:val="18"/>
                <w:color w:val="auto"/>
                <w:w w:val="90"/>
              </w:rPr>
              <w:t>Rule 144 and Rule 144A; Other Exemptions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1.07</w:t>
            </w:r>
          </w:p>
        </w:tc>
        <w:tc>
          <w:tcPr>
            <w:tcW w:w="3520" w:type="dxa"/>
            <w:vAlign w:val="bottom"/>
          </w:tcPr>
          <w:p>
            <w:pPr>
              <w:ind w:left="320"/>
              <w:spacing w:after="0"/>
              <w:rPr>
                <w:sz w:val="20"/>
                <w:szCs w:val="20"/>
                <w:color w:val="auto"/>
              </w:rPr>
            </w:pPr>
            <w:r>
              <w:rPr>
                <w:rFonts w:ascii="Arial" w:cs="Arial" w:eastAsia="Arial" w:hAnsi="Arial"/>
                <w:sz w:val="18"/>
                <w:szCs w:val="18"/>
                <w:color w:val="auto"/>
              </w:rPr>
              <w:t>Transfer of Registration Rights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40" w:type="dxa"/>
            <w:vAlign w:val="bottom"/>
          </w:tcPr>
          <w:p>
            <w:pPr>
              <w:spacing w:after="0"/>
              <w:rPr>
                <w:sz w:val="20"/>
                <w:szCs w:val="20"/>
                <w:color w:val="auto"/>
              </w:rPr>
            </w:pPr>
            <w:r>
              <w:rPr>
                <w:rFonts w:ascii="Arial" w:cs="Arial" w:eastAsia="Arial" w:hAnsi="Arial"/>
                <w:sz w:val="18"/>
                <w:szCs w:val="18"/>
                <w:color w:val="auto"/>
              </w:rPr>
              <w:t>Article 2.</w:t>
            </w:r>
          </w:p>
        </w:tc>
        <w:tc>
          <w:tcPr>
            <w:tcW w:w="3520" w:type="dxa"/>
            <w:vAlign w:val="bottom"/>
          </w:tcPr>
          <w:p>
            <w:pPr>
              <w:ind w:left="320"/>
              <w:spacing w:after="0"/>
              <w:rPr>
                <w:sz w:val="20"/>
                <w:szCs w:val="20"/>
                <w:color w:val="auto"/>
              </w:rPr>
            </w:pPr>
            <w:r>
              <w:rPr>
                <w:rFonts w:ascii="Arial" w:cs="Arial" w:eastAsia="Arial" w:hAnsi="Arial"/>
                <w:sz w:val="18"/>
                <w:szCs w:val="18"/>
                <w:color w:val="auto"/>
              </w:rPr>
              <w:t>General Provisions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2.01</w:t>
            </w:r>
          </w:p>
        </w:tc>
        <w:tc>
          <w:tcPr>
            <w:tcW w:w="3520" w:type="dxa"/>
            <w:vAlign w:val="bottom"/>
          </w:tcPr>
          <w:p>
            <w:pPr>
              <w:ind w:left="320"/>
              <w:spacing w:after="0"/>
              <w:rPr>
                <w:sz w:val="20"/>
                <w:szCs w:val="20"/>
                <w:color w:val="auto"/>
              </w:rPr>
            </w:pPr>
            <w:r>
              <w:rPr>
                <w:rFonts w:ascii="Arial" w:cs="Arial" w:eastAsia="Arial" w:hAnsi="Arial"/>
                <w:sz w:val="18"/>
                <w:szCs w:val="18"/>
                <w:color w:val="auto"/>
              </w:rPr>
              <w:t>Notices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2.02</w:t>
            </w:r>
          </w:p>
        </w:tc>
        <w:tc>
          <w:tcPr>
            <w:tcW w:w="3520" w:type="dxa"/>
            <w:vAlign w:val="bottom"/>
          </w:tcPr>
          <w:p>
            <w:pPr>
              <w:ind w:left="320"/>
              <w:spacing w:after="0"/>
              <w:rPr>
                <w:sz w:val="20"/>
                <w:szCs w:val="20"/>
                <w:color w:val="auto"/>
              </w:rPr>
            </w:pPr>
            <w:r>
              <w:rPr>
                <w:rFonts w:ascii="Arial" w:cs="Arial" w:eastAsia="Arial" w:hAnsi="Arial"/>
                <w:sz w:val="18"/>
                <w:szCs w:val="18"/>
                <w:color w:val="auto"/>
              </w:rPr>
              <w:t>Governing Law</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2.03</w:t>
            </w:r>
          </w:p>
        </w:tc>
        <w:tc>
          <w:tcPr>
            <w:tcW w:w="3520" w:type="dxa"/>
            <w:vAlign w:val="bottom"/>
          </w:tcPr>
          <w:p>
            <w:pPr>
              <w:ind w:left="320"/>
              <w:spacing w:after="0"/>
              <w:rPr>
                <w:sz w:val="20"/>
                <w:szCs w:val="20"/>
                <w:color w:val="auto"/>
              </w:rPr>
            </w:pPr>
            <w:r>
              <w:rPr>
                <w:rFonts w:ascii="Arial" w:cs="Arial" w:eastAsia="Arial" w:hAnsi="Arial"/>
                <w:sz w:val="18"/>
                <w:szCs w:val="18"/>
                <w:color w:val="auto"/>
              </w:rPr>
              <w:t>Entire Agreement</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2.04</w:t>
            </w:r>
          </w:p>
        </w:tc>
        <w:tc>
          <w:tcPr>
            <w:tcW w:w="3520" w:type="dxa"/>
            <w:vAlign w:val="bottom"/>
          </w:tcPr>
          <w:p>
            <w:pPr>
              <w:ind w:left="320"/>
              <w:spacing w:after="0"/>
              <w:rPr>
                <w:sz w:val="20"/>
                <w:szCs w:val="20"/>
                <w:color w:val="auto"/>
              </w:rPr>
            </w:pPr>
            <w:r>
              <w:rPr>
                <w:rFonts w:ascii="Arial" w:cs="Arial" w:eastAsia="Arial" w:hAnsi="Arial"/>
                <w:sz w:val="18"/>
                <w:szCs w:val="18"/>
                <w:color w:val="auto"/>
              </w:rPr>
              <w:t>Counterparts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2.05</w:t>
            </w:r>
          </w:p>
        </w:tc>
        <w:tc>
          <w:tcPr>
            <w:tcW w:w="3520" w:type="dxa"/>
            <w:vAlign w:val="bottom"/>
          </w:tcPr>
          <w:p>
            <w:pPr>
              <w:ind w:left="320"/>
              <w:spacing w:after="0"/>
              <w:rPr>
                <w:sz w:val="20"/>
                <w:szCs w:val="20"/>
                <w:color w:val="auto"/>
              </w:rPr>
            </w:pPr>
            <w:r>
              <w:rPr>
                <w:rFonts w:ascii="Arial" w:cs="Arial" w:eastAsia="Arial" w:hAnsi="Arial"/>
                <w:sz w:val="18"/>
                <w:szCs w:val="18"/>
                <w:color w:val="auto"/>
              </w:rPr>
              <w:t>Successors and Assigns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2.06</w:t>
            </w:r>
          </w:p>
        </w:tc>
        <w:tc>
          <w:tcPr>
            <w:tcW w:w="3520" w:type="dxa"/>
            <w:vAlign w:val="bottom"/>
          </w:tcPr>
          <w:p>
            <w:pPr>
              <w:ind w:left="320"/>
              <w:spacing w:after="0"/>
              <w:rPr>
                <w:sz w:val="20"/>
                <w:szCs w:val="20"/>
                <w:color w:val="auto"/>
              </w:rPr>
            </w:pPr>
            <w:r>
              <w:rPr>
                <w:rFonts w:ascii="Arial" w:cs="Arial" w:eastAsia="Arial" w:hAnsi="Arial"/>
                <w:sz w:val="18"/>
                <w:szCs w:val="18"/>
                <w:color w:val="auto"/>
              </w:rPr>
              <w:t>Severability</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2.07</w:t>
            </w:r>
          </w:p>
        </w:tc>
        <w:tc>
          <w:tcPr>
            <w:tcW w:w="3520" w:type="dxa"/>
            <w:vAlign w:val="bottom"/>
          </w:tcPr>
          <w:p>
            <w:pPr>
              <w:ind w:left="320"/>
              <w:spacing w:after="0"/>
              <w:rPr>
                <w:sz w:val="20"/>
                <w:szCs w:val="20"/>
                <w:color w:val="auto"/>
              </w:rPr>
            </w:pPr>
            <w:r>
              <w:rPr>
                <w:rFonts w:ascii="Arial" w:cs="Arial" w:eastAsia="Arial" w:hAnsi="Arial"/>
                <w:sz w:val="18"/>
                <w:szCs w:val="18"/>
                <w:color w:val="auto"/>
              </w:rPr>
              <w:t>Headings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2.08</w:t>
            </w:r>
          </w:p>
        </w:tc>
        <w:tc>
          <w:tcPr>
            <w:tcW w:w="3520" w:type="dxa"/>
            <w:vAlign w:val="bottom"/>
          </w:tcPr>
          <w:p>
            <w:pPr>
              <w:ind w:left="320"/>
              <w:spacing w:after="0"/>
              <w:rPr>
                <w:sz w:val="20"/>
                <w:szCs w:val="20"/>
                <w:color w:val="auto"/>
              </w:rPr>
            </w:pPr>
            <w:r>
              <w:rPr>
                <w:rFonts w:ascii="Arial" w:cs="Arial" w:eastAsia="Arial" w:hAnsi="Arial"/>
                <w:sz w:val="18"/>
                <w:szCs w:val="18"/>
                <w:color w:val="auto"/>
              </w:rPr>
              <w:t>Third Parties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2.09</w:t>
            </w:r>
          </w:p>
        </w:tc>
        <w:tc>
          <w:tcPr>
            <w:tcW w:w="3520" w:type="dxa"/>
            <w:vAlign w:val="bottom"/>
          </w:tcPr>
          <w:p>
            <w:pPr>
              <w:ind w:left="320"/>
              <w:spacing w:after="0"/>
              <w:rPr>
                <w:sz w:val="20"/>
                <w:szCs w:val="20"/>
                <w:color w:val="auto"/>
              </w:rPr>
            </w:pPr>
            <w:r>
              <w:rPr>
                <w:rFonts w:ascii="Arial" w:cs="Arial" w:eastAsia="Arial" w:hAnsi="Arial"/>
                <w:sz w:val="18"/>
                <w:szCs w:val="18"/>
                <w:color w:val="auto"/>
              </w:rPr>
              <w:t>Construction</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2.10</w:t>
            </w:r>
          </w:p>
        </w:tc>
        <w:tc>
          <w:tcPr>
            <w:tcW w:w="3520" w:type="dxa"/>
            <w:vAlign w:val="bottom"/>
          </w:tcPr>
          <w:p>
            <w:pPr>
              <w:ind w:left="320"/>
              <w:spacing w:after="0"/>
              <w:rPr>
                <w:sz w:val="20"/>
                <w:szCs w:val="20"/>
                <w:color w:val="auto"/>
              </w:rPr>
            </w:pPr>
            <w:r>
              <w:rPr>
                <w:rFonts w:ascii="Arial" w:cs="Arial" w:eastAsia="Arial" w:hAnsi="Arial"/>
                <w:sz w:val="18"/>
                <w:szCs w:val="18"/>
                <w:color w:val="auto"/>
              </w:rPr>
              <w:t>Remedies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1640" w:type="dxa"/>
            <w:vAlign w:val="bottom"/>
          </w:tcPr>
          <w:p>
            <w:pPr>
              <w:ind w:left="440"/>
              <w:spacing w:after="0"/>
              <w:rPr>
                <w:sz w:val="20"/>
                <w:szCs w:val="20"/>
                <w:color w:val="auto"/>
              </w:rPr>
            </w:pPr>
            <w:r>
              <w:rPr>
                <w:rFonts w:ascii="Arial" w:cs="Arial" w:eastAsia="Arial" w:hAnsi="Arial"/>
                <w:sz w:val="18"/>
                <w:szCs w:val="18"/>
                <w:color w:val="auto"/>
              </w:rPr>
              <w:t>Section 2.11</w:t>
            </w:r>
          </w:p>
        </w:tc>
        <w:tc>
          <w:tcPr>
            <w:tcW w:w="3520" w:type="dxa"/>
            <w:vAlign w:val="bottom"/>
          </w:tcPr>
          <w:p>
            <w:pPr>
              <w:ind w:left="320"/>
              <w:spacing w:after="0"/>
              <w:rPr>
                <w:sz w:val="20"/>
                <w:szCs w:val="20"/>
                <w:color w:val="auto"/>
              </w:rPr>
            </w:pPr>
            <w:r>
              <w:rPr>
                <w:rFonts w:ascii="Arial" w:cs="Arial" w:eastAsia="Arial" w:hAnsi="Arial"/>
                <w:sz w:val="18"/>
                <w:szCs w:val="18"/>
                <w:color w:val="auto"/>
              </w:rPr>
              <w:t>Amendment</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2"/>
        </w:trPr>
        <w:tc>
          <w:tcPr>
            <w:tcW w:w="1640" w:type="dxa"/>
            <w:vAlign w:val="bottom"/>
          </w:tcPr>
          <w:p>
            <w:pPr>
              <w:ind w:left="440"/>
              <w:spacing w:after="0"/>
              <w:rPr>
                <w:sz w:val="20"/>
                <w:szCs w:val="20"/>
                <w:color w:val="auto"/>
              </w:rPr>
            </w:pPr>
            <w:r>
              <w:rPr>
                <w:rFonts w:ascii="Arial" w:cs="Arial" w:eastAsia="Arial" w:hAnsi="Arial"/>
                <w:sz w:val="18"/>
                <w:szCs w:val="18"/>
                <w:color w:val="auto"/>
              </w:rPr>
              <w:t>Section 2.12</w:t>
            </w:r>
          </w:p>
        </w:tc>
        <w:tc>
          <w:tcPr>
            <w:tcW w:w="3520" w:type="dxa"/>
            <w:vAlign w:val="bottom"/>
          </w:tcPr>
          <w:p>
            <w:pPr>
              <w:ind w:left="320"/>
              <w:spacing w:after="0"/>
              <w:rPr>
                <w:sz w:val="20"/>
                <w:szCs w:val="20"/>
                <w:color w:val="auto"/>
              </w:rPr>
            </w:pPr>
            <w:r>
              <w:rPr>
                <w:rFonts w:ascii="Arial" w:cs="Arial" w:eastAsia="Arial" w:hAnsi="Arial"/>
                <w:sz w:val="18"/>
                <w:szCs w:val="18"/>
                <w:color w:val="auto"/>
              </w:rPr>
              <w:t>Attorneys’ Fees</w:t>
            </w: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0"/>
                <w:szCs w:val="20"/>
                <w:color w:val="auto"/>
              </w:rPr>
            </w:pPr>
            <w:r>
              <w:rPr>
                <w:rFonts w:ascii="Arial" w:cs="Arial" w:eastAsia="Arial" w:hAnsi="Arial"/>
                <w:sz w:val="18"/>
                <w:szCs w:val="18"/>
                <w:b w:val="1"/>
                <w:bCs w:val="1"/>
                <w:color w:val="auto"/>
              </w:rPr>
              <w:t>Schedules</w:t>
            </w:r>
          </w:p>
        </w:tc>
        <w:tc>
          <w:tcPr>
            <w:tcW w:w="3520" w:type="dxa"/>
            <w:vAlign w:val="bottom"/>
          </w:tcPr>
          <w:p>
            <w:pPr>
              <w:spacing w:after="0"/>
              <w:rPr>
                <w:sz w:val="24"/>
                <w:szCs w:val="24"/>
                <w:color w:val="auto"/>
              </w:rPr>
            </w:pPr>
          </w:p>
        </w:tc>
        <w:tc>
          <w:tcPr>
            <w:tcW w:w="59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640" w:type="dxa"/>
            <w:vAlign w:val="bottom"/>
          </w:tcPr>
          <w:p>
            <w:pPr>
              <w:spacing w:after="0"/>
              <w:rPr>
                <w:sz w:val="20"/>
                <w:szCs w:val="20"/>
                <w:color w:val="auto"/>
              </w:rPr>
            </w:pPr>
            <w:r>
              <w:rPr>
                <w:rFonts w:ascii="Arial" w:cs="Arial" w:eastAsia="Arial" w:hAnsi="Arial"/>
                <w:sz w:val="18"/>
                <w:szCs w:val="18"/>
                <w:color w:val="auto"/>
              </w:rPr>
              <w:t>1. Sellers</w:t>
            </w:r>
          </w:p>
        </w:tc>
        <w:tc>
          <w:tcPr>
            <w:tcW w:w="3520" w:type="dxa"/>
            <w:vAlign w:val="bottom"/>
          </w:tcPr>
          <w:p>
            <w:pPr>
              <w:spacing w:after="0"/>
              <w:rPr>
                <w:sz w:val="24"/>
                <w:szCs w:val="24"/>
                <w:color w:val="auto"/>
              </w:rPr>
            </w:pP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432"/>
        </w:trPr>
        <w:tc>
          <w:tcPr>
            <w:tcW w:w="1640" w:type="dxa"/>
            <w:vAlign w:val="bottom"/>
          </w:tcPr>
          <w:p>
            <w:pPr>
              <w:spacing w:after="0"/>
              <w:rPr>
                <w:sz w:val="20"/>
                <w:szCs w:val="20"/>
                <w:color w:val="auto"/>
              </w:rPr>
            </w:pPr>
            <w:r>
              <w:rPr>
                <w:rFonts w:ascii="Arial" w:cs="Arial" w:eastAsia="Arial" w:hAnsi="Arial"/>
                <w:sz w:val="18"/>
                <w:szCs w:val="18"/>
                <w:color w:val="auto"/>
              </w:rPr>
              <w:t>Signatories</w:t>
            </w:r>
          </w:p>
        </w:tc>
        <w:tc>
          <w:tcPr>
            <w:tcW w:w="3520" w:type="dxa"/>
            <w:vAlign w:val="bottom"/>
          </w:tcPr>
          <w:p>
            <w:pPr>
              <w:spacing w:after="0"/>
              <w:rPr>
                <w:sz w:val="24"/>
                <w:szCs w:val="24"/>
                <w:color w:val="auto"/>
              </w:rPr>
            </w:pPr>
          </w:p>
        </w:tc>
        <w:tc>
          <w:tcPr>
            <w:tcW w:w="6260" w:type="dxa"/>
            <w:vAlign w:val="bottom"/>
            <w:gridSpan w:val="2"/>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4" w:right="239" w:bottom="1440" w:gutter="0" w:footer="0" w:header="0"/>
        </w:sect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bookmarkStart w:id="25" w:name="page26"/>
    <w:bookmarkEnd w:id="25"/>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REGISTRATION RIGHTS AGREEMENT</w:t>
      </w:r>
    </w:p>
    <w:p>
      <w:pPr>
        <w:spacing w:after="0" w:line="158" w:lineRule="exact"/>
        <w:rPr>
          <w:sz w:val="20"/>
          <w:szCs w:val="20"/>
          <w:color w:val="auto"/>
        </w:rPr>
      </w:pPr>
    </w:p>
    <w:p>
      <w:pPr>
        <w:jc w:val="both"/>
        <w:ind w:right="140"/>
        <w:spacing w:after="0" w:line="262" w:lineRule="auto"/>
        <w:rPr>
          <w:sz w:val="20"/>
          <w:szCs w:val="20"/>
          <w:color w:val="auto"/>
        </w:rPr>
      </w:pPr>
      <w:r>
        <w:rPr>
          <w:rFonts w:ascii="Arial" w:cs="Arial" w:eastAsia="Arial" w:hAnsi="Arial"/>
          <w:sz w:val="18"/>
          <w:szCs w:val="18"/>
          <w:b w:val="1"/>
          <w:bCs w:val="1"/>
          <w:color w:val="auto"/>
        </w:rPr>
        <w:t xml:space="preserve">THIS REGISTRATION RIGHTS AGREEMENT </w:t>
      </w:r>
      <w:r>
        <w:rPr>
          <w:rFonts w:ascii="Arial" w:cs="Arial" w:eastAsia="Arial" w:hAnsi="Arial"/>
          <w:sz w:val="18"/>
          <w:szCs w:val="18"/>
          <w:color w:val="auto"/>
        </w:rPr>
        <w:t>(the “</w:t>
      </w:r>
      <w:r>
        <w:rPr>
          <w:rFonts w:ascii="Arial" w:cs="Arial" w:eastAsia="Arial" w:hAnsi="Arial"/>
          <w:sz w:val="18"/>
          <w:szCs w:val="18"/>
          <w:b w:val="1"/>
          <w:bCs w:val="1"/>
          <w:color w:val="auto"/>
        </w:rPr>
        <w:t>Agreement</w:t>
      </w:r>
      <w:r>
        <w:rPr>
          <w:rFonts w:ascii="Arial" w:cs="Arial" w:eastAsia="Arial" w:hAnsi="Arial"/>
          <w:sz w:val="18"/>
          <w:szCs w:val="18"/>
          <w:color w:val="auto"/>
        </w:rPr>
        <w:t>”) is dated as of May 27, 2004 and is entered into by and between</w:t>
      </w:r>
      <w:r>
        <w:rPr>
          <w:rFonts w:ascii="Arial" w:cs="Arial" w:eastAsia="Arial" w:hAnsi="Arial"/>
          <w:sz w:val="18"/>
          <w:szCs w:val="18"/>
          <w:b w:val="1"/>
          <w:bCs w:val="1"/>
          <w:color w:val="auto"/>
        </w:rPr>
        <w:t xml:space="preserve"> SCHLUMBERGER LIMITED</w:t>
      </w:r>
      <w:r>
        <w:rPr>
          <w:rFonts w:ascii="Arial" w:cs="Arial" w:eastAsia="Arial" w:hAnsi="Arial"/>
          <w:sz w:val="18"/>
          <w:szCs w:val="18"/>
          <w:color w:val="auto"/>
        </w:rPr>
        <w:t>, a company incorporated in the Netherlands Antilles (“</w:t>
      </w:r>
      <w:r>
        <w:rPr>
          <w:rFonts w:ascii="Arial" w:cs="Arial" w:eastAsia="Arial" w:hAnsi="Arial"/>
          <w:sz w:val="18"/>
          <w:szCs w:val="18"/>
          <w:b w:val="1"/>
          <w:bCs w:val="1"/>
          <w:color w:val="auto"/>
        </w:rPr>
        <w:t>SLB</w:t>
      </w:r>
      <w:r>
        <w:rPr>
          <w:rFonts w:ascii="Arial" w:cs="Arial" w:eastAsia="Arial" w:hAnsi="Arial"/>
          <w:sz w:val="18"/>
          <w:szCs w:val="18"/>
          <w:color w:val="auto"/>
        </w:rPr>
        <w:t>”) and the persons designated in Schedule 1 attached hereto (the “</w:t>
      </w:r>
      <w:r>
        <w:rPr>
          <w:rFonts w:ascii="Arial" w:cs="Arial" w:eastAsia="Arial" w:hAnsi="Arial"/>
          <w:sz w:val="18"/>
          <w:szCs w:val="18"/>
          <w:b w:val="1"/>
          <w:bCs w:val="1"/>
          <w:color w:val="auto"/>
        </w:rPr>
        <w:t>Sellers</w:t>
      </w:r>
      <w:r>
        <w:rPr>
          <w:rFonts w:ascii="Arial" w:cs="Arial" w:eastAsia="Arial" w:hAnsi="Arial"/>
          <w:sz w:val="18"/>
          <w:szCs w:val="18"/>
          <w:color w:val="auto"/>
        </w:rPr>
        <w:t>”) (SLB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are referred to collectively as the “</w:t>
      </w:r>
      <w:r>
        <w:rPr>
          <w:rFonts w:ascii="Arial" w:cs="Arial" w:eastAsia="Arial" w:hAnsi="Arial"/>
          <w:sz w:val="18"/>
          <w:szCs w:val="18"/>
          <w:b w:val="1"/>
          <w:bCs w:val="1"/>
          <w:color w:val="auto"/>
        </w:rPr>
        <w:t>Parties</w:t>
      </w:r>
      <w:r>
        <w:rPr>
          <w:rFonts w:ascii="Arial" w:cs="Arial" w:eastAsia="Arial" w:hAnsi="Arial"/>
          <w:sz w:val="18"/>
          <w:szCs w:val="18"/>
          <w:color w:val="auto"/>
        </w:rPr>
        <w:t>” and individually as a “</w:t>
      </w:r>
      <w:r>
        <w:rPr>
          <w:rFonts w:ascii="Arial" w:cs="Arial" w:eastAsia="Arial" w:hAnsi="Arial"/>
          <w:sz w:val="18"/>
          <w:szCs w:val="18"/>
          <w:b w:val="1"/>
          <w:bCs w:val="1"/>
          <w:color w:val="auto"/>
        </w:rPr>
        <w:t>Party</w:t>
      </w:r>
      <w:r>
        <w:rPr>
          <w:rFonts w:ascii="Arial" w:cs="Arial" w:eastAsia="Arial" w:hAnsi="Arial"/>
          <w:sz w:val="18"/>
          <w:szCs w:val="18"/>
          <w:color w:val="auto"/>
        </w:rPr>
        <w:t>”).</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WITNESSETH</w:t>
      </w:r>
    </w:p>
    <w:p>
      <w:pPr>
        <w:spacing w:after="0" w:line="77" w:lineRule="exact"/>
        <w:rPr>
          <w:sz w:val="20"/>
          <w:szCs w:val="20"/>
          <w:color w:val="auto"/>
        </w:rPr>
      </w:pPr>
    </w:p>
    <w:p>
      <w:pPr>
        <w:ind w:right="440"/>
        <w:spacing w:after="0" w:line="26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Schlumberger Oilfield Holdings Limited, a wholly owned subsidiary of SLB incorporated in the British Virgin Islands (the “</w:t>
      </w:r>
      <w:r>
        <w:rPr>
          <w:rFonts w:ascii="Arial" w:cs="Arial" w:eastAsia="Arial" w:hAnsi="Arial"/>
          <w:sz w:val="18"/>
          <w:szCs w:val="18"/>
          <w:b w:val="1"/>
          <w:bCs w:val="1"/>
          <w:color w:val="auto"/>
        </w:rPr>
        <w:t>Purchaser</w:t>
      </w:r>
      <w:r>
        <w:rPr>
          <w:rFonts w:ascii="Arial" w:cs="Arial" w:eastAsia="Arial" w:hAnsi="Arial"/>
          <w:sz w:val="18"/>
          <w:szCs w:val="18"/>
          <w:color w:val="auto"/>
        </w:rPr>
        <w:t>”), the</w:t>
      </w:r>
      <w:r>
        <w:rPr>
          <w:rFonts w:ascii="Arial" w:cs="Arial" w:eastAsia="Arial" w:hAnsi="Arial"/>
          <w:sz w:val="18"/>
          <w:szCs w:val="18"/>
          <w:b w:val="1"/>
          <w:bCs w:val="1"/>
          <w:color w:val="auto"/>
        </w:rPr>
        <w:t xml:space="preserve"> </w:t>
      </w:r>
      <w:r>
        <w:rPr>
          <w:rFonts w:ascii="Arial" w:cs="Arial" w:eastAsia="Arial" w:hAnsi="Arial"/>
          <w:sz w:val="18"/>
          <w:szCs w:val="18"/>
          <w:color w:val="auto"/>
        </w:rPr>
        <w:t>Sellers and Alexander Yulievich Djaparidze are parties to that certain Share Sale and Purchase Agreement dated as of December 5, 2003 (the “</w:t>
      </w:r>
      <w:r>
        <w:rPr>
          <w:rFonts w:ascii="Arial" w:cs="Arial" w:eastAsia="Arial" w:hAnsi="Arial"/>
          <w:sz w:val="18"/>
          <w:szCs w:val="18"/>
          <w:b w:val="1"/>
          <w:bCs w:val="1"/>
          <w:color w:val="auto"/>
        </w:rPr>
        <w:t>Share Sale</w:t>
      </w:r>
      <w:r>
        <w:rPr>
          <w:rFonts w:ascii="Arial" w:cs="Arial" w:eastAsia="Arial" w:hAnsi="Arial"/>
          <w:sz w:val="18"/>
          <w:szCs w:val="18"/>
          <w:color w:val="auto"/>
        </w:rPr>
        <w:t xml:space="preserve"> </w:t>
      </w:r>
      <w:r>
        <w:rPr>
          <w:rFonts w:ascii="Arial" w:cs="Arial" w:eastAsia="Arial" w:hAnsi="Arial"/>
          <w:sz w:val="18"/>
          <w:szCs w:val="18"/>
          <w:b w:val="1"/>
          <w:bCs w:val="1"/>
          <w:color w:val="auto"/>
        </w:rPr>
        <w:t>Agreement</w:t>
      </w:r>
      <w:r>
        <w:rPr>
          <w:rFonts w:ascii="Arial" w:cs="Arial" w:eastAsia="Arial" w:hAnsi="Arial"/>
          <w:sz w:val="18"/>
          <w:szCs w:val="18"/>
          <w:color w:val="auto"/>
        </w:rPr>
        <w:t>”);</w:t>
      </w:r>
    </w:p>
    <w:p>
      <w:pPr>
        <w:spacing w:after="0" w:line="119" w:lineRule="exact"/>
        <w:rPr>
          <w:sz w:val="20"/>
          <w:szCs w:val="20"/>
          <w:color w:val="auto"/>
        </w:rPr>
      </w:pPr>
    </w:p>
    <w:p>
      <w:pPr>
        <w:ind w:right="62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pursuant to the Share Sale Agreement, the Purchaser has agreed to purchase all of the Shares of the Company from the Sellers for the Cash</w:t>
      </w:r>
      <w:r>
        <w:rPr>
          <w:rFonts w:ascii="Arial" w:cs="Arial" w:eastAsia="Arial" w:hAnsi="Arial"/>
          <w:sz w:val="18"/>
          <w:szCs w:val="18"/>
          <w:b w:val="1"/>
          <w:bCs w:val="1"/>
          <w:color w:val="auto"/>
        </w:rPr>
        <w:t xml:space="preserve"> </w:t>
      </w:r>
      <w:r>
        <w:rPr>
          <w:rFonts w:ascii="Arial" w:cs="Arial" w:eastAsia="Arial" w:hAnsi="Arial"/>
          <w:sz w:val="18"/>
          <w:szCs w:val="18"/>
          <w:color w:val="auto"/>
        </w:rPr>
        <w:t>Consideration and the Consideration Shares;</w:t>
      </w:r>
    </w:p>
    <w:p>
      <w:pPr>
        <w:spacing w:after="0" w:line="10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the Purchaser’s and the Sellers’ respective obligations under the Share Sale Agreement are conditioned upon the execution and delivery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and</w:t>
      </w:r>
    </w:p>
    <w:p>
      <w:pPr>
        <w:spacing w:after="0" w:line="106" w:lineRule="exact"/>
        <w:rPr>
          <w:sz w:val="20"/>
          <w:szCs w:val="20"/>
          <w:color w:val="auto"/>
        </w:rPr>
      </w:pPr>
    </w:p>
    <w:p>
      <w:pPr>
        <w:ind w:right="60"/>
        <w:spacing w:after="0" w:line="378" w:lineRule="auto"/>
        <w:rPr>
          <w:sz w:val="20"/>
          <w:szCs w:val="20"/>
          <w:color w:val="auto"/>
        </w:rPr>
      </w:pPr>
      <w:r>
        <w:rPr>
          <w:rFonts w:ascii="Arial" w:cs="Arial" w:eastAsia="Arial" w:hAnsi="Arial"/>
          <w:sz w:val="15"/>
          <w:szCs w:val="15"/>
          <w:b w:val="1"/>
          <w:bCs w:val="1"/>
          <w:color w:val="auto"/>
        </w:rPr>
        <w:t xml:space="preserve">WHEREAS, </w:t>
      </w:r>
      <w:r>
        <w:rPr>
          <w:rFonts w:ascii="Arial" w:cs="Arial" w:eastAsia="Arial" w:hAnsi="Arial"/>
          <w:sz w:val="15"/>
          <w:szCs w:val="15"/>
          <w:color w:val="auto"/>
        </w:rPr>
        <w:t>SLB believes it is in its best interest for the Purchaser and the Sellers to enter into the Share Sale Agreement and to consummate the transactions</w:t>
      </w:r>
      <w:r>
        <w:rPr>
          <w:rFonts w:ascii="Arial" w:cs="Arial" w:eastAsia="Arial" w:hAnsi="Arial"/>
          <w:sz w:val="15"/>
          <w:szCs w:val="15"/>
          <w:b w:val="1"/>
          <w:bCs w:val="1"/>
          <w:color w:val="auto"/>
        </w:rPr>
        <w:t xml:space="preserve"> </w:t>
      </w:r>
      <w:r>
        <w:rPr>
          <w:rFonts w:ascii="Arial" w:cs="Arial" w:eastAsia="Arial" w:hAnsi="Arial"/>
          <w:sz w:val="15"/>
          <w:szCs w:val="15"/>
          <w:color w:val="auto"/>
        </w:rPr>
        <w:t>contemplated thereby and, to induce the Sellers to do so, SLB is willing to grant to the Sellers certain registration rights with respect to the Consideration Shares.</w:t>
      </w:r>
    </w:p>
    <w:p>
      <w:pPr>
        <w:spacing w:after="0" w:line="3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NOW, THEREFORE, </w:t>
      </w:r>
      <w:r>
        <w:rPr>
          <w:rFonts w:ascii="Arial" w:cs="Arial" w:eastAsia="Arial" w:hAnsi="Arial"/>
          <w:sz w:val="16"/>
          <w:szCs w:val="16"/>
          <w:color w:val="auto"/>
        </w:rPr>
        <w:t>in consideration of the foregoing recitals and the mutual promises hereinafter set forth, the Parties hereto agree as follows.</w:t>
      </w:r>
    </w:p>
    <w:p>
      <w:pPr>
        <w:spacing w:after="0" w:line="181" w:lineRule="exact"/>
        <w:rPr>
          <w:sz w:val="20"/>
          <w:szCs w:val="20"/>
          <w:color w:val="auto"/>
        </w:rPr>
      </w:pPr>
    </w:p>
    <w:p>
      <w:pPr>
        <w:ind w:left="4160"/>
        <w:spacing w:after="0"/>
        <w:rPr>
          <w:sz w:val="20"/>
          <w:szCs w:val="20"/>
          <w:color w:val="auto"/>
        </w:rPr>
      </w:pPr>
      <w:r>
        <w:rPr>
          <w:rFonts w:ascii="Arial" w:cs="Arial" w:eastAsia="Arial" w:hAnsi="Arial"/>
          <w:sz w:val="18"/>
          <w:szCs w:val="18"/>
          <w:b w:val="1"/>
          <w:bCs w:val="1"/>
          <w:color w:val="auto"/>
        </w:rPr>
        <w:t>ARTICLE 1. REGISTRATION RIGHTS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 1.01 </w:t>
      </w:r>
      <w:r>
        <w:rPr>
          <w:rFonts w:ascii="Arial" w:cs="Arial" w:eastAsia="Arial" w:hAnsi="Arial"/>
          <w:sz w:val="18"/>
          <w:szCs w:val="18"/>
          <w:b w:val="1"/>
          <w:bCs w:val="1"/>
          <w:u w:val="single" w:color="auto"/>
          <w:color w:val="auto"/>
        </w:rPr>
        <w:t>Definition</w:t>
      </w:r>
      <w:r>
        <w:rPr>
          <w:rFonts w:ascii="Arial" w:cs="Arial" w:eastAsia="Arial" w:hAnsi="Arial"/>
          <w:sz w:val="18"/>
          <w:szCs w:val="18"/>
          <w:b w:val="1"/>
          <w:bCs w:val="1"/>
          <w:color w:val="auto"/>
        </w:rPr>
        <w:t>s</w:t>
      </w:r>
      <w:r>
        <w:rPr>
          <w:rFonts w:ascii="Arial" w:cs="Arial" w:eastAsia="Arial" w:hAnsi="Arial"/>
          <w:sz w:val="18"/>
          <w:szCs w:val="18"/>
          <w:color w:val="auto"/>
        </w:rPr>
        <w:t>. For purposes of this Agreement: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1.05(a)</w:t>
      </w:r>
      <w:r>
        <w:rPr>
          <w:rFonts w:ascii="Arial" w:cs="Arial" w:eastAsia="Arial" w:hAnsi="Arial"/>
          <w:sz w:val="18"/>
          <w:szCs w:val="18"/>
          <w:color w:val="auto"/>
        </w:rPr>
        <w:t>.</w:t>
      </w:r>
    </w:p>
    <w:p>
      <w:pPr>
        <w:spacing w:after="0" w:line="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Exchange Act</w:t>
      </w:r>
      <w:r>
        <w:rPr>
          <w:rFonts w:ascii="Arial" w:cs="Arial" w:eastAsia="Arial" w:hAnsi="Arial"/>
          <w:sz w:val="18"/>
          <w:szCs w:val="18"/>
          <w:color w:val="auto"/>
        </w:rPr>
        <w:t>” means the Securities Exchange Act of 1934, as amended from time to time.</w:t>
      </w:r>
    </w:p>
    <w:p>
      <w:pPr>
        <w:spacing w:after="0" w:line="77" w:lineRule="exact"/>
        <w:rPr>
          <w:sz w:val="20"/>
          <w:szCs w:val="20"/>
          <w:color w:val="auto"/>
        </w:rPr>
      </w:pPr>
    </w:p>
    <w:p>
      <w:pPr>
        <w:ind w:left="460" w:right="280"/>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Holder</w:t>
      </w:r>
      <w:r>
        <w:rPr>
          <w:rFonts w:ascii="Arial" w:cs="Arial" w:eastAsia="Arial" w:hAnsi="Arial"/>
          <w:sz w:val="16"/>
          <w:szCs w:val="16"/>
          <w:color w:val="auto"/>
        </w:rPr>
        <w:t>” means a Person that owns Registrable Securities and (1) is a party to this Agreement or (2) is a transferee thereof permitted hereby if such transferee (i) is designated a Holder by the Holder transferring Registrable Securities to such transferee and (ii) has executed a counterpart hereof at the time of the transfer to such transferee, unless the Registrable Securities held by such person are acquired in (a) a public distribution pursuant to a registration statement under the Securities Act or (b) transactions exempt from registration under the Securities Act where securities sold in such transaction may be resold without subsequent registration under the Securities Act.</w:t>
      </w:r>
    </w:p>
    <w:p>
      <w:pPr>
        <w:spacing w:after="0" w:line="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 Indemnified Parties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1.05(a)</w:t>
      </w:r>
      <w:r>
        <w:rPr>
          <w:rFonts w:ascii="Arial" w:cs="Arial" w:eastAsia="Arial" w:hAnsi="Arial"/>
          <w:sz w:val="18"/>
          <w:szCs w:val="18"/>
          <w:color w:val="auto"/>
        </w:rPr>
        <w:t>.</w:t>
      </w:r>
    </w:p>
    <w:p>
      <w:pPr>
        <w:spacing w:after="0" w:line="77" w:lineRule="exact"/>
        <w:rPr>
          <w:sz w:val="20"/>
          <w:szCs w:val="20"/>
          <w:color w:val="auto"/>
        </w:rPr>
      </w:pPr>
    </w:p>
    <w:p>
      <w:pPr>
        <w:ind w:left="46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Holders Representative</w:t>
      </w:r>
      <w:r>
        <w:rPr>
          <w:rFonts w:ascii="Arial" w:cs="Arial" w:eastAsia="Arial" w:hAnsi="Arial"/>
          <w:sz w:val="18"/>
          <w:szCs w:val="18"/>
          <w:color w:val="auto"/>
        </w:rPr>
        <w:t>” means Alexander Yulievich Djaparidze, the Sellers Representative under that certain Share Sale and Purchase Agreement dated December 5, 2003.</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80"/>
          </w:cols>
          <w:pgMar w:left="240" w:top="422" w:right="27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w:t>
      </w:r>
      <w:r>
        <w:rPr>
          <w:rFonts w:ascii="Arial" w:cs="Arial" w:eastAsia="Arial" w:hAnsi="Arial"/>
          <w:sz w:val="18"/>
          <w:szCs w:val="18"/>
          <w:b w:val="1"/>
          <w:bCs w:val="1"/>
          <w:color w:val="auto"/>
        </w:rPr>
        <w:t>Inspector</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1.03(a)(ii)</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Party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1.05(c)</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Indemnifying Party</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1.05(c)</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Losses</w:t>
      </w:r>
      <w:r>
        <w:rPr>
          <w:rFonts w:ascii="Arial" w:cs="Arial" w:eastAsia="Arial" w:hAnsi="Arial"/>
          <w:sz w:val="18"/>
          <w:szCs w:val="18"/>
          <w:color w:val="auto"/>
        </w:rPr>
        <w:t xml:space="preserve">” is defined in </w:t>
      </w:r>
      <w:r>
        <w:rPr>
          <w:rFonts w:ascii="Arial" w:cs="Arial" w:eastAsia="Arial" w:hAnsi="Arial"/>
          <w:sz w:val="18"/>
          <w:szCs w:val="18"/>
          <w:b w:val="1"/>
          <w:bCs w:val="1"/>
          <w:color w:val="auto"/>
        </w:rPr>
        <w:t>Section 1.05(a)</w:t>
      </w:r>
      <w:r>
        <w:rPr>
          <w:rFonts w:ascii="Arial" w:cs="Arial" w:eastAsia="Arial" w:hAnsi="Arial"/>
          <w:sz w:val="18"/>
          <w:szCs w:val="18"/>
          <w:color w:val="auto"/>
        </w:rPr>
        <w:t>.</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NYSE</w:t>
      </w:r>
      <w:r>
        <w:rPr>
          <w:rFonts w:ascii="Arial" w:cs="Arial" w:eastAsia="Arial" w:hAnsi="Arial"/>
          <w:sz w:val="18"/>
          <w:szCs w:val="18"/>
          <w:color w:val="auto"/>
        </w:rPr>
        <w:t>” means the New York Stock Exchange.</w:t>
      </w:r>
    </w:p>
    <w:p>
      <w:pPr>
        <w:spacing w:after="0" w:line="77"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Registrable Securities</w:t>
      </w:r>
      <w:r>
        <w:rPr>
          <w:rFonts w:ascii="Arial" w:cs="Arial" w:eastAsia="Arial" w:hAnsi="Arial"/>
          <w:sz w:val="16"/>
          <w:szCs w:val="16"/>
          <w:color w:val="auto"/>
        </w:rPr>
        <w:t xml:space="preserve">” means the Consideration Shares and any and all SLB securities issued in respect thereof (including any securities issued by virtue of a stock split, dividend, recapitalization, business combination, merger, consolidation or other similar event)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Consideration Shares shall cease to be Registrable Securities (i) upon the sale thereof pursuant to an effective Registration Statement, (ii) upon the sale thereof pursuant to Rule 144 (or successor rule) under the Securities Act, (iii) such Registrable Security may be publicly resold without registration under the Securities Act (and without limitations as to volume) or (iv) such Registrable Security is no longer held by a Holder.</w:t>
      </w:r>
    </w:p>
    <w:p>
      <w:pPr>
        <w:spacing w:after="0" w:line="13"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Registration Expenses</w:t>
      </w:r>
      <w:r>
        <w:rPr>
          <w:rFonts w:ascii="Arial" w:cs="Arial" w:eastAsia="Arial" w:hAnsi="Arial"/>
          <w:sz w:val="16"/>
          <w:szCs w:val="16"/>
          <w:color w:val="auto"/>
        </w:rPr>
        <w:t>” means all expenses (other than Selling Expenses) arising from or incident to the performance of, or compliance with, Article 1 of this Agreement, including, (i) SEC, stock exchange, NYSE and other registration and filing fees, (ii) all fees and expenses incurred in connection with complying with any securities or blue sky laws (including, fees, charges and disbursements of counsel in connection with blue sky qualifications of the Registrable Securities), (iii) all printing, messenger and delivery expenses, (iv) the fees, charges and disbursements of counsel to SLB and of its independent public accountants and any other accounting and legal fees, charges and expenses incurred by SLB (including, any expenses arising from any special audits or “comfort letters” required in connection with or incident to any registration), (v) the fees, charges and disbursements of any special experts retained by SLB in connection with any registration pursuant to the terms of this Agreement, (vi) all internal expenses of SLB (including, all salaries and expenses of its officers and employees performing legal or accounting duties), and (vii) Securities Act liability insurance (if SLB elects to obtain such insurance), regardless of whether the Registration Statement filed in connection with such registration is declared effective).</w:t>
      </w:r>
    </w:p>
    <w:p>
      <w:pPr>
        <w:spacing w:after="0" w:line="18" w:lineRule="exact"/>
        <w:rPr>
          <w:sz w:val="20"/>
          <w:szCs w:val="20"/>
          <w:color w:val="auto"/>
        </w:rPr>
      </w:pPr>
    </w:p>
    <w:p>
      <w:pPr>
        <w:ind w:right="160"/>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Registration Statement</w:t>
      </w:r>
      <w:r>
        <w:rPr>
          <w:rFonts w:ascii="Arial" w:cs="Arial" w:eastAsia="Arial" w:hAnsi="Arial"/>
          <w:sz w:val="18"/>
          <w:szCs w:val="18"/>
          <w:color w:val="auto"/>
        </w:rPr>
        <w:t>” means any registration statement of SLB filed with the SEC on the appropriate form pursuant to the Securities Act pursuant to the provisions of this Agreement covering any portion of the Consideration Shares and all amendments and supplements to the Registration Statement, including post-effective amendments, in each case including the prospectus contained therein, all exhibits thereto and all materials incorporated by reference therein.</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w:t>
      </w:r>
      <w:r>
        <w:rPr>
          <w:rFonts w:ascii="Arial" w:cs="Arial" w:eastAsia="Arial" w:hAnsi="Arial"/>
          <w:sz w:val="18"/>
          <w:szCs w:val="18"/>
          <w:color w:val="auto"/>
        </w:rPr>
        <w:t>” or “</w:t>
      </w:r>
      <w:r>
        <w:rPr>
          <w:rFonts w:ascii="Arial" w:cs="Arial" w:eastAsia="Arial" w:hAnsi="Arial"/>
          <w:sz w:val="18"/>
          <w:szCs w:val="18"/>
          <w:b w:val="1"/>
          <w:bCs w:val="1"/>
          <w:color w:val="auto"/>
        </w:rPr>
        <w:t>Commission</w:t>
      </w:r>
      <w:r>
        <w:rPr>
          <w:rFonts w:ascii="Arial" w:cs="Arial" w:eastAsia="Arial" w:hAnsi="Arial"/>
          <w:sz w:val="18"/>
          <w:szCs w:val="18"/>
          <w:color w:val="auto"/>
        </w:rPr>
        <w:t>” means the United States Securities and Exchange Commission.</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Act</w:t>
      </w:r>
      <w:r>
        <w:rPr>
          <w:rFonts w:ascii="Arial" w:cs="Arial" w:eastAsia="Arial" w:hAnsi="Arial"/>
          <w:sz w:val="18"/>
          <w:szCs w:val="18"/>
          <w:color w:val="auto"/>
        </w:rPr>
        <w:t>” means the Securities Act of 1933, as amended from time to time.</w:t>
      </w:r>
    </w:p>
    <w:p>
      <w:pPr>
        <w:spacing w:after="0" w:line="77" w:lineRule="exact"/>
        <w:rPr>
          <w:sz w:val="20"/>
          <w:szCs w:val="20"/>
          <w:color w:val="auto"/>
        </w:rPr>
      </w:pPr>
    </w:p>
    <w:p>
      <w:pPr>
        <w:ind w:right="40"/>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Selling Expenses</w:t>
      </w:r>
      <w:r>
        <w:rPr>
          <w:rFonts w:ascii="Arial" w:cs="Arial" w:eastAsia="Arial" w:hAnsi="Arial"/>
          <w:sz w:val="18"/>
          <w:szCs w:val="18"/>
          <w:color w:val="auto"/>
        </w:rPr>
        <w:t>” means the underwriting fees, discounts, selling commissions and stock transfer taxes applicable to sale of Registrable Securities by the Holders.</w:t>
      </w:r>
    </w:p>
    <w:p>
      <w:pPr>
        <w:spacing w:after="0" w:line="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Share Sale Agreement</w:t>
      </w:r>
      <w:r>
        <w:rPr>
          <w:rFonts w:ascii="Arial" w:cs="Arial" w:eastAsia="Arial" w:hAnsi="Arial"/>
          <w:sz w:val="18"/>
          <w:szCs w:val="18"/>
          <w:color w:val="auto"/>
        </w:rPr>
        <w:t>” is defined in the preamble.</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Capitalized terms which are used, but not defined, in this Agreement, shall have the meaning ascribed to them in the Share Sale Agreement.</w:t>
      </w:r>
    </w:p>
    <w:p>
      <w:pPr>
        <w:spacing w:after="0" w:line="18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40"/>
          </w:cols>
          <w:pgMar w:left="700" w:top="274" w:right="25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1.02 </w:t>
      </w:r>
      <w:r>
        <w:rPr>
          <w:rFonts w:ascii="Arial" w:cs="Arial" w:eastAsia="Arial" w:hAnsi="Arial"/>
          <w:sz w:val="18"/>
          <w:szCs w:val="18"/>
          <w:b w:val="1"/>
          <w:bCs w:val="1"/>
          <w:u w:val="single" w:color="auto"/>
          <w:color w:val="auto"/>
        </w:rPr>
        <w:t>Shelf Registration</w:t>
      </w:r>
      <w:r>
        <w:rPr>
          <w:rFonts w:ascii="Arial" w:cs="Arial" w:eastAsia="Arial" w:hAnsi="Arial"/>
          <w:sz w:val="18"/>
          <w:szCs w:val="18"/>
          <w:b w:val="1"/>
          <w:bCs w:val="1"/>
          <w:color w:val="auto"/>
        </w:rPr>
        <w:t>.</w:t>
      </w:r>
    </w:p>
    <w:p>
      <w:pPr>
        <w:spacing w:after="0" w:line="83" w:lineRule="exact"/>
        <w:rPr>
          <w:sz w:val="20"/>
          <w:szCs w:val="20"/>
          <w:color w:val="auto"/>
        </w:rPr>
      </w:pPr>
    </w:p>
    <w:p>
      <w:pPr>
        <w:ind w:left="460" w:hanging="452"/>
        <w:spacing w:after="0" w:line="287" w:lineRule="auto"/>
        <w:tabs>
          <w:tab w:leader="none" w:pos="460" w:val="left"/>
        </w:tabs>
        <w:numPr>
          <w:ilvl w:val="0"/>
          <w:numId w:val="19"/>
        </w:numPr>
        <w:rPr>
          <w:rFonts w:ascii="Arial" w:cs="Arial" w:eastAsia="Arial" w:hAnsi="Arial"/>
          <w:sz w:val="16"/>
          <w:szCs w:val="16"/>
          <w:color w:val="auto"/>
        </w:rPr>
      </w:pPr>
      <w:r>
        <w:rPr>
          <w:rFonts w:ascii="Arial" w:cs="Arial" w:eastAsia="Arial" w:hAnsi="Arial"/>
          <w:sz w:val="16"/>
          <w:szCs w:val="16"/>
          <w:color w:val="auto"/>
        </w:rPr>
        <w:t>On or before the Second Closing Date, SLB will file a Registration Statement with the SEC, seeking to register the offer and sale of the Stage 1 Consideration Shares, the Stage 2 Consideration Shares and the Adjustment Shares, if any, by the Holders thereof from time to time pursuant to Rule 415 under the Securities Act. On or before the Third Closing Date, SLB will file a Registration Statement with the SEC, seeking to register the offer and sale of the Stage 3 Consideration Shares by the Holders thereof from time to time pursuant to Rule 415 under the Securities Act. SLB will use commercially reasonable efforts to have each such Registration Statement declared effective by the SEC as promptly as practicable and to cause the Registration Statement relating to the Stage 1 Consideration Shares, Stage 2 Consideration Shares and the Adjustments Shares, if any, to remain effective through the period ending on the two (2) year anniversary of the Second Closing Date or until there are no Registrable Securities registered thereunder, whichever shall occur first. Upon effectiveness under the Securities Act of the Registration Statement covering the Stage 3 Consideration Shares, SLB will use commercially reasonable efforts to cause such Registration Statement to remain effective through the period ending on the two (2) year anniversary of the Third Closing Date or until there are no Registrable Securities registered thereunder, whichever shall occur first.</w:t>
      </w:r>
    </w:p>
    <w:p>
      <w:pPr>
        <w:spacing w:after="0" w:line="28" w:lineRule="exact"/>
        <w:rPr>
          <w:rFonts w:ascii="Arial" w:cs="Arial" w:eastAsia="Arial" w:hAnsi="Arial"/>
          <w:sz w:val="16"/>
          <w:szCs w:val="16"/>
          <w:color w:val="auto"/>
        </w:rPr>
      </w:pPr>
    </w:p>
    <w:p>
      <w:pPr>
        <w:ind w:left="460" w:right="40" w:hanging="452"/>
        <w:spacing w:after="0" w:line="253" w:lineRule="auto"/>
        <w:tabs>
          <w:tab w:leader="none" w:pos="4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 xml:space="preserve">If SLB shall determine that to maintain the effectiveness of a Registration Statement or to permit a Registration Statement to become effective or to permit the use of the prospectus relating to a Registration Statement would be significantly disadvantageous (a “Disadvantageous Condition”) to SLB or its stockholders for any reason, including the existence, or in anticipation, of any acquisition, divestiture or financing activity involving SLB or the unavailability of any required financial statements, or any disclosure that would be required to be made or any other event or condition of similar significance to SLB, SLB may, for a period not to exceed 90 days or, if earlier, until such Disadvantageous Condition no longer exists, suspend the effectiveness or use of the Registration Statement;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the total duration during any calendar year of any delays or suspensions pursuant to this paragraph shall not exceed 150 days.</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Section1.03 </w:t>
      </w:r>
      <w:r>
        <w:rPr>
          <w:rFonts w:ascii="Arial" w:cs="Arial" w:eastAsia="Arial" w:hAnsi="Arial"/>
          <w:sz w:val="18"/>
          <w:szCs w:val="18"/>
          <w:b w:val="1"/>
          <w:bCs w:val="1"/>
          <w:u w:val="single" w:color="auto"/>
          <w:color w:val="auto"/>
        </w:rPr>
        <w:t>Registration Procedures</w:t>
      </w:r>
      <w:r>
        <w:rPr>
          <w:rFonts w:ascii="Arial" w:cs="Arial" w:eastAsia="Arial" w:hAnsi="Arial"/>
          <w:sz w:val="18"/>
          <w:szCs w:val="18"/>
          <w:u w:val="single" w:color="auto"/>
          <w:color w:val="auto"/>
        </w:rPr>
        <w:t>.</w:t>
      </w:r>
    </w:p>
    <w:p>
      <w:pPr>
        <w:spacing w:after="0" w:line="77" w:lineRule="exact"/>
        <w:rPr>
          <w:sz w:val="20"/>
          <w:szCs w:val="20"/>
          <w:color w:val="auto"/>
        </w:rPr>
      </w:pPr>
    </w:p>
    <w:p>
      <w:pPr>
        <w:ind w:left="460" w:right="620" w:hanging="452"/>
        <w:spacing w:after="0" w:line="329" w:lineRule="auto"/>
        <w:tabs>
          <w:tab w:leader="none" w:pos="460" w:val="left"/>
        </w:tabs>
        <w:numPr>
          <w:ilvl w:val="0"/>
          <w:numId w:val="20"/>
        </w:numPr>
        <w:rPr>
          <w:rFonts w:ascii="Arial" w:cs="Arial" w:eastAsia="Arial" w:hAnsi="Arial"/>
          <w:sz w:val="16"/>
          <w:szCs w:val="16"/>
          <w:color w:val="auto"/>
        </w:rPr>
      </w:pPr>
      <w:r>
        <w:rPr>
          <w:rFonts w:ascii="Arial" w:cs="Arial" w:eastAsia="Arial" w:hAnsi="Arial"/>
          <w:sz w:val="16"/>
          <w:szCs w:val="16"/>
          <w:b w:val="1"/>
          <w:bCs w:val="1"/>
          <w:color w:val="auto"/>
        </w:rPr>
        <w:t>Obligations of SLB</w:t>
      </w:r>
      <w:r>
        <w:rPr>
          <w:rFonts w:ascii="Arial" w:cs="Arial" w:eastAsia="Arial" w:hAnsi="Arial"/>
          <w:sz w:val="16"/>
          <w:szCs w:val="16"/>
          <w:color w:val="auto"/>
        </w:rPr>
        <w:t>. SLB shall use its best efforts to effect the registration and sale of the Registrable Securities in accordance with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Registration Statement as promptly as possible, and in connection therewith, SLB shall, as expeditiously as possible:</w:t>
      </w:r>
    </w:p>
    <w:p>
      <w:pPr>
        <w:spacing w:after="0" w:line="1" w:lineRule="exact"/>
        <w:rPr>
          <w:rFonts w:ascii="Arial" w:cs="Arial" w:eastAsia="Arial" w:hAnsi="Arial"/>
          <w:sz w:val="16"/>
          <w:szCs w:val="16"/>
          <w:color w:val="auto"/>
        </w:rPr>
      </w:pPr>
    </w:p>
    <w:p>
      <w:pPr>
        <w:ind w:left="900" w:right="100" w:hanging="446"/>
        <w:spacing w:after="0" w:line="259" w:lineRule="auto"/>
        <w:tabs>
          <w:tab w:leader="none" w:pos="900" w:val="left"/>
        </w:tabs>
        <w:numPr>
          <w:ilvl w:val="1"/>
          <w:numId w:val="20"/>
        </w:numPr>
        <w:rPr>
          <w:rFonts w:ascii="Arial" w:cs="Arial" w:eastAsia="Arial" w:hAnsi="Arial"/>
          <w:sz w:val="18"/>
          <w:szCs w:val="18"/>
          <w:color w:val="auto"/>
        </w:rPr>
      </w:pPr>
      <w:r>
        <w:rPr>
          <w:rFonts w:ascii="Arial" w:cs="Arial" w:eastAsia="Arial" w:hAnsi="Arial"/>
          <w:sz w:val="18"/>
          <w:szCs w:val="18"/>
          <w:i w:val="1"/>
          <w:iCs w:val="1"/>
          <w:color w:val="auto"/>
        </w:rPr>
        <w:t>Preparation of Registration Statement; Effectiveness</w:t>
      </w:r>
      <w:r>
        <w:rPr>
          <w:rFonts w:ascii="Arial" w:cs="Arial" w:eastAsia="Arial" w:hAnsi="Arial"/>
          <w:sz w:val="18"/>
          <w:szCs w:val="18"/>
          <w:color w:val="auto"/>
        </w:rPr>
        <w:t>. Prepare and file with the SEC the Registration Statement on any form on which SLB then</w:t>
      </w:r>
      <w:r>
        <w:rPr>
          <w:rFonts w:ascii="Arial" w:cs="Arial" w:eastAsia="Arial" w:hAnsi="Arial"/>
          <w:sz w:val="18"/>
          <w:szCs w:val="18"/>
          <w:i w:val="1"/>
          <w:iCs w:val="1"/>
          <w:color w:val="auto"/>
        </w:rPr>
        <w:t xml:space="preserve"> </w:t>
      </w:r>
      <w:r>
        <w:rPr>
          <w:rFonts w:ascii="Arial" w:cs="Arial" w:eastAsia="Arial" w:hAnsi="Arial"/>
          <w:sz w:val="18"/>
          <w:szCs w:val="18"/>
          <w:color w:val="auto"/>
        </w:rPr>
        <w:t>qualifies, which counsel for SLB shall deem appropriate and pursuant to which such offering may be made in accordance with the intended method of distribution thereof;</w:t>
      </w:r>
    </w:p>
    <w:p>
      <w:pPr>
        <w:spacing w:after="0" w:line="45" w:lineRule="exact"/>
        <w:rPr>
          <w:rFonts w:ascii="Arial" w:cs="Arial" w:eastAsia="Arial" w:hAnsi="Arial"/>
          <w:sz w:val="18"/>
          <w:szCs w:val="18"/>
          <w:color w:val="auto"/>
        </w:rPr>
      </w:pPr>
    </w:p>
    <w:p>
      <w:pPr>
        <w:ind w:left="900" w:right="120" w:hanging="446"/>
        <w:spacing w:after="0" w:line="306"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Participation in Preparation</w:t>
      </w:r>
      <w:r>
        <w:rPr>
          <w:rFonts w:ascii="Arial" w:cs="Arial" w:eastAsia="Arial" w:hAnsi="Arial"/>
          <w:sz w:val="16"/>
          <w:szCs w:val="16"/>
          <w:color w:val="auto"/>
        </w:rPr>
        <w:t>. Provide any Holder and any attorney, accountant or other agent retained by any Holder (each, an “</w:t>
      </w:r>
      <w:r>
        <w:rPr>
          <w:rFonts w:ascii="Arial" w:cs="Arial" w:eastAsia="Arial" w:hAnsi="Arial"/>
          <w:sz w:val="16"/>
          <w:szCs w:val="16"/>
          <w:i w:val="1"/>
          <w:iCs w:val="1"/>
          <w:color w:val="auto"/>
        </w:rPr>
        <w:t>Inspector</w:t>
      </w:r>
      <w:r>
        <w:rPr>
          <w:rFonts w:ascii="Arial" w:cs="Arial" w:eastAsia="Arial" w:hAnsi="Arial"/>
          <w:sz w:val="16"/>
          <w:szCs w:val="16"/>
          <w:color w:val="auto"/>
        </w:rPr>
        <w:t>” and,</w:t>
      </w:r>
      <w:r>
        <w:rPr>
          <w:rFonts w:ascii="Arial" w:cs="Arial" w:eastAsia="Arial" w:hAnsi="Arial"/>
          <w:sz w:val="16"/>
          <w:szCs w:val="16"/>
          <w:i w:val="1"/>
          <w:iCs w:val="1"/>
          <w:color w:val="auto"/>
        </w:rPr>
        <w:t xml:space="preserve"> </w:t>
      </w:r>
      <w:r>
        <w:rPr>
          <w:rFonts w:ascii="Arial" w:cs="Arial" w:eastAsia="Arial" w:hAnsi="Arial"/>
          <w:sz w:val="16"/>
          <w:szCs w:val="16"/>
          <w:color w:val="auto"/>
        </w:rPr>
        <w:t>collectively, the “</w:t>
      </w:r>
      <w:r>
        <w:rPr>
          <w:rFonts w:ascii="Arial" w:cs="Arial" w:eastAsia="Arial" w:hAnsi="Arial"/>
          <w:sz w:val="16"/>
          <w:szCs w:val="16"/>
          <w:i w:val="1"/>
          <w:iCs w:val="1"/>
          <w:color w:val="auto"/>
        </w:rPr>
        <w:t>Inspectors</w:t>
      </w:r>
      <w:r>
        <w:rPr>
          <w:rFonts w:ascii="Arial" w:cs="Arial" w:eastAsia="Arial" w:hAnsi="Arial"/>
          <w:sz w:val="16"/>
          <w:szCs w:val="16"/>
          <w:color w:val="auto"/>
        </w:rPr>
        <w:t>”), the opportunity to participate (including reviewing, commenting on and attending all meetings) in the preparation of the Registration Statement, each prospectus included therein or filed with the SEC and each amendment or supplement thereto;</w:t>
      </w:r>
    </w:p>
    <w:p>
      <w:pPr>
        <w:spacing w:after="0" w:line="12" w:lineRule="exact"/>
        <w:rPr>
          <w:rFonts w:ascii="Arial" w:cs="Arial" w:eastAsia="Arial" w:hAnsi="Arial"/>
          <w:sz w:val="16"/>
          <w:szCs w:val="16"/>
          <w:color w:val="auto"/>
        </w:rPr>
      </w:pPr>
    </w:p>
    <w:p>
      <w:pPr>
        <w:ind w:left="900" w:right="180" w:hanging="446"/>
        <w:spacing w:after="0" w:line="306" w:lineRule="auto"/>
        <w:tabs>
          <w:tab w:leader="none" w:pos="900" w:val="left"/>
        </w:tabs>
        <w:numPr>
          <w:ilvl w:val="1"/>
          <w:numId w:val="20"/>
        </w:numPr>
        <w:rPr>
          <w:rFonts w:ascii="Arial" w:cs="Arial" w:eastAsia="Arial" w:hAnsi="Arial"/>
          <w:sz w:val="16"/>
          <w:szCs w:val="16"/>
          <w:color w:val="auto"/>
        </w:rPr>
      </w:pPr>
      <w:r>
        <w:rPr>
          <w:rFonts w:ascii="Arial" w:cs="Arial" w:eastAsia="Arial" w:hAnsi="Arial"/>
          <w:sz w:val="16"/>
          <w:szCs w:val="16"/>
          <w:i w:val="1"/>
          <w:iCs w:val="1"/>
          <w:color w:val="auto"/>
        </w:rPr>
        <w:t>General Notifications</w:t>
      </w:r>
      <w:r>
        <w:rPr>
          <w:rFonts w:ascii="Arial" w:cs="Arial" w:eastAsia="Arial" w:hAnsi="Arial"/>
          <w:sz w:val="16"/>
          <w:szCs w:val="16"/>
          <w:color w:val="auto"/>
        </w:rPr>
        <w:t>. Promptly notify the Holders Representative and the sales or placement agent, if any, of the securities being sold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at any time when, (A) the Registration Statement or the prospectus included therein or any prospectus amendment or supplement or post-effective amendment has been filed, and, with respect to the Registration Statement or any</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60"/>
          </w:cols>
          <w:pgMar w:left="240" w:top="274" w:right="299" w:bottom="1440" w:gutter="0" w:footer="0" w:header="0"/>
        </w:sectPr>
      </w:pPr>
    </w:p>
    <w:bookmarkStart w:id="28" w:name="page29"/>
    <w:bookmarkEnd w:id="28"/>
    <w:p>
      <w:pPr>
        <w:ind w:left="466" w:right="4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post-effective amendment, when the same has become effective, (B) the SEC notifies SLB whether there will be a “review” of the Registration Statement (C) any comments (oral or written) by the SEC and by the blue sky or securities commissioner or regulator of any state with respect thereto and (D) any request by the SEC for any amendments or supplements to the Registration Statement or the prospectus or for additional information;</w:t>
      </w:r>
    </w:p>
    <w:p>
      <w:pPr>
        <w:spacing w:after="0" w:line="49" w:lineRule="exact"/>
        <w:rPr>
          <w:sz w:val="20"/>
          <w:szCs w:val="20"/>
          <w:color w:val="auto"/>
        </w:rPr>
      </w:pPr>
    </w:p>
    <w:p>
      <w:pPr>
        <w:ind w:left="446" w:hanging="446"/>
        <w:spacing w:after="0" w:line="287"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10b-5 Notification</w:t>
      </w:r>
      <w:r>
        <w:rPr>
          <w:rFonts w:ascii="Arial" w:cs="Arial" w:eastAsia="Arial" w:hAnsi="Arial"/>
          <w:sz w:val="16"/>
          <w:szCs w:val="16"/>
          <w:color w:val="auto"/>
        </w:rPr>
        <w:t>. Promptly notify in writing the Holders Representative, the sales or placement agent, if any, of the securities being sold pursuant to</w:t>
      </w:r>
      <w:r>
        <w:rPr>
          <w:rFonts w:ascii="Arial" w:cs="Arial" w:eastAsia="Arial" w:hAnsi="Arial"/>
          <w:sz w:val="16"/>
          <w:szCs w:val="16"/>
          <w:i w:val="1"/>
          <w:iCs w:val="1"/>
          <w:color w:val="auto"/>
        </w:rPr>
        <w:t xml:space="preserve"> </w:t>
      </w:r>
      <w:r>
        <w:rPr>
          <w:rFonts w:ascii="Arial" w:cs="Arial" w:eastAsia="Arial" w:hAnsi="Arial"/>
          <w:sz w:val="16"/>
          <w:szCs w:val="16"/>
          <w:color w:val="auto"/>
        </w:rPr>
        <w:t>the Registration Statement at any time when a prospectus relating thereto is required to be delivered under the Securities Act upon discovery that, or upon the happening of any event as a result of which, any prospectus included in the Registration Statement (or amendment or supplement thereto) contains an untrue statement of a material fact or omits to state any material fact required to be stated therein or necessary to make the statements therein not misleading in light of the circumstances under which they were made, or of the existence of a Disadvantageous Condition, and SLB shall (subject to Section 1.02) promptly prepare a supplement or amendment to such prospectus and file it with the SEC (in any event no later than ten days following notice of the occurrence of such event to each Holder, the sales or placement agent) so that after delivery of such prospectus, as so amended or supplemented, to the purchasers of such Registrable Securities, such prospectus, as so amended or supplemented, shall not contain an untrue statement of a material fact or omit to state any material fact required to be stated therein or necessary to make the statements therein not misleading in light of the circumstances under which they were made;</w:t>
      </w:r>
    </w:p>
    <w:p>
      <w:pPr>
        <w:spacing w:after="0" w:line="28" w:lineRule="exact"/>
        <w:rPr>
          <w:rFonts w:ascii="Arial" w:cs="Arial" w:eastAsia="Arial" w:hAnsi="Arial"/>
          <w:sz w:val="16"/>
          <w:szCs w:val="16"/>
          <w:color w:val="auto"/>
        </w:rPr>
      </w:pPr>
    </w:p>
    <w:p>
      <w:pPr>
        <w:ind w:left="446" w:right="120" w:hanging="446"/>
        <w:spacing w:after="0" w:line="305" w:lineRule="auto"/>
        <w:tabs>
          <w:tab w:leader="none" w:pos="446" w:val="left"/>
        </w:tabs>
        <w:numPr>
          <w:ilvl w:val="0"/>
          <w:numId w:val="21"/>
        </w:numPr>
        <w:rPr>
          <w:rFonts w:ascii="Arial" w:cs="Arial" w:eastAsia="Arial" w:hAnsi="Arial"/>
          <w:sz w:val="15"/>
          <w:szCs w:val="15"/>
          <w:color w:val="auto"/>
        </w:rPr>
      </w:pPr>
      <w:r>
        <w:rPr>
          <w:rFonts w:ascii="Arial" w:cs="Arial" w:eastAsia="Arial" w:hAnsi="Arial"/>
          <w:sz w:val="15"/>
          <w:szCs w:val="15"/>
          <w:i w:val="1"/>
          <w:iCs w:val="1"/>
          <w:color w:val="auto"/>
        </w:rPr>
        <w:t>Notification of Stop Orders; Suspensions of Qualifications and Exemptions</w:t>
      </w:r>
      <w:r>
        <w:rPr>
          <w:rFonts w:ascii="Arial" w:cs="Arial" w:eastAsia="Arial" w:hAnsi="Arial"/>
          <w:sz w:val="15"/>
          <w:szCs w:val="15"/>
          <w:color w:val="auto"/>
        </w:rPr>
        <w:t>. Promptly notify in writing the Holders Representative, the sales or</w:t>
      </w:r>
      <w:r>
        <w:rPr>
          <w:rFonts w:ascii="Arial" w:cs="Arial" w:eastAsia="Arial" w:hAnsi="Arial"/>
          <w:sz w:val="15"/>
          <w:szCs w:val="15"/>
          <w:i w:val="1"/>
          <w:iCs w:val="1"/>
          <w:color w:val="auto"/>
        </w:rPr>
        <w:t xml:space="preserve"> </w:t>
      </w:r>
      <w:r>
        <w:rPr>
          <w:rFonts w:ascii="Arial" w:cs="Arial" w:eastAsia="Arial" w:hAnsi="Arial"/>
          <w:sz w:val="15"/>
          <w:szCs w:val="15"/>
          <w:color w:val="auto"/>
        </w:rPr>
        <w:t>placement agent, if any, of the securities being sold of the issuance by the SEC of (A) any stop order issued or threatened to be issued by the SEC or</w:t>
      </w:r>
    </w:p>
    <w:p>
      <w:pPr>
        <w:ind w:left="446" w:right="20"/>
        <w:spacing w:after="0" w:line="292" w:lineRule="auto"/>
        <w:rPr>
          <w:rFonts w:ascii="Arial" w:cs="Arial" w:eastAsia="Arial" w:hAnsi="Arial"/>
          <w:sz w:val="15"/>
          <w:szCs w:val="15"/>
          <w:color w:val="auto"/>
        </w:rPr>
      </w:pPr>
      <w:r>
        <w:rPr>
          <w:rFonts w:ascii="Arial" w:cs="Arial" w:eastAsia="Arial" w:hAnsi="Arial"/>
          <w:sz w:val="16"/>
          <w:szCs w:val="16"/>
          <w:color w:val="auto"/>
        </w:rPr>
        <w:t>(B) any notification with respect to the suspension of the qualification or exemption from qualification of any of the Registrable Securities for sale in any jurisdiction or the initiation or threatening of any proceeding for such purpose and SLB agrees to use its best efforts to (x) prevent the issuance of any such stop order, and in the event of such issuance, to obtain the withdrawal of any such stop order and (y) obtain the withdrawal of any order suspending or preventing the use of any related prospectus or suspending the qualification of any Registrable Securities included in the Registration Statement for sale in any jurisdiction at the earliest practicable date;</w:t>
      </w:r>
    </w:p>
    <w:p>
      <w:pPr>
        <w:spacing w:after="0" w:line="22" w:lineRule="exact"/>
        <w:rPr>
          <w:rFonts w:ascii="Arial" w:cs="Arial" w:eastAsia="Arial" w:hAnsi="Arial"/>
          <w:sz w:val="15"/>
          <w:szCs w:val="15"/>
          <w:color w:val="auto"/>
        </w:rPr>
      </w:pPr>
    </w:p>
    <w:p>
      <w:pPr>
        <w:ind w:left="446" w:right="80" w:hanging="446"/>
        <w:spacing w:after="0" w:line="288" w:lineRule="auto"/>
        <w:tabs>
          <w:tab w:leader="none" w:pos="446" w:val="left"/>
        </w:tabs>
        <w:numPr>
          <w:ilvl w:val="0"/>
          <w:numId w:val="21"/>
        </w:numPr>
        <w:rPr>
          <w:rFonts w:ascii="Arial" w:cs="Arial" w:eastAsia="Arial" w:hAnsi="Arial"/>
          <w:sz w:val="16"/>
          <w:szCs w:val="16"/>
          <w:color w:val="auto"/>
        </w:rPr>
      </w:pPr>
      <w:r>
        <w:rPr>
          <w:rFonts w:ascii="Arial" w:cs="Arial" w:eastAsia="Arial" w:hAnsi="Arial"/>
          <w:sz w:val="16"/>
          <w:szCs w:val="16"/>
          <w:i w:val="1"/>
          <w:iCs w:val="1"/>
          <w:color w:val="auto"/>
        </w:rPr>
        <w:t>Amendments and Supplements; Acceleration</w:t>
      </w:r>
      <w:r>
        <w:rPr>
          <w:rFonts w:ascii="Arial" w:cs="Arial" w:eastAsia="Arial" w:hAnsi="Arial"/>
          <w:sz w:val="16"/>
          <w:szCs w:val="16"/>
          <w:color w:val="auto"/>
        </w:rPr>
        <w:t>. Prepare and file with the SEC such amendments, including post-effective amendments to the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Registration Statement as may be necessary to keep the Registration Statement continuously effective for the applicable time period required hereunder and, if applicable, cause the related prospectus to be supplemented by any required prospectus supplement, and as so supplemented to be filed pursuant to Rule 424 (or any similar provisions then in force) promulgated under the Securities Act; and comply with the provisions of the Securities Act and the Exchange Act with respect to the disposition of all securities covered by the Registration Statement during such period in accordance with the intended methods of disposition by the sellers thereof contemplated by this Agreement set forth in the Registration Statement as so amended or in such prospectus as so supplemented. SLB shall request acceleration of effectiveness of the Registration Statement from the SEC and any post-effective amendments thereto, if any are filed;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at the time of such request, SLB believes in good faith that it is unnecessary to amend further the Registration Statement to comply with this</w:t>
      </w:r>
    </w:p>
    <w:p>
      <w:pPr>
        <w:spacing w:after="0" w:line="106" w:lineRule="exact"/>
        <w:rPr>
          <w:sz w:val="20"/>
          <w:szCs w:val="20"/>
          <w:color w:val="auto"/>
        </w:rPr>
      </w:pPr>
    </w:p>
    <w:p>
      <w:pPr>
        <w:jc w:val="center"/>
        <w:ind w:right="434"/>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0966"/>
          </w:cols>
          <w:pgMar w:left="694" w:top="280" w:right="239" w:bottom="1440" w:gutter="0" w:footer="0" w:header="0"/>
        </w:sectPr>
      </w:pPr>
    </w:p>
    <w:bookmarkStart w:id="29" w:name="page30"/>
    <w:bookmarkEnd w:id="29"/>
    <w:p>
      <w:pPr>
        <w:ind w:left="912"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subparagraph. If SLB wishes to further amend the Registration Statement prior to requesting acceleration, it may take five days to so amend prior to requesting acceleration;</w:t>
      </w:r>
    </w:p>
    <w:p>
      <w:pPr>
        <w:spacing w:after="0" w:line="37" w:lineRule="exact"/>
        <w:rPr>
          <w:sz w:val="20"/>
          <w:szCs w:val="20"/>
          <w:color w:val="auto"/>
        </w:rPr>
      </w:pPr>
    </w:p>
    <w:p>
      <w:pPr>
        <w:ind w:left="892" w:right="60" w:hanging="446"/>
        <w:spacing w:after="0" w:line="294"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Copies</w:t>
      </w:r>
      <w:r>
        <w:rPr>
          <w:rFonts w:ascii="Arial" w:cs="Arial" w:eastAsia="Arial" w:hAnsi="Arial"/>
          <w:sz w:val="16"/>
          <w:szCs w:val="16"/>
          <w:color w:val="auto"/>
        </w:rPr>
        <w:t>. Furnish as promptly as practicable to each Holder who so requests prior to filing the Registration Statement or any supplement or</w:t>
      </w:r>
      <w:r>
        <w:rPr>
          <w:rFonts w:ascii="Arial" w:cs="Arial" w:eastAsia="Arial" w:hAnsi="Arial"/>
          <w:sz w:val="16"/>
          <w:szCs w:val="16"/>
          <w:i w:val="1"/>
          <w:iCs w:val="1"/>
          <w:color w:val="auto"/>
        </w:rPr>
        <w:t xml:space="preserve"> </w:t>
      </w:r>
      <w:r>
        <w:rPr>
          <w:rFonts w:ascii="Arial" w:cs="Arial" w:eastAsia="Arial" w:hAnsi="Arial"/>
          <w:sz w:val="16"/>
          <w:szCs w:val="16"/>
          <w:color w:val="auto"/>
        </w:rPr>
        <w:t>amendment thereto, copies of the Registration Statement, supplement or amendment as it is proposed to be filed, and after such filing to each Holder such number of copies of the Registration Statement, each amendment and supplement thereto (in each case including all exhibits thereto), the prospectus included in the Registration Statement (including each preliminary prospectus) and such other documents as each such Holder may reasonably request in order to facilitate the disposition of the Registrable Securities owned by such Holder;</w:t>
      </w:r>
    </w:p>
    <w:p>
      <w:pPr>
        <w:spacing w:after="0" w:line="21" w:lineRule="exact"/>
        <w:rPr>
          <w:rFonts w:ascii="Arial" w:cs="Arial" w:eastAsia="Arial" w:hAnsi="Arial"/>
          <w:sz w:val="16"/>
          <w:szCs w:val="16"/>
          <w:color w:val="auto"/>
        </w:rPr>
      </w:pPr>
    </w:p>
    <w:p>
      <w:pPr>
        <w:ind w:left="892" w:right="40" w:hanging="446"/>
        <w:spacing w:after="0" w:line="290"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Blue Sky</w:t>
      </w:r>
      <w:r>
        <w:rPr>
          <w:rFonts w:ascii="Arial" w:cs="Arial" w:eastAsia="Arial" w:hAnsi="Arial"/>
          <w:sz w:val="16"/>
          <w:szCs w:val="16"/>
          <w:color w:val="auto"/>
        </w:rPr>
        <w:t>. Use commercially reasonable efforts to register or qualify (or seek an exemption from registration or qualifications) such Registrable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Securities under such other securities or blue sky laws of such jurisdictions as any Holder may request, and to continue such qualification in effect in each such jurisdiction for as long as is permissible pursuant to the laws of such jurisdiction, or for as long as a Holder requests or until all of such Registrable Securities are sold, whichever is shortest, and do any and all other acts and things which may be reasonably necessary or advisable to enable any Holder to consummate the disposition in such jurisdictions of the Registrable Securities;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SLB shall not be required to (1) qualify generally to do business in any jurisdiction where it would not otherwise be required to qualify but for this paragraph (viii), (2) subject itself to taxation in any such jurisdiction or (3) consent to general service of process in any such jurisdiction;</w:t>
      </w:r>
    </w:p>
    <w:p>
      <w:pPr>
        <w:spacing w:after="0" w:line="23" w:lineRule="exact"/>
        <w:rPr>
          <w:rFonts w:ascii="Arial" w:cs="Arial" w:eastAsia="Arial" w:hAnsi="Arial"/>
          <w:sz w:val="16"/>
          <w:szCs w:val="16"/>
          <w:color w:val="auto"/>
        </w:rPr>
      </w:pPr>
    </w:p>
    <w:p>
      <w:pPr>
        <w:ind w:left="892" w:right="620" w:hanging="446"/>
        <w:spacing w:after="0" w:line="268"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Agreements</w:t>
      </w:r>
      <w:r>
        <w:rPr>
          <w:rFonts w:ascii="Arial" w:cs="Arial" w:eastAsia="Arial" w:hAnsi="Arial"/>
          <w:sz w:val="18"/>
          <w:szCs w:val="18"/>
          <w:color w:val="auto"/>
        </w:rPr>
        <w:t>. Enter into customary agreements and take such other actions as may be reasonably required in order to expedite or facilitate the</w:t>
      </w:r>
      <w:r>
        <w:rPr>
          <w:rFonts w:ascii="Arial" w:cs="Arial" w:eastAsia="Arial" w:hAnsi="Arial"/>
          <w:sz w:val="18"/>
          <w:szCs w:val="18"/>
          <w:i w:val="1"/>
          <w:iCs w:val="1"/>
          <w:color w:val="auto"/>
        </w:rPr>
        <w:t xml:space="preserve"> </w:t>
      </w:r>
      <w:r>
        <w:rPr>
          <w:rFonts w:ascii="Arial" w:cs="Arial" w:eastAsia="Arial" w:hAnsi="Arial"/>
          <w:sz w:val="18"/>
          <w:szCs w:val="18"/>
          <w:color w:val="auto"/>
        </w:rPr>
        <w:t>disposition of Registrable Securities;</w:t>
      </w:r>
    </w:p>
    <w:p>
      <w:pPr>
        <w:spacing w:after="0" w:line="37" w:lineRule="exact"/>
        <w:rPr>
          <w:rFonts w:ascii="Arial" w:cs="Arial" w:eastAsia="Arial" w:hAnsi="Arial"/>
          <w:sz w:val="18"/>
          <w:szCs w:val="18"/>
          <w:color w:val="auto"/>
        </w:rPr>
      </w:pPr>
    </w:p>
    <w:p>
      <w:pPr>
        <w:ind w:left="892" w:hanging="446"/>
        <w:spacing w:after="0" w:line="256"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SEC Compliance, Earnings Statement</w:t>
      </w:r>
      <w:r>
        <w:rPr>
          <w:rFonts w:ascii="Arial" w:cs="Arial" w:eastAsia="Arial" w:hAnsi="Arial"/>
          <w:sz w:val="18"/>
          <w:szCs w:val="18"/>
          <w:color w:val="auto"/>
        </w:rPr>
        <w:t>. Comply with all applicable rules and regulations of the SEC and make available to its shareholders, as soon as</w:t>
      </w:r>
      <w:r>
        <w:rPr>
          <w:rFonts w:ascii="Arial" w:cs="Arial" w:eastAsia="Arial" w:hAnsi="Arial"/>
          <w:sz w:val="18"/>
          <w:szCs w:val="18"/>
          <w:i w:val="1"/>
          <w:iCs w:val="1"/>
          <w:color w:val="auto"/>
        </w:rPr>
        <w:t xml:space="preserve"> </w:t>
      </w:r>
      <w:r>
        <w:rPr>
          <w:rFonts w:ascii="Arial" w:cs="Arial" w:eastAsia="Arial" w:hAnsi="Arial"/>
          <w:sz w:val="18"/>
          <w:szCs w:val="18"/>
          <w:color w:val="auto"/>
        </w:rPr>
        <w:t>reasonably practicable, but no later than 15 months after the effective date of the Registration Statement, an earnings statement covering a period of 12 months beginning after the effective date of the Registration Statement, in a manner which satisfies the provisions of Section 11(a) of the Securities Act and Rule 158 thereunder;</w:t>
      </w:r>
    </w:p>
    <w:p>
      <w:pPr>
        <w:spacing w:after="0" w:line="48" w:lineRule="exact"/>
        <w:rPr>
          <w:rFonts w:ascii="Arial" w:cs="Arial" w:eastAsia="Arial" w:hAnsi="Arial"/>
          <w:sz w:val="18"/>
          <w:szCs w:val="18"/>
          <w:color w:val="auto"/>
        </w:rPr>
      </w:pPr>
    </w:p>
    <w:p>
      <w:pPr>
        <w:ind w:left="892" w:right="20" w:hanging="446"/>
        <w:spacing w:after="0" w:line="268"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Use its best efforts to cause all such Registrable Securities to be listed on each securities exchange on which similar securities issued by SLB</w:t>
      </w:r>
      <w:r>
        <w:rPr>
          <w:rFonts w:ascii="Arial" w:cs="Arial" w:eastAsia="Arial" w:hAnsi="Arial"/>
          <w:sz w:val="18"/>
          <w:szCs w:val="18"/>
          <w:i w:val="1"/>
          <w:iCs w:val="1"/>
          <w:color w:val="auto"/>
        </w:rPr>
        <w:t xml:space="preserve"> </w:t>
      </w:r>
      <w:r>
        <w:rPr>
          <w:rFonts w:ascii="Arial" w:cs="Arial" w:eastAsia="Arial" w:hAnsi="Arial"/>
          <w:sz w:val="18"/>
          <w:szCs w:val="18"/>
          <w:color w:val="auto"/>
        </w:rPr>
        <w:t>are then listed and if not so listed, to be listed on the NYSE;</w:t>
      </w:r>
    </w:p>
    <w:p>
      <w:pPr>
        <w:spacing w:after="0" w:line="37" w:lineRule="exact"/>
        <w:rPr>
          <w:rFonts w:ascii="Arial" w:cs="Arial" w:eastAsia="Arial" w:hAnsi="Arial"/>
          <w:sz w:val="18"/>
          <w:szCs w:val="18"/>
          <w:color w:val="auto"/>
        </w:rPr>
      </w:pPr>
    </w:p>
    <w:p>
      <w:pPr>
        <w:ind w:left="892" w:right="300" w:hanging="446"/>
        <w:spacing w:after="0" w:line="325" w:lineRule="auto"/>
        <w:tabs>
          <w:tab w:leader="none" w:pos="892" w:val="left"/>
        </w:tabs>
        <w:numPr>
          <w:ilvl w:val="1"/>
          <w:numId w:val="22"/>
        </w:numPr>
        <w:rPr>
          <w:rFonts w:ascii="Arial" w:cs="Arial" w:eastAsia="Arial" w:hAnsi="Arial"/>
          <w:sz w:val="16"/>
          <w:szCs w:val="16"/>
          <w:color w:val="auto"/>
        </w:rPr>
      </w:pPr>
      <w:r>
        <w:rPr>
          <w:rFonts w:ascii="Arial" w:cs="Arial" w:eastAsia="Arial" w:hAnsi="Arial"/>
          <w:sz w:val="16"/>
          <w:szCs w:val="16"/>
          <w:i w:val="1"/>
          <w:iCs w:val="1"/>
          <w:color w:val="auto"/>
        </w:rPr>
        <w:t>Transfer Agent, Registrar and CUSIP</w:t>
      </w:r>
      <w:r>
        <w:rPr>
          <w:rFonts w:ascii="Arial" w:cs="Arial" w:eastAsia="Arial" w:hAnsi="Arial"/>
          <w:sz w:val="16"/>
          <w:szCs w:val="16"/>
          <w:color w:val="auto"/>
        </w:rPr>
        <w:t>. Provide a transfer agent and registrar for all Registrable Securities registered pursuant hereto and a CUSIP</w:t>
      </w:r>
      <w:r>
        <w:rPr>
          <w:rFonts w:ascii="Arial" w:cs="Arial" w:eastAsia="Arial" w:hAnsi="Arial"/>
          <w:sz w:val="16"/>
          <w:szCs w:val="16"/>
          <w:i w:val="1"/>
          <w:iCs w:val="1"/>
          <w:color w:val="auto"/>
        </w:rPr>
        <w:t xml:space="preserve"> </w:t>
      </w:r>
      <w:r>
        <w:rPr>
          <w:rFonts w:ascii="Arial" w:cs="Arial" w:eastAsia="Arial" w:hAnsi="Arial"/>
          <w:sz w:val="16"/>
          <w:szCs w:val="16"/>
          <w:color w:val="auto"/>
        </w:rPr>
        <w:t>number for all such Registrable Securities, in each case, no later than the effective date of such registration;</w:t>
      </w:r>
    </w:p>
    <w:p>
      <w:pPr>
        <w:spacing w:after="0" w:line="1" w:lineRule="exact"/>
        <w:rPr>
          <w:rFonts w:ascii="Arial" w:cs="Arial" w:eastAsia="Arial" w:hAnsi="Arial"/>
          <w:sz w:val="16"/>
          <w:szCs w:val="16"/>
          <w:color w:val="auto"/>
        </w:rPr>
      </w:pPr>
    </w:p>
    <w:p>
      <w:pPr>
        <w:ind w:left="892" w:right="40" w:hanging="446"/>
        <w:spacing w:after="0" w:line="268" w:lineRule="auto"/>
        <w:tabs>
          <w:tab w:leader="none" w:pos="892" w:val="left"/>
        </w:tabs>
        <w:numPr>
          <w:ilvl w:val="1"/>
          <w:numId w:val="22"/>
        </w:numPr>
        <w:rPr>
          <w:rFonts w:ascii="Arial" w:cs="Arial" w:eastAsia="Arial" w:hAnsi="Arial"/>
          <w:sz w:val="18"/>
          <w:szCs w:val="18"/>
          <w:color w:val="auto"/>
        </w:rPr>
      </w:pPr>
      <w:r>
        <w:rPr>
          <w:rFonts w:ascii="Arial" w:cs="Arial" w:eastAsia="Arial" w:hAnsi="Arial"/>
          <w:sz w:val="18"/>
          <w:szCs w:val="18"/>
          <w:i w:val="1"/>
          <w:iCs w:val="1"/>
          <w:color w:val="auto"/>
        </w:rPr>
        <w:t>Commercially Reasonable Efforts</w:t>
      </w:r>
      <w:r>
        <w:rPr>
          <w:rFonts w:ascii="Arial" w:cs="Arial" w:eastAsia="Arial" w:hAnsi="Arial"/>
          <w:sz w:val="18"/>
          <w:szCs w:val="18"/>
          <w:color w:val="auto"/>
        </w:rPr>
        <w:t>. Use commercially reasonable efforts to take all other actions necessary to effect the registration of the Registrable</w:t>
      </w:r>
      <w:r>
        <w:rPr>
          <w:rFonts w:ascii="Arial" w:cs="Arial" w:eastAsia="Arial" w:hAnsi="Arial"/>
          <w:sz w:val="18"/>
          <w:szCs w:val="18"/>
          <w:i w:val="1"/>
          <w:iCs w:val="1"/>
          <w:color w:val="auto"/>
        </w:rPr>
        <w:t xml:space="preserve"> </w:t>
      </w:r>
      <w:r>
        <w:rPr>
          <w:rFonts w:ascii="Arial" w:cs="Arial" w:eastAsia="Arial" w:hAnsi="Arial"/>
          <w:sz w:val="18"/>
          <w:szCs w:val="18"/>
          <w:color w:val="auto"/>
        </w:rPr>
        <w:t>Securities contemplated hereby.</w:t>
      </w:r>
    </w:p>
    <w:p>
      <w:pPr>
        <w:spacing w:after="0" w:line="31" w:lineRule="exact"/>
        <w:rPr>
          <w:rFonts w:ascii="Arial" w:cs="Arial" w:eastAsia="Arial" w:hAnsi="Arial"/>
          <w:sz w:val="18"/>
          <w:szCs w:val="18"/>
          <w:color w:val="auto"/>
        </w:rPr>
      </w:pPr>
    </w:p>
    <w:p>
      <w:pPr>
        <w:ind w:left="452" w:right="120" w:hanging="452"/>
        <w:spacing w:after="0" w:line="275"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b w:val="1"/>
          <w:bCs w:val="1"/>
          <w:color w:val="auto"/>
        </w:rPr>
        <w:t>Seller Information</w:t>
      </w:r>
      <w:r>
        <w:rPr>
          <w:rFonts w:ascii="Arial" w:cs="Arial" w:eastAsia="Arial" w:hAnsi="Arial"/>
          <w:sz w:val="18"/>
          <w:szCs w:val="18"/>
          <w:color w:val="auto"/>
        </w:rPr>
        <w:t>. SLB may require each Holder as to which any registration of such Holder’s Registrable Securities is being effected to furnish to SLB</w:t>
      </w:r>
      <w:r>
        <w:rPr>
          <w:rFonts w:ascii="Arial" w:cs="Arial" w:eastAsia="Arial" w:hAnsi="Arial"/>
          <w:sz w:val="18"/>
          <w:szCs w:val="18"/>
          <w:b w:val="1"/>
          <w:bCs w:val="1"/>
          <w:color w:val="auto"/>
        </w:rPr>
        <w:t xml:space="preserve"> </w:t>
      </w:r>
      <w:r>
        <w:rPr>
          <w:rFonts w:ascii="Arial" w:cs="Arial" w:eastAsia="Arial" w:hAnsi="Arial"/>
          <w:sz w:val="18"/>
          <w:szCs w:val="18"/>
          <w:color w:val="auto"/>
        </w:rPr>
        <w:t>with such information regarding such Holder and such Holder’s method of distribution of such Registrable</w:t>
      </w:r>
    </w:p>
    <w:p>
      <w:pPr>
        <w:spacing w:after="0" w:line="11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92"/>
          </w:cols>
          <w:pgMar w:left="248" w:top="280" w:right="259" w:bottom="1440" w:gutter="0" w:footer="0" w:header="0"/>
        </w:sectPr>
      </w:pPr>
    </w:p>
    <w:bookmarkStart w:id="30" w:name="page31"/>
    <w:bookmarkEnd w:id="30"/>
    <w:p>
      <w:pPr>
        <w:ind w:left="46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Securities as SLB may from time to time reasonably request in writing. If a Holder refuses to provide SLB with any of such information on the grounds that it is not necessary to include such information in the Registration Statement, SLB may exclude such Holder’s Registrable Securities from the Registration Statement if SLB provides such Holder with an opinion of counsel to the effect that such information must be included in the Registration Statement and such Holder continues thereafter to withhold such information. The exclusion of a Holder’s Registrable Securities shall not affect the registration of the other Registrable Securities to be included in the Registration Statement.</w:t>
      </w:r>
    </w:p>
    <w:p>
      <w:pPr>
        <w:spacing w:after="0" w:line="42" w:lineRule="exact"/>
        <w:rPr>
          <w:sz w:val="20"/>
          <w:szCs w:val="20"/>
          <w:color w:val="auto"/>
        </w:rPr>
      </w:pPr>
    </w:p>
    <w:p>
      <w:pPr>
        <w:ind w:left="460" w:right="60" w:hanging="452"/>
        <w:spacing w:after="0" w:line="287" w:lineRule="auto"/>
        <w:tabs>
          <w:tab w:leader="none" w:pos="460" w:val="left"/>
        </w:tabs>
        <w:numPr>
          <w:ilvl w:val="0"/>
          <w:numId w:val="24"/>
        </w:numPr>
        <w:rPr>
          <w:rFonts w:ascii="Arial" w:cs="Arial" w:eastAsia="Arial" w:hAnsi="Arial"/>
          <w:sz w:val="16"/>
          <w:szCs w:val="16"/>
          <w:color w:val="auto"/>
        </w:rPr>
      </w:pPr>
      <w:r>
        <w:rPr>
          <w:rFonts w:ascii="Arial" w:cs="Arial" w:eastAsia="Arial" w:hAnsi="Arial"/>
          <w:sz w:val="16"/>
          <w:szCs w:val="16"/>
          <w:b w:val="1"/>
          <w:bCs w:val="1"/>
          <w:color w:val="auto"/>
        </w:rPr>
        <w:t>Notice to Discontinue</w:t>
      </w:r>
      <w:r>
        <w:rPr>
          <w:rFonts w:ascii="Arial" w:cs="Arial" w:eastAsia="Arial" w:hAnsi="Arial"/>
          <w:sz w:val="16"/>
          <w:szCs w:val="16"/>
          <w:color w:val="auto"/>
        </w:rPr>
        <w:t>. Each Holder whose Registrable Securities are covered by a Registration Statement filed pursuant to this Agreement agrees that,</w:t>
      </w:r>
      <w:r>
        <w:rPr>
          <w:rFonts w:ascii="Arial" w:cs="Arial" w:eastAsia="Arial" w:hAnsi="Arial"/>
          <w:sz w:val="16"/>
          <w:szCs w:val="16"/>
          <w:b w:val="1"/>
          <w:bCs w:val="1"/>
          <w:color w:val="auto"/>
        </w:rPr>
        <w:t xml:space="preserve"> </w:t>
      </w:r>
      <w:r>
        <w:rPr>
          <w:rFonts w:ascii="Arial" w:cs="Arial" w:eastAsia="Arial" w:hAnsi="Arial"/>
          <w:sz w:val="16"/>
          <w:szCs w:val="16"/>
          <w:color w:val="auto"/>
        </w:rPr>
        <w:t>upon receipt of written notice from SLB of the happening of any event of the kind described in Section 1.03(a)(iv), such Holder shall forthwith discontinue the disposition of Registrable Securities until such Holder’s receipt of the copies of the supplemented or amended prospectus contemplated by Section</w:t>
      </w:r>
    </w:p>
    <w:p>
      <w:pPr>
        <w:ind w:left="460" w:right="60"/>
        <w:spacing w:after="0" w:line="295" w:lineRule="auto"/>
        <w:rPr>
          <w:rFonts w:ascii="Arial" w:cs="Arial" w:eastAsia="Arial" w:hAnsi="Arial"/>
          <w:sz w:val="16"/>
          <w:szCs w:val="16"/>
          <w:color w:val="auto"/>
        </w:rPr>
      </w:pPr>
      <w:r>
        <w:rPr>
          <w:rFonts w:ascii="Arial" w:cs="Arial" w:eastAsia="Arial" w:hAnsi="Arial"/>
          <w:sz w:val="16"/>
          <w:szCs w:val="16"/>
          <w:color w:val="auto"/>
        </w:rPr>
        <w:t>1.03(a)(iv) or until it is advised in writing by SLB that the use of the prospectus may be resumed and has received copies of any additional or supplemental filings which are incorporated by reference into the prospectus, and, if so directed by SLB in the case of an event described in Section 1.03(a)(iv), such Holder shall deliver to SLB (at SLB’s expense) all copies, other than permanent file copies then in such Holder’s possession, of the prospectus covering such Registrable Securities which is current at the time of receipt of such notice.</w:t>
      </w:r>
    </w:p>
    <w:p>
      <w:pPr>
        <w:spacing w:after="0" w:line="14" w:lineRule="exact"/>
        <w:rPr>
          <w:rFonts w:ascii="Arial" w:cs="Arial" w:eastAsia="Arial" w:hAnsi="Arial"/>
          <w:sz w:val="16"/>
          <w:szCs w:val="16"/>
          <w:color w:val="auto"/>
        </w:rPr>
      </w:pPr>
    </w:p>
    <w:p>
      <w:pPr>
        <w:ind w:left="460" w:right="180" w:hanging="452"/>
        <w:spacing w:after="0" w:line="275" w:lineRule="auto"/>
        <w:tabs>
          <w:tab w:leader="none" w:pos="460" w:val="left"/>
        </w:tabs>
        <w:numPr>
          <w:ilvl w:val="0"/>
          <w:numId w:val="24"/>
        </w:numPr>
        <w:rPr>
          <w:rFonts w:ascii="Arial" w:cs="Arial" w:eastAsia="Arial" w:hAnsi="Arial"/>
          <w:sz w:val="18"/>
          <w:szCs w:val="18"/>
          <w:color w:val="auto"/>
        </w:rPr>
      </w:pPr>
      <w:r>
        <w:rPr>
          <w:rFonts w:ascii="Arial" w:cs="Arial" w:eastAsia="Arial" w:hAnsi="Arial"/>
          <w:sz w:val="18"/>
          <w:szCs w:val="18"/>
          <w:b w:val="1"/>
          <w:bCs w:val="1"/>
          <w:color w:val="auto"/>
        </w:rPr>
        <w:t>Notice of Proposed Sale</w:t>
      </w:r>
      <w:r>
        <w:rPr>
          <w:rFonts w:ascii="Arial" w:cs="Arial" w:eastAsia="Arial" w:hAnsi="Arial"/>
          <w:sz w:val="18"/>
          <w:szCs w:val="18"/>
          <w:color w:val="auto"/>
        </w:rPr>
        <w:t>. Prior to any sale under a Registration Statement, the Holder of the Registrable Securities to be sold will give SLB two business</w:t>
      </w:r>
      <w:r>
        <w:rPr>
          <w:rFonts w:ascii="Arial" w:cs="Arial" w:eastAsia="Arial" w:hAnsi="Arial"/>
          <w:sz w:val="18"/>
          <w:szCs w:val="18"/>
          <w:b w:val="1"/>
          <w:bCs w:val="1"/>
          <w:color w:val="auto"/>
        </w:rPr>
        <w:t xml:space="preserve"> </w:t>
      </w:r>
      <w:r>
        <w:rPr>
          <w:rFonts w:ascii="Arial" w:cs="Arial" w:eastAsia="Arial" w:hAnsi="Arial"/>
          <w:sz w:val="18"/>
          <w:szCs w:val="18"/>
          <w:color w:val="auto"/>
        </w:rPr>
        <w:t>days’ prior notice of the proposed sale in order to facilitate compliance with the provisions of Section 1.03(a)(iv).</w:t>
      </w:r>
    </w:p>
    <w:p>
      <w:pPr>
        <w:spacing w:after="0" w:line="106" w:lineRule="exact"/>
        <w:rPr>
          <w:sz w:val="20"/>
          <w:szCs w:val="20"/>
          <w:color w:val="auto"/>
        </w:rPr>
      </w:pPr>
    </w:p>
    <w:p>
      <w:pPr>
        <w:ind w:right="360"/>
        <w:spacing w:after="0" w:line="275" w:lineRule="auto"/>
        <w:rPr>
          <w:sz w:val="20"/>
          <w:szCs w:val="20"/>
          <w:color w:val="auto"/>
        </w:rPr>
      </w:pPr>
      <w:r>
        <w:rPr>
          <w:rFonts w:ascii="Arial" w:cs="Arial" w:eastAsia="Arial" w:hAnsi="Arial"/>
          <w:sz w:val="18"/>
          <w:szCs w:val="18"/>
          <w:b w:val="1"/>
          <w:bCs w:val="1"/>
          <w:color w:val="auto"/>
        </w:rPr>
        <w:t xml:space="preserve">Section 1.04 </w:t>
      </w:r>
      <w:r>
        <w:rPr>
          <w:rFonts w:ascii="Arial" w:cs="Arial" w:eastAsia="Arial" w:hAnsi="Arial"/>
          <w:sz w:val="18"/>
          <w:szCs w:val="18"/>
          <w:b w:val="1"/>
          <w:bCs w:val="1"/>
          <w:u w:val="single" w:color="auto"/>
          <w:color w:val="auto"/>
        </w:rPr>
        <w:t>Registration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provided herein, all Registration Expenses shall be borne by SLB. All Selling Expenses relating to</w:t>
      </w:r>
      <w:r>
        <w:rPr>
          <w:rFonts w:ascii="Arial" w:cs="Arial" w:eastAsia="Arial" w:hAnsi="Arial"/>
          <w:sz w:val="18"/>
          <w:szCs w:val="18"/>
          <w:b w:val="1"/>
          <w:bCs w:val="1"/>
          <w:color w:val="auto"/>
        </w:rPr>
        <w:t xml:space="preserve"> </w:t>
      </w:r>
      <w:r>
        <w:rPr>
          <w:rFonts w:ascii="Arial" w:cs="Arial" w:eastAsia="Arial" w:hAnsi="Arial"/>
          <w:sz w:val="18"/>
          <w:szCs w:val="18"/>
          <w:color w:val="auto"/>
        </w:rPr>
        <w:t>Registrable Securities registered shall be borne by the Holders of such Registrable Securities.</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Section1.05 </w:t>
      </w:r>
      <w:r>
        <w:rPr>
          <w:rFonts w:ascii="Arial" w:cs="Arial" w:eastAsia="Arial" w:hAnsi="Arial"/>
          <w:sz w:val="18"/>
          <w:szCs w:val="18"/>
          <w:b w:val="1"/>
          <w:bCs w:val="1"/>
          <w:u w:val="single" w:color="auto"/>
          <w:color w:val="auto"/>
        </w:rPr>
        <w:t>Indemnification</w:t>
      </w:r>
      <w:r>
        <w:rPr>
          <w:rFonts w:ascii="Arial" w:cs="Arial" w:eastAsia="Arial" w:hAnsi="Arial"/>
          <w:sz w:val="18"/>
          <w:szCs w:val="18"/>
          <w:b w:val="1"/>
          <w:bCs w:val="1"/>
          <w:color w:val="auto"/>
        </w:rPr>
        <w:t>.</w:t>
      </w:r>
    </w:p>
    <w:p>
      <w:pPr>
        <w:spacing w:after="0" w:line="77" w:lineRule="exact"/>
        <w:rPr>
          <w:sz w:val="20"/>
          <w:szCs w:val="20"/>
          <w:color w:val="auto"/>
        </w:rPr>
      </w:pPr>
    </w:p>
    <w:p>
      <w:pPr>
        <w:ind w:left="460" w:right="20" w:hanging="452"/>
        <w:spacing w:after="0" w:line="286" w:lineRule="auto"/>
        <w:tabs>
          <w:tab w:leader="none" w:pos="460" w:val="left"/>
        </w:tabs>
        <w:numPr>
          <w:ilvl w:val="0"/>
          <w:numId w:val="25"/>
        </w:numPr>
        <w:rPr>
          <w:rFonts w:ascii="Arial" w:cs="Arial" w:eastAsia="Arial" w:hAnsi="Arial"/>
          <w:sz w:val="16"/>
          <w:szCs w:val="16"/>
          <w:color w:val="auto"/>
        </w:rPr>
      </w:pPr>
      <w:r>
        <w:rPr>
          <w:rFonts w:ascii="Arial" w:cs="Arial" w:eastAsia="Arial" w:hAnsi="Arial"/>
          <w:sz w:val="16"/>
          <w:szCs w:val="16"/>
          <w:b w:val="1"/>
          <w:bCs w:val="1"/>
          <w:color w:val="auto"/>
        </w:rPr>
        <w:t>Indemnification by SLB</w:t>
      </w:r>
      <w:r>
        <w:rPr>
          <w:rFonts w:ascii="Arial" w:cs="Arial" w:eastAsia="Arial" w:hAnsi="Arial"/>
          <w:sz w:val="16"/>
          <w:szCs w:val="16"/>
          <w:color w:val="auto"/>
        </w:rPr>
        <w:t>. SLB agrees, notwithstanding any termination of this Agreement, to indemnify and hold harmless to the fullest extent permitted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by applicable law, each Holder, each of its directors, officers, employees, advisors, agents and general or limited partners (and the directors, officers, employees, advisors and agents thereof), their respective Affiliates and each Person who controls (within the meaning of the Securities Act or the Exchange Act) any of such Persons (collectively, </w:t>
      </w:r>
      <w:r>
        <w:rPr>
          <w:rFonts w:ascii="Arial" w:cs="Arial" w:eastAsia="Arial" w:hAnsi="Arial"/>
          <w:sz w:val="16"/>
          <w:szCs w:val="16"/>
          <w:b w:val="1"/>
          <w:bCs w:val="1"/>
          <w:color w:val="auto"/>
        </w:rPr>
        <w:t>“Holder Indemnified Parties”</w:t>
      </w:r>
      <w:r>
        <w:rPr>
          <w:rFonts w:ascii="Arial" w:cs="Arial" w:eastAsia="Arial" w:hAnsi="Arial"/>
          <w:sz w:val="16"/>
          <w:szCs w:val="16"/>
          <w:color w:val="auto"/>
        </w:rPr>
        <w:t xml:space="preserve">) from and against any and all losses, claims, damages, expenses (including, reasonable costs of investigation and fees, disbursements and other charges of counsel and any amounts paid in settlement effected with SLB’s consent or other liabilities (collectively, </w:t>
      </w:r>
      <w:r>
        <w:rPr>
          <w:rFonts w:ascii="Arial" w:cs="Arial" w:eastAsia="Arial" w:hAnsi="Arial"/>
          <w:sz w:val="16"/>
          <w:szCs w:val="16"/>
          <w:b w:val="1"/>
          <w:bCs w:val="1"/>
          <w:color w:val="auto"/>
        </w:rPr>
        <w:t>“Losses”</w:t>
      </w:r>
      <w:r>
        <w:rPr>
          <w:rFonts w:ascii="Arial" w:cs="Arial" w:eastAsia="Arial" w:hAnsi="Arial"/>
          <w:sz w:val="16"/>
          <w:szCs w:val="16"/>
          <w:color w:val="auto"/>
        </w:rPr>
        <w:t>) to which any such Holder Indemnified Party may become subject under the Securities Act, Exchange Act, any other federal law, any state or common law or any rule or regulation promulgated thereunder or otherwise, insofar as such Losses (or actions or proceedings, whether commenced or threatened, in respect thereof) are resulting from or arising out of or based upon any untrue, or alleged untrue, statement of a material fact contained in the Registration Statement, prospectus or preliminary prospectus (as amended or supplemented) or any document incorporated by reference in any of the foregoing or resulting from or arising out of or based upon any omission or alleged omission to state therein a material fact required to be stated therein or necessary to make the statements therein (in the case of a prospectus, in light of the circumstances under which they were made), not misleading, and in any such case, SLB will promptly reimburse each such Holder Indemnified Party for any legal and any other Losses reasonably incurred in connection with investigating, preparing or defending any such claim, loss, damage, liability, action or investigation or proceeding (collectively, a</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0" w:right="239" w:bottom="1440" w:gutter="0" w:footer="0" w:header="0"/>
        </w:sectPr>
      </w:pPr>
    </w:p>
    <w:bookmarkStart w:id="31" w:name="page32"/>
    <w:bookmarkEnd w:id="31"/>
    <w:p>
      <w:pPr>
        <w:ind w:left="452" w:right="200"/>
        <w:spacing w:after="0" w:line="275"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“Claim”</w:t>
      </w:r>
      <w:r>
        <w:rPr>
          <w:rFonts w:ascii="Arial" w:cs="Arial" w:eastAsia="Arial" w:hAnsi="Arial"/>
          <w:sz w:val="18"/>
          <w:szCs w:val="18"/>
          <w:color w:val="auto"/>
        </w:rPr>
        <w:t>). Such indemnity obligation shall remain in full force and effect regardless of any investigation made by or on behalf of the Holder Indemnified</w:t>
      </w:r>
      <w:r>
        <w:rPr>
          <w:rFonts w:ascii="Arial" w:cs="Arial" w:eastAsia="Arial" w:hAnsi="Arial"/>
          <w:sz w:val="18"/>
          <w:szCs w:val="18"/>
          <w:b w:val="1"/>
          <w:bCs w:val="1"/>
          <w:color w:val="auto"/>
        </w:rPr>
        <w:t xml:space="preserve"> </w:t>
      </w:r>
      <w:r>
        <w:rPr>
          <w:rFonts w:ascii="Arial" w:cs="Arial" w:eastAsia="Arial" w:hAnsi="Arial"/>
          <w:sz w:val="18"/>
          <w:szCs w:val="18"/>
          <w:color w:val="auto"/>
        </w:rPr>
        <w:t>Parties and shall survive the transfer of Registrable Securities by such Holder Indemnified Parties.</w:t>
      </w:r>
    </w:p>
    <w:p>
      <w:pPr>
        <w:spacing w:after="0" w:line="25" w:lineRule="exact"/>
        <w:rPr>
          <w:sz w:val="20"/>
          <w:szCs w:val="20"/>
          <w:color w:val="auto"/>
        </w:rPr>
      </w:pPr>
    </w:p>
    <w:p>
      <w:pPr>
        <w:ind w:left="452" w:hanging="452"/>
        <w:spacing w:after="0" w:line="287" w:lineRule="auto"/>
        <w:tabs>
          <w:tab w:leader="none" w:pos="452"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Indemnification by Holders</w:t>
      </w:r>
      <w:r>
        <w:rPr>
          <w:rFonts w:ascii="Arial" w:cs="Arial" w:eastAsia="Arial" w:hAnsi="Arial"/>
          <w:sz w:val="16"/>
          <w:szCs w:val="16"/>
          <w:color w:val="auto"/>
        </w:rPr>
        <w:t>. In connection with any proposed registration in which a Holder is participating pursuant to this Agreement, each such Holder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shall furnish to SLB in writing such information with respect to such Holder as SLB may reasonably request or as may be required by law for use in connection with the Registration Statement or prospectus or preliminary prospectus to be used in connection with such registration and each Holder agrees, severally and not jointly, to indemnify and hold harmless SLB and its directors, officers, partners, employees, advisors and agents, their respective Affiliates and each Person who controls (within the meaning of the Securities Act or the Exchange Act) any of such Persons to the same extent as the foregoing indemnity from SLB to the Holders as set forth in Section 1.05(a) (subject to the exceptions set forth in the foregoing indemnity, the proviso to this sentence and applicable law), but only with respect to any such information furnished in writing by such Holder expressly for use therein;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such liability is directly caused by such Holder’s wilful or intentional misconduct, the liability of any such Holder under this Section shall be limited to the amount of the net proceeds received by such Holder in the offering giving rise to such liability. Such indemnity obligation shall remain in full force and effect regardless of any investigation made by or on behalf of the Holder Indemnified Parties (except as provided above) and shall survive the transfer of Registrable Securities by such Holder.</w:t>
      </w:r>
    </w:p>
    <w:p>
      <w:pPr>
        <w:spacing w:after="0" w:line="24" w:lineRule="exact"/>
        <w:rPr>
          <w:rFonts w:ascii="Arial" w:cs="Arial" w:eastAsia="Arial" w:hAnsi="Arial"/>
          <w:sz w:val="16"/>
          <w:szCs w:val="16"/>
          <w:color w:val="auto"/>
        </w:rPr>
      </w:pPr>
    </w:p>
    <w:p>
      <w:pPr>
        <w:ind w:left="452" w:right="40" w:hanging="452"/>
        <w:spacing w:after="0" w:line="285" w:lineRule="auto"/>
        <w:tabs>
          <w:tab w:leader="none" w:pos="452" w:val="left"/>
        </w:tabs>
        <w:numPr>
          <w:ilvl w:val="0"/>
          <w:numId w:val="26"/>
        </w:numPr>
        <w:rPr>
          <w:rFonts w:ascii="Arial" w:cs="Arial" w:eastAsia="Arial" w:hAnsi="Arial"/>
          <w:sz w:val="16"/>
          <w:szCs w:val="16"/>
          <w:color w:val="auto"/>
        </w:rPr>
      </w:pPr>
      <w:r>
        <w:rPr>
          <w:rFonts w:ascii="Arial" w:cs="Arial" w:eastAsia="Arial" w:hAnsi="Arial"/>
          <w:sz w:val="16"/>
          <w:szCs w:val="16"/>
          <w:b w:val="1"/>
          <w:bCs w:val="1"/>
          <w:color w:val="auto"/>
        </w:rPr>
        <w:t>Conduct of Indemnification Proceedings</w:t>
      </w:r>
      <w:r>
        <w:rPr>
          <w:rFonts w:ascii="Arial" w:cs="Arial" w:eastAsia="Arial" w:hAnsi="Arial"/>
          <w:sz w:val="16"/>
          <w:szCs w:val="16"/>
          <w:color w:val="auto"/>
        </w:rPr>
        <w:t>. Any Person entitled to indemnification hereunder (the</w:t>
      </w:r>
      <w:r>
        <w:rPr>
          <w:rFonts w:ascii="Arial" w:cs="Arial" w:eastAsia="Arial" w:hAnsi="Arial"/>
          <w:sz w:val="16"/>
          <w:szCs w:val="16"/>
          <w:b w:val="1"/>
          <w:bCs w:val="1"/>
          <w:color w:val="auto"/>
        </w:rPr>
        <w:t xml:space="preserve"> “Indemnified Party”</w:t>
      </w:r>
      <w:r>
        <w:rPr>
          <w:rFonts w:ascii="Arial" w:cs="Arial" w:eastAsia="Arial" w:hAnsi="Arial"/>
          <w:sz w:val="16"/>
          <w:szCs w:val="16"/>
          <w:color w:val="auto"/>
        </w:rPr>
        <w:t>) agrees to give prompt written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notice to the indemnifying party (the </w:t>
      </w:r>
      <w:r>
        <w:rPr>
          <w:rFonts w:ascii="Arial" w:cs="Arial" w:eastAsia="Arial" w:hAnsi="Arial"/>
          <w:sz w:val="16"/>
          <w:szCs w:val="16"/>
          <w:b w:val="1"/>
          <w:bCs w:val="1"/>
          <w:color w:val="auto"/>
        </w:rPr>
        <w:t>“Indemnifying Party”</w:t>
      </w:r>
      <w:r>
        <w:rPr>
          <w:rFonts w:ascii="Arial" w:cs="Arial" w:eastAsia="Arial" w:hAnsi="Arial"/>
          <w:sz w:val="16"/>
          <w:szCs w:val="16"/>
          <w:color w:val="auto"/>
        </w:rPr>
        <w:t xml:space="preserve">) after the receipt by the Indemnified Party of any written notice of the commencement of any action, suit, proceeding or investigation or threat thereof made in writing for which the Indemnified Party intends to claim indemnification or contribution pursuant to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so to notify the Indemnifying Party shall not relieve the Indemnifying Party of any liability that it may have to the Indemnified Party hereunder unless and to the extent such Indemnifying Party is materially prejudiced by such failure. If notice of commencement of any such action is given to the Indemnifying Party as above provided, the Indemnifying Party shall be entitled to participate in and, to the extent it may wish, to assume the defense of such action at its own expense, with counsel chosen by it and reasonably satisfactory to such Indemnified Party. The Indemnified Party shall have the right to employ separate counsel in any such action and participate in the defense thereof, but the fees and expenses of such counsel shall be paid by the Indemnified Party unless (i) the Indemnifying Party agrees to pay the same, (ii) the Indemnifying Party fails to assume the defense of such action with counsel satisfactory to the Indemnified Party in its reasonable judgment or (iii) the named parties to any such action (including, but not limited to, any impleaded parties) reasonably believe that the representation of such Indemnified Party and the Indemnifying Party by the same counsel would be inappropriate under applicable standards of professional conduct. In the case of clause (ii) above and (iii) above, the Indemnifying Party shall not have the right to assume the defense of such action on behalf of such Indemnified Party. No Indemnifying Party shall be liable for any settlement entered into without its written consent.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 (A) includes an unconditional release of the Indemnified Party from all liability arising out of such action or claim and (B) does not include a statement as to, or an admission of, fault, culpability or a failure to act by</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12"/>
          </w:cols>
          <w:pgMar w:left="248" w:top="274" w:right="239" w:bottom="1440" w:gutter="0" w:footer="0" w:header="0"/>
        </w:sectPr>
      </w:pPr>
    </w:p>
    <w:bookmarkStart w:id="32" w:name="page33"/>
    <w:bookmarkEnd w:id="32"/>
    <w:p>
      <w:pPr>
        <w:ind w:left="460" w:right="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or on behalf of any Indemnified Party. The rights afforded to any Indemnified Party hereunder shall be in addition to any rights that such Indemnified Party may have at common law, by separate agreement or otherwise.</w:t>
      </w:r>
    </w:p>
    <w:p>
      <w:pPr>
        <w:spacing w:after="0" w:line="31" w:lineRule="exact"/>
        <w:rPr>
          <w:sz w:val="20"/>
          <w:szCs w:val="20"/>
          <w:color w:val="auto"/>
        </w:rPr>
      </w:pPr>
    </w:p>
    <w:p>
      <w:pPr>
        <w:ind w:left="460" w:hanging="452"/>
        <w:spacing w:after="0" w:line="287" w:lineRule="auto"/>
        <w:tabs>
          <w:tab w:leader="none" w:pos="460" w:val="left"/>
        </w:tabs>
        <w:numPr>
          <w:ilvl w:val="0"/>
          <w:numId w:val="27"/>
        </w:numPr>
        <w:rPr>
          <w:rFonts w:ascii="Arial" w:cs="Arial" w:eastAsia="Arial" w:hAnsi="Arial"/>
          <w:sz w:val="16"/>
          <w:szCs w:val="16"/>
          <w:color w:val="auto"/>
        </w:rPr>
      </w:pPr>
      <w:r>
        <w:rPr>
          <w:rFonts w:ascii="Arial" w:cs="Arial" w:eastAsia="Arial" w:hAnsi="Arial"/>
          <w:sz w:val="16"/>
          <w:szCs w:val="16"/>
          <w:b w:val="1"/>
          <w:bCs w:val="1"/>
          <w:color w:val="auto"/>
        </w:rPr>
        <w:t>Contribution</w:t>
      </w:r>
      <w:r>
        <w:rPr>
          <w:rFonts w:ascii="Arial" w:cs="Arial" w:eastAsia="Arial" w:hAnsi="Arial"/>
          <w:sz w:val="16"/>
          <w:szCs w:val="16"/>
          <w:color w:val="auto"/>
        </w:rPr>
        <w:t>. (i) If the indemnification provided for in this Section 1.05 from the Indemnifying Party is unavailable or insufficient to hold harmless an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Indemnified Party in respect of any Losses referred to herein, then the Indemnifying Party, in lieu of indemnifying the Indemnified Party, shall contribute to the amount paid or payable by the Indemnified Party as a result of such Losses in such proportion as is appropriate to reflect the relative fault of the Indemnifying Party and the Indemnified Party, as well as any other relevant equitable considerations. The relative faults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unless such liability is directly caused by such Holder’s wilful or intentional misconduct, the liability of any such Holder under this Section 1.05(d) shall be limited to the amount of the net proceeds received by such Holder in the offering giving rise to such liability. The amount paid or payable by a party as a result of the Losses or other liabilities referred to above shall be deemed to include, subject to the limitations set forth in Sections 1.05(a), (b) and (c), any legal or other fees, charges or expenses reasonably incurred by such party in connection with any investigation or proceeding.</w:t>
      </w:r>
    </w:p>
    <w:p>
      <w:pPr>
        <w:spacing w:after="0" w:line="26" w:lineRule="exact"/>
        <w:rPr>
          <w:rFonts w:ascii="Arial" w:cs="Arial" w:eastAsia="Arial" w:hAnsi="Arial"/>
          <w:sz w:val="16"/>
          <w:szCs w:val="16"/>
          <w:color w:val="auto"/>
        </w:rPr>
      </w:pPr>
    </w:p>
    <w:p>
      <w:pPr>
        <w:jc w:val="both"/>
        <w:ind w:left="900" w:right="40" w:hanging="446"/>
        <w:spacing w:after="0" w:line="256" w:lineRule="auto"/>
        <w:tabs>
          <w:tab w:leader="none" w:pos="900" w:val="left"/>
        </w:tabs>
        <w:numPr>
          <w:ilvl w:val="1"/>
          <w:numId w:val="27"/>
        </w:numPr>
        <w:rPr>
          <w:rFonts w:ascii="Arial" w:cs="Arial" w:eastAsia="Arial" w:hAnsi="Arial"/>
          <w:sz w:val="18"/>
          <w:szCs w:val="18"/>
          <w:color w:val="auto"/>
        </w:rPr>
      </w:pPr>
      <w:r>
        <w:rPr>
          <w:rFonts w:ascii="Arial" w:cs="Arial" w:eastAsia="Arial" w:hAnsi="Arial"/>
          <w:sz w:val="18"/>
          <w:szCs w:val="18"/>
          <w:color w:val="auto"/>
        </w:rPr>
        <w:t xml:space="preserve">The parties hereto agree that it would not be just and equitable if contribution pursuant to this Section 1.05(d) were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pursuant to this Section 1.05(d).</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Section1.06 </w:t>
      </w:r>
      <w:r>
        <w:rPr>
          <w:rFonts w:ascii="Arial" w:cs="Arial" w:eastAsia="Arial" w:hAnsi="Arial"/>
          <w:sz w:val="18"/>
          <w:szCs w:val="18"/>
          <w:b w:val="1"/>
          <w:bCs w:val="1"/>
          <w:u w:val="single" w:color="auto"/>
          <w:color w:val="auto"/>
        </w:rPr>
        <w:t>Rule 144 and Rule 144A; Other Exemptions</w:t>
      </w:r>
      <w:r>
        <w:rPr>
          <w:rFonts w:ascii="Arial" w:cs="Arial" w:eastAsia="Arial" w:hAnsi="Arial"/>
          <w:sz w:val="18"/>
          <w:szCs w:val="18"/>
          <w:b w:val="1"/>
          <w:bCs w:val="1"/>
          <w:color w:val="auto"/>
        </w:rPr>
        <w:t>.</w:t>
      </w:r>
    </w:p>
    <w:p>
      <w:pPr>
        <w:spacing w:after="0" w:line="164"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With a view to making available to the Holders the benefits of Rule 144 and Rule 144A promulgated under the Securities Act and other rules and regulations of the SEC that may at any time permit a Holder to sell securities of SLB to the public without registration, SLB shall (i) file in a timely manner all reports and other documents required to be filed by it under the Securities Act and the Exchange Act and the rules and regulations adopted by the SEC thereunder and (ii) take such further action as each Holder may reasonably request (including, but not limited to, providing any information necessary to comply with Rule 144 and Rule 144A, if available with respect to resales of the Registrable Securities under the Securities Act), all to the extent required from time to time to enable such Holder to sell Registrable Securities without registration under the Securities Act within the limitation of the exemptions provided by (x) Rule 144 and Rule 144A (if available with respect to resales of the Registrable Securities) under the Securities Act, as such rules may be amended from time to time or (y) any other rules or regulations now existing or hereafter adopted by the SEC. Upon the written request of a Holder, SLB shall deliver to the Holder a written statement as to whether it has complied with such requirements.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0" w:right="239" w:bottom="1440" w:gutter="0" w:footer="0" w:header="0"/>
        </w:sectPr>
      </w:pPr>
    </w:p>
    <w:bookmarkStart w:id="33" w:name="page34"/>
    <w:bookmarkEnd w:id="33"/>
    <w:p>
      <w:pPr>
        <w:ind w:right="20"/>
        <w:spacing w:after="0" w:line="26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 xml:space="preserve">Section 1.07 </w:t>
      </w:r>
      <w:r>
        <w:rPr>
          <w:rFonts w:ascii="Arial" w:cs="Arial" w:eastAsia="Arial" w:hAnsi="Arial"/>
          <w:sz w:val="18"/>
          <w:szCs w:val="18"/>
          <w:b w:val="1"/>
          <w:bCs w:val="1"/>
          <w:u w:val="single" w:color="auto"/>
          <w:color w:val="auto"/>
        </w:rPr>
        <w:t>Transfer of Registration Rights</w:t>
      </w:r>
      <w:r>
        <w:rPr>
          <w:rFonts w:ascii="Arial" w:cs="Arial" w:eastAsia="Arial" w:hAnsi="Arial"/>
          <w:sz w:val="18"/>
          <w:szCs w:val="18"/>
          <w:color w:val="auto"/>
        </w:rPr>
        <w:t>. The rights of a Holder hereunder may be transferred or assigned in connection with a transfer of Registrable</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to any family member or trust for the benefit of any Holder. Any permitted transferee or assignee shall promptly execute a counterpart of this Agreement.</w:t>
      </w:r>
    </w:p>
    <w:p>
      <w:pPr>
        <w:spacing w:after="0" w:line="119"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ARTICLE 2. GENERAL PROVISIONS</w:t>
      </w:r>
    </w:p>
    <w:p>
      <w:pPr>
        <w:spacing w:after="0" w:line="158" w:lineRule="exact"/>
        <w:rPr>
          <w:sz w:val="20"/>
          <w:szCs w:val="20"/>
          <w:color w:val="auto"/>
        </w:rPr>
      </w:pPr>
    </w:p>
    <w:p>
      <w:pPr>
        <w:jc w:val="both"/>
        <w:spacing w:after="0" w:line="262" w:lineRule="auto"/>
        <w:rPr>
          <w:sz w:val="20"/>
          <w:szCs w:val="20"/>
          <w:color w:val="auto"/>
        </w:rPr>
      </w:pPr>
      <w:r>
        <w:rPr>
          <w:rFonts w:ascii="Arial" w:cs="Arial" w:eastAsia="Arial" w:hAnsi="Arial"/>
          <w:sz w:val="18"/>
          <w:szCs w:val="18"/>
          <w:b w:val="1"/>
          <w:bCs w:val="1"/>
          <w:color w:val="auto"/>
        </w:rPr>
        <w:t xml:space="preserve">Section 2.01 </w:t>
      </w:r>
      <w:r>
        <w:rPr>
          <w:rFonts w:ascii="Arial" w:cs="Arial" w:eastAsia="Arial" w:hAnsi="Arial"/>
          <w:sz w:val="18"/>
          <w:szCs w:val="18"/>
          <w:b w:val="1"/>
          <w:bCs w:val="1"/>
          <w:u w:val="single" w:color="auto"/>
          <w:color w:val="auto"/>
        </w:rPr>
        <w:t>Notices</w:t>
      </w:r>
      <w:r>
        <w:rPr>
          <w:rFonts w:ascii="Arial" w:cs="Arial" w:eastAsia="Arial" w:hAnsi="Arial"/>
          <w:sz w:val="18"/>
          <w:szCs w:val="18"/>
          <w:color w:val="auto"/>
        </w:rPr>
        <w:t>. All notices, requests, claims, demands and other communications hereunder shall be in writing and shall be deemed to have been duly</w:t>
      </w:r>
      <w:r>
        <w:rPr>
          <w:rFonts w:ascii="Arial" w:cs="Arial" w:eastAsia="Arial" w:hAnsi="Arial"/>
          <w:sz w:val="18"/>
          <w:szCs w:val="18"/>
          <w:b w:val="1"/>
          <w:bCs w:val="1"/>
          <w:color w:val="auto"/>
        </w:rPr>
        <w:t xml:space="preserve"> </w:t>
      </w:r>
      <w:r>
        <w:rPr>
          <w:rFonts w:ascii="Arial" w:cs="Arial" w:eastAsia="Arial" w:hAnsi="Arial"/>
          <w:sz w:val="18"/>
          <w:szCs w:val="18"/>
          <w:color w:val="auto"/>
        </w:rPr>
        <w:t>given or made upon receipt when personally delivered, delivered by reputable international courier service, or by telecopy to the respective Parties hereto as follows:</w:t>
      </w:r>
    </w:p>
    <w:p>
      <w:pPr>
        <w:spacing w:after="0" w:line="44" w:lineRule="exact"/>
        <w:rPr>
          <w:sz w:val="20"/>
          <w:szCs w:val="20"/>
          <w:color w:val="auto"/>
        </w:rPr>
      </w:pPr>
    </w:p>
    <w:p>
      <w:pPr>
        <w:ind w:left="900" w:hanging="446"/>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u w:val="single" w:color="auto"/>
          <w:color w:val="auto"/>
        </w:rPr>
        <w:t>SLB</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153 East 53rd Street (57th floor)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New York, NY 10022-4624</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United States of America</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General Counsel</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No.: (1-212) 350-9400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(1-212) 350-8127</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Schlumberger Limited</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Legal department</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42, rue St. Dominique</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75007 Paris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France</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Robert Villard, Deputy General Counsel</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No.: (33-1) 4062-1235</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(33-1) 4062-1030</w:t>
      </w:r>
    </w:p>
    <w:p>
      <w:pPr>
        <w:spacing w:after="0" w:line="70" w:lineRule="exact"/>
        <w:rPr>
          <w:sz w:val="20"/>
          <w:szCs w:val="20"/>
          <w:color w:val="auto"/>
        </w:rPr>
      </w:pPr>
    </w:p>
    <w:p>
      <w:pPr>
        <w:ind w:left="900" w:hanging="446"/>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u w:val="single" w:color="auto"/>
          <w:color w:val="auto"/>
        </w:rPr>
        <w:t>Sellers</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care of the PAS Shareholder Representative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PetroAlliance Services Company Limited</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Narodnogo Opolchenia ulitsa 40/3</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123298 Moscow</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Russian Federation</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Alexander Yulievich Djaparidze</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No.: (7-095) 192-8081</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(7-095) 192-8056</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u w:val="single" w:color="auto"/>
          <w:color w:val="auto"/>
        </w:rPr>
        <w:t>with a copy to</w:t>
      </w:r>
      <w:r>
        <w:rPr>
          <w:rFonts w:ascii="Arial" w:cs="Arial" w:eastAsia="Arial" w:hAnsi="Arial"/>
          <w:sz w:val="18"/>
          <w:szCs w:val="18"/>
          <w:color w:val="auto"/>
        </w:rPr>
        <w:t>:</w:t>
      </w:r>
    </w:p>
    <w:p>
      <w:pPr>
        <w:spacing w:after="0" w:line="7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Haynes and Boone LLP</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One Houston Center</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1221 McKinney</w:t>
      </w:r>
    </w:p>
    <w:p>
      <w:pPr>
        <w:spacing w:after="0" w:line="151"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000"/>
          </w:cols>
          <w:pgMar w:left="240" w:top="274" w:right="659" w:bottom="1440" w:gutter="0" w:footer="0" w:header="0"/>
        </w:sectPr>
      </w:pPr>
    </w:p>
    <w:bookmarkStart w:id="34" w:name="page35"/>
    <w:bookmarkEnd w:id="34"/>
    <w:p>
      <w:pPr>
        <w:ind w:left="9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Suite 2100</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Houston, Texas</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USA 77010</w:t>
      </w:r>
    </w:p>
    <w:p>
      <w:pPr>
        <w:spacing w:after="0" w:line="70" w:lineRule="exact"/>
        <w:rPr>
          <w:sz w:val="20"/>
          <w:szCs w:val="20"/>
          <w:color w:val="auto"/>
        </w:rPr>
      </w:pPr>
    </w:p>
    <w:p>
      <w:pPr>
        <w:ind w:left="920"/>
        <w:spacing w:after="0"/>
        <w:rPr>
          <w:sz w:val="20"/>
          <w:szCs w:val="20"/>
          <w:color w:val="auto"/>
        </w:rPr>
      </w:pPr>
      <w:r>
        <w:rPr>
          <w:rFonts w:ascii="Arial" w:cs="Arial" w:eastAsia="Arial" w:hAnsi="Arial"/>
          <w:sz w:val="18"/>
          <w:szCs w:val="18"/>
          <w:color w:val="auto"/>
        </w:rPr>
        <w:t>Attention: S. Douglas Stinemetz</w:t>
      </w:r>
    </w:p>
    <w:p>
      <w:pPr>
        <w:spacing w:after="0" w:line="15"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Tel No.: (1-713) 547-2208</w:t>
      </w:r>
    </w:p>
    <w:p>
      <w:pPr>
        <w:spacing w:after="0" w:line="9" w:lineRule="exact"/>
        <w:rPr>
          <w:sz w:val="20"/>
          <w:szCs w:val="20"/>
          <w:color w:val="auto"/>
        </w:rPr>
      </w:pPr>
    </w:p>
    <w:p>
      <w:pPr>
        <w:ind w:left="920"/>
        <w:spacing w:after="0"/>
        <w:rPr>
          <w:sz w:val="20"/>
          <w:szCs w:val="20"/>
          <w:color w:val="auto"/>
        </w:rPr>
      </w:pPr>
      <w:r>
        <w:rPr>
          <w:rFonts w:ascii="Arial" w:cs="Arial" w:eastAsia="Arial" w:hAnsi="Arial"/>
          <w:sz w:val="18"/>
          <w:szCs w:val="18"/>
          <w:color w:val="auto"/>
        </w:rPr>
        <w:t>Fax No.: (1-713) 236-5553</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or to such other address as to any party hereto as such party shall designate by 5 Business Days’ notice to the other Parties hereto.</w:t>
      </w:r>
    </w:p>
    <w:p>
      <w:pPr>
        <w:spacing w:after="0" w:line="152" w:lineRule="exact"/>
        <w:rPr>
          <w:sz w:val="20"/>
          <w:szCs w:val="20"/>
          <w:color w:val="auto"/>
        </w:rPr>
      </w:pPr>
    </w:p>
    <w:p>
      <w:pPr>
        <w:ind w:right="360"/>
        <w:spacing w:after="0" w:line="339" w:lineRule="auto"/>
        <w:rPr>
          <w:sz w:val="20"/>
          <w:szCs w:val="20"/>
          <w:color w:val="auto"/>
        </w:rPr>
      </w:pPr>
      <w:r>
        <w:rPr>
          <w:rFonts w:ascii="Arial" w:cs="Arial" w:eastAsia="Arial" w:hAnsi="Arial"/>
          <w:sz w:val="16"/>
          <w:szCs w:val="16"/>
          <w:b w:val="1"/>
          <w:bCs w:val="1"/>
          <w:color w:val="auto"/>
        </w:rPr>
        <w:t xml:space="preserve">Section 2.02 </w:t>
      </w:r>
      <w:r>
        <w:rPr>
          <w:rFonts w:ascii="Arial" w:cs="Arial" w:eastAsia="Arial" w:hAnsi="Arial"/>
          <w:sz w:val="16"/>
          <w:szCs w:val="16"/>
          <w:b w:val="1"/>
          <w:bCs w:val="1"/>
          <w:u w:val="single" w:color="auto"/>
          <w:color w:val="auto"/>
        </w:rPr>
        <w:t>Governing Law</w:t>
      </w:r>
      <w:r>
        <w:rPr>
          <w:rFonts w:ascii="Arial" w:cs="Arial" w:eastAsia="Arial" w:hAnsi="Arial"/>
          <w:sz w:val="16"/>
          <w:szCs w:val="16"/>
          <w:color w:val="auto"/>
        </w:rPr>
        <w:t>. This Agreement and the performance of the transactions and the obligations of the Parties hereunder will be governed by and</w:t>
      </w:r>
      <w:r>
        <w:rPr>
          <w:rFonts w:ascii="Arial" w:cs="Arial" w:eastAsia="Arial" w:hAnsi="Arial"/>
          <w:sz w:val="16"/>
          <w:szCs w:val="16"/>
          <w:b w:val="1"/>
          <w:bCs w:val="1"/>
          <w:color w:val="auto"/>
        </w:rPr>
        <w:t xml:space="preserve"> </w:t>
      </w:r>
      <w:r>
        <w:rPr>
          <w:rFonts w:ascii="Arial" w:cs="Arial" w:eastAsia="Arial" w:hAnsi="Arial"/>
          <w:sz w:val="16"/>
          <w:szCs w:val="16"/>
          <w:color w:val="auto"/>
        </w:rPr>
        <w:t>construed and enforced in accordance with the laws of the State of New York, without giving effect to any choice of law principles.</w:t>
      </w:r>
    </w:p>
    <w:p>
      <w:pPr>
        <w:spacing w:after="0" w:line="61" w:lineRule="exact"/>
        <w:rPr>
          <w:sz w:val="20"/>
          <w:szCs w:val="20"/>
          <w:color w:val="auto"/>
        </w:rPr>
      </w:pPr>
    </w:p>
    <w:p>
      <w:pPr>
        <w:ind w:right="60"/>
        <w:spacing w:after="0" w:line="310" w:lineRule="auto"/>
        <w:rPr>
          <w:sz w:val="20"/>
          <w:szCs w:val="20"/>
          <w:color w:val="auto"/>
        </w:rPr>
      </w:pPr>
      <w:r>
        <w:rPr>
          <w:rFonts w:ascii="Arial" w:cs="Arial" w:eastAsia="Arial" w:hAnsi="Arial"/>
          <w:sz w:val="16"/>
          <w:szCs w:val="16"/>
          <w:b w:val="1"/>
          <w:bCs w:val="1"/>
          <w:color w:val="auto"/>
        </w:rPr>
        <w:t xml:space="preserve">Section 2.03 </w:t>
      </w:r>
      <w:r>
        <w:rPr>
          <w:rFonts w:ascii="Arial" w:cs="Arial" w:eastAsia="Arial" w:hAnsi="Arial"/>
          <w:sz w:val="16"/>
          <w:szCs w:val="16"/>
          <w:b w:val="1"/>
          <w:bCs w:val="1"/>
          <w:u w:val="single" w:color="auto"/>
          <w:color w:val="auto"/>
        </w:rPr>
        <w:t>Entire Agreement</w:t>
      </w:r>
      <w:r>
        <w:rPr>
          <w:rFonts w:ascii="Arial" w:cs="Arial" w:eastAsia="Arial" w:hAnsi="Arial"/>
          <w:sz w:val="16"/>
          <w:szCs w:val="16"/>
          <w:color w:val="auto"/>
        </w:rPr>
        <w:t>. This Agreement and the Share Sale Agreement constitutes the entire agreement and understanding of the Parties hereto in</w:t>
      </w:r>
      <w:r>
        <w:rPr>
          <w:rFonts w:ascii="Arial" w:cs="Arial" w:eastAsia="Arial" w:hAnsi="Arial"/>
          <w:sz w:val="16"/>
          <w:szCs w:val="16"/>
          <w:b w:val="1"/>
          <w:bCs w:val="1"/>
          <w:color w:val="auto"/>
        </w:rPr>
        <w:t xml:space="preserve"> </w:t>
      </w:r>
      <w:r>
        <w:rPr>
          <w:rFonts w:ascii="Arial" w:cs="Arial" w:eastAsia="Arial" w:hAnsi="Arial"/>
          <w:sz w:val="16"/>
          <w:szCs w:val="16"/>
          <w:color w:val="auto"/>
        </w:rPr>
        <w:t>respect of their respective subject matters and supersedes all prior understandings, agreements, or representations by or among the Parties hereto, written or oral, to the extent they relate in any way to the subject matter hereof or the transactions contemplated hereby.</w:t>
      </w:r>
    </w:p>
    <w:p>
      <w:pPr>
        <w:spacing w:after="0" w:line="84" w:lineRule="exact"/>
        <w:rPr>
          <w:sz w:val="20"/>
          <w:szCs w:val="20"/>
          <w:color w:val="auto"/>
        </w:rPr>
      </w:pPr>
    </w:p>
    <w:p>
      <w:pPr>
        <w:ind w:right="200"/>
        <w:spacing w:after="0" w:line="275" w:lineRule="auto"/>
        <w:rPr>
          <w:sz w:val="20"/>
          <w:szCs w:val="20"/>
          <w:color w:val="auto"/>
        </w:rPr>
      </w:pPr>
      <w:r>
        <w:rPr>
          <w:rFonts w:ascii="Arial" w:cs="Arial" w:eastAsia="Arial" w:hAnsi="Arial"/>
          <w:sz w:val="18"/>
          <w:szCs w:val="18"/>
          <w:b w:val="1"/>
          <w:bCs w:val="1"/>
          <w:color w:val="auto"/>
        </w:rPr>
        <w:t xml:space="preserve">Section 2.04 </w:t>
      </w:r>
      <w:r>
        <w:rPr>
          <w:rFonts w:ascii="Arial" w:cs="Arial" w:eastAsia="Arial" w:hAnsi="Arial"/>
          <w:sz w:val="18"/>
          <w:szCs w:val="18"/>
          <w:b w:val="1"/>
          <w:bCs w:val="1"/>
          <w:u w:val="single" w:color="auto"/>
          <w:color w:val="auto"/>
        </w:rPr>
        <w:t>Counterparts</w:t>
      </w:r>
      <w:r>
        <w:rPr>
          <w:rFonts w:ascii="Arial" w:cs="Arial" w:eastAsia="Arial" w:hAnsi="Arial"/>
          <w:sz w:val="18"/>
          <w:szCs w:val="18"/>
          <w:color w:val="auto"/>
        </w:rPr>
        <w:t>. This Agreement may be executed in two or more counterparts, each of which will be deemed an original but all of which together</w:t>
      </w:r>
      <w:r>
        <w:rPr>
          <w:rFonts w:ascii="Arial" w:cs="Arial" w:eastAsia="Arial" w:hAnsi="Arial"/>
          <w:sz w:val="18"/>
          <w:szCs w:val="18"/>
          <w:b w:val="1"/>
          <w:bCs w:val="1"/>
          <w:color w:val="auto"/>
        </w:rPr>
        <w:t xml:space="preserve"> </w:t>
      </w:r>
      <w:r>
        <w:rPr>
          <w:rFonts w:ascii="Arial" w:cs="Arial" w:eastAsia="Arial" w:hAnsi="Arial"/>
          <w:sz w:val="18"/>
          <w:szCs w:val="18"/>
          <w:color w:val="auto"/>
        </w:rPr>
        <w:t>will constitute one and the same instrument.</w:t>
      </w:r>
    </w:p>
    <w:p>
      <w:pPr>
        <w:spacing w:after="0" w:line="106" w:lineRule="exact"/>
        <w:rPr>
          <w:sz w:val="20"/>
          <w:szCs w:val="20"/>
          <w:color w:val="auto"/>
        </w:rPr>
      </w:pPr>
    </w:p>
    <w:p>
      <w:pPr>
        <w:ind w:right="120"/>
        <w:spacing w:after="0" w:line="275" w:lineRule="auto"/>
        <w:rPr>
          <w:sz w:val="20"/>
          <w:szCs w:val="20"/>
          <w:color w:val="auto"/>
        </w:rPr>
      </w:pPr>
      <w:r>
        <w:rPr>
          <w:rFonts w:ascii="Arial" w:cs="Arial" w:eastAsia="Arial" w:hAnsi="Arial"/>
          <w:sz w:val="18"/>
          <w:szCs w:val="18"/>
          <w:b w:val="1"/>
          <w:bCs w:val="1"/>
          <w:color w:val="auto"/>
        </w:rPr>
        <w:t xml:space="preserve">Section 2.05 </w:t>
      </w:r>
      <w:r>
        <w:rPr>
          <w:rFonts w:ascii="Arial" w:cs="Arial" w:eastAsia="Arial" w:hAnsi="Arial"/>
          <w:sz w:val="18"/>
          <w:szCs w:val="18"/>
          <w:b w:val="1"/>
          <w:bCs w:val="1"/>
          <w:u w:val="single" w:color="auto"/>
          <w:color w:val="auto"/>
        </w:rPr>
        <w:t>Successors and Assigns</w:t>
      </w:r>
      <w:r>
        <w:rPr>
          <w:rFonts w:ascii="Arial" w:cs="Arial" w:eastAsia="Arial" w:hAnsi="Arial"/>
          <w:sz w:val="18"/>
          <w:szCs w:val="18"/>
          <w:color w:val="auto"/>
        </w:rPr>
        <w:t>. This Agreement and the rights and obligations of the Parties hereunder shall inure to the benefit of, and be binding upon,</w:t>
      </w:r>
      <w:r>
        <w:rPr>
          <w:rFonts w:ascii="Arial" w:cs="Arial" w:eastAsia="Arial" w:hAnsi="Arial"/>
          <w:sz w:val="18"/>
          <w:szCs w:val="18"/>
          <w:b w:val="1"/>
          <w:bCs w:val="1"/>
          <w:color w:val="auto"/>
        </w:rPr>
        <w:t xml:space="preserve"> </w:t>
      </w:r>
      <w:r>
        <w:rPr>
          <w:rFonts w:ascii="Arial" w:cs="Arial" w:eastAsia="Arial" w:hAnsi="Arial"/>
          <w:sz w:val="18"/>
          <w:szCs w:val="18"/>
          <w:color w:val="auto"/>
        </w:rPr>
        <w:t>their respective successors, permitted assigns and legal representatives.</w:t>
      </w:r>
    </w:p>
    <w:p>
      <w:pPr>
        <w:spacing w:after="0" w:line="106" w:lineRule="exact"/>
        <w:rPr>
          <w:sz w:val="20"/>
          <w:szCs w:val="20"/>
          <w:color w:val="auto"/>
        </w:rPr>
      </w:pPr>
    </w:p>
    <w:p>
      <w:pPr>
        <w:ind w:right="260"/>
        <w:spacing w:after="0" w:line="296" w:lineRule="auto"/>
        <w:rPr>
          <w:sz w:val="20"/>
          <w:szCs w:val="20"/>
          <w:color w:val="auto"/>
        </w:rPr>
      </w:pPr>
      <w:r>
        <w:rPr>
          <w:rFonts w:ascii="Arial" w:cs="Arial" w:eastAsia="Arial" w:hAnsi="Arial"/>
          <w:sz w:val="16"/>
          <w:szCs w:val="16"/>
          <w:b w:val="1"/>
          <w:bCs w:val="1"/>
          <w:color w:val="auto"/>
        </w:rPr>
        <w:t xml:space="preserve">Section 2.06 </w:t>
      </w:r>
      <w:r>
        <w:rPr>
          <w:rFonts w:ascii="Arial" w:cs="Arial" w:eastAsia="Arial" w:hAnsi="Arial"/>
          <w:sz w:val="16"/>
          <w:szCs w:val="16"/>
          <w:b w:val="1"/>
          <w:bCs w:val="1"/>
          <w:u w:val="single" w:color="auto"/>
          <w:color w:val="auto"/>
        </w:rPr>
        <w:t>Severability</w:t>
      </w:r>
      <w:r>
        <w:rPr>
          <w:rFonts w:ascii="Arial" w:cs="Arial" w:eastAsia="Arial" w:hAnsi="Arial"/>
          <w:sz w:val="16"/>
          <w:szCs w:val="16"/>
          <w:color w:val="auto"/>
        </w:rPr>
        <w:t>. The provisions of this Agreement will be deemed severable and the invalidity or unenforceability of any provision hereof will not</w:t>
      </w:r>
      <w:r>
        <w:rPr>
          <w:rFonts w:ascii="Arial" w:cs="Arial" w:eastAsia="Arial" w:hAnsi="Arial"/>
          <w:sz w:val="16"/>
          <w:szCs w:val="16"/>
          <w:b w:val="1"/>
          <w:bCs w:val="1"/>
          <w:color w:val="auto"/>
        </w:rPr>
        <w:t xml:space="preserve"> </w:t>
      </w:r>
      <w:r>
        <w:rPr>
          <w:rFonts w:ascii="Arial" w:cs="Arial" w:eastAsia="Arial" w:hAnsi="Arial"/>
          <w:sz w:val="16"/>
          <w:szCs w:val="16"/>
          <w:color w:val="auto"/>
        </w:rPr>
        <w:t>affect the validity or enforceability of the other provisions hereof; provided that if any provision of this Agreement, as applied to any party or to any circumstance, is adjudged by a court, governmental body, arbitrator not to be enforceable in accordance with its terms, the parties agree that the court, governmental body, arbitrator making such determination will have the power to modify the provision in a manner consistent with its objectives such that it is enforceable, and/or to delete specific words or phrases, and in its reduced form, such provision will then be enforceable and will be enforced.</w:t>
      </w:r>
    </w:p>
    <w:p>
      <w:pPr>
        <w:spacing w:after="0" w:line="94" w:lineRule="exact"/>
        <w:rPr>
          <w:sz w:val="20"/>
          <w:szCs w:val="20"/>
          <w:color w:val="auto"/>
        </w:rPr>
      </w:pPr>
    </w:p>
    <w:p>
      <w:pPr>
        <w:ind w:right="560"/>
        <w:spacing w:after="0" w:line="275" w:lineRule="auto"/>
        <w:rPr>
          <w:sz w:val="20"/>
          <w:szCs w:val="20"/>
          <w:color w:val="auto"/>
        </w:rPr>
      </w:pPr>
      <w:r>
        <w:rPr>
          <w:rFonts w:ascii="Arial" w:cs="Arial" w:eastAsia="Arial" w:hAnsi="Arial"/>
          <w:sz w:val="18"/>
          <w:szCs w:val="18"/>
          <w:b w:val="1"/>
          <w:bCs w:val="1"/>
          <w:color w:val="auto"/>
        </w:rPr>
        <w:t xml:space="preserve">Section 2.07 </w:t>
      </w:r>
      <w:r>
        <w:rPr>
          <w:rFonts w:ascii="Arial" w:cs="Arial" w:eastAsia="Arial" w:hAnsi="Arial"/>
          <w:sz w:val="18"/>
          <w:szCs w:val="18"/>
          <w:b w:val="1"/>
          <w:bCs w:val="1"/>
          <w:u w:val="single" w:color="auto"/>
          <w:color w:val="auto"/>
        </w:rPr>
        <w:t>Headings</w:t>
      </w:r>
      <w:r>
        <w:rPr>
          <w:rFonts w:ascii="Arial" w:cs="Arial" w:eastAsia="Arial" w:hAnsi="Arial"/>
          <w:sz w:val="18"/>
          <w:szCs w:val="18"/>
          <w:color w:val="auto"/>
        </w:rPr>
        <w:t>. The article and section headings contained in this Agreement are inserted for convenience only and will not affect in any way the</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or interpretation of this Agreement.</w:t>
      </w:r>
    </w:p>
    <w:p>
      <w:pPr>
        <w:spacing w:after="0" w:line="106" w:lineRule="exact"/>
        <w:rPr>
          <w:sz w:val="20"/>
          <w:szCs w:val="20"/>
          <w:color w:val="auto"/>
        </w:rPr>
      </w:pPr>
    </w:p>
    <w:p>
      <w:pPr>
        <w:ind w:right="740"/>
        <w:spacing w:after="0" w:line="339" w:lineRule="auto"/>
        <w:rPr>
          <w:sz w:val="20"/>
          <w:szCs w:val="20"/>
          <w:color w:val="auto"/>
        </w:rPr>
      </w:pPr>
      <w:r>
        <w:rPr>
          <w:rFonts w:ascii="Arial" w:cs="Arial" w:eastAsia="Arial" w:hAnsi="Arial"/>
          <w:sz w:val="16"/>
          <w:szCs w:val="16"/>
          <w:b w:val="1"/>
          <w:bCs w:val="1"/>
          <w:color w:val="auto"/>
        </w:rPr>
        <w:t xml:space="preserve">Section 2.08 </w:t>
      </w:r>
      <w:r>
        <w:rPr>
          <w:rFonts w:ascii="Arial" w:cs="Arial" w:eastAsia="Arial" w:hAnsi="Arial"/>
          <w:sz w:val="16"/>
          <w:szCs w:val="16"/>
          <w:b w:val="1"/>
          <w:bCs w:val="1"/>
          <w:u w:val="single" w:color="auto"/>
          <w:color w:val="auto"/>
        </w:rPr>
        <w:t>Third Parties</w:t>
      </w:r>
      <w:r>
        <w:rPr>
          <w:rFonts w:ascii="Arial" w:cs="Arial" w:eastAsia="Arial" w:hAnsi="Arial"/>
          <w:sz w:val="16"/>
          <w:szCs w:val="16"/>
          <w:color w:val="auto"/>
        </w:rPr>
        <w:t>. Nothing in this Agreement, express or implied, is intended to confer upon any Person other than the Parties hereto and the</w:t>
      </w:r>
      <w:r>
        <w:rPr>
          <w:rFonts w:ascii="Arial" w:cs="Arial" w:eastAsia="Arial" w:hAnsi="Arial"/>
          <w:sz w:val="16"/>
          <w:szCs w:val="16"/>
          <w:b w:val="1"/>
          <w:bCs w:val="1"/>
          <w:color w:val="auto"/>
        </w:rPr>
        <w:t xml:space="preserve"> </w:t>
      </w:r>
      <w:r>
        <w:rPr>
          <w:rFonts w:ascii="Arial" w:cs="Arial" w:eastAsia="Arial" w:hAnsi="Arial"/>
          <w:sz w:val="16"/>
          <w:szCs w:val="16"/>
          <w:color w:val="auto"/>
        </w:rPr>
        <w:t>Indemnified Parties and their successors and assigns, any rights or remedies under or by reason of this Agreement.</w:t>
      </w:r>
    </w:p>
    <w:p>
      <w:pPr>
        <w:spacing w:after="0" w:line="61" w:lineRule="exact"/>
        <w:rPr>
          <w:sz w:val="20"/>
          <w:szCs w:val="20"/>
          <w:color w:val="auto"/>
        </w:rPr>
      </w:pPr>
    </w:p>
    <w:p>
      <w:pPr>
        <w:spacing w:after="0" w:line="293" w:lineRule="auto"/>
        <w:rPr>
          <w:sz w:val="20"/>
          <w:szCs w:val="20"/>
          <w:color w:val="auto"/>
        </w:rPr>
      </w:pPr>
      <w:r>
        <w:rPr>
          <w:rFonts w:ascii="Arial" w:cs="Arial" w:eastAsia="Arial" w:hAnsi="Arial"/>
          <w:sz w:val="16"/>
          <w:szCs w:val="16"/>
          <w:b w:val="1"/>
          <w:bCs w:val="1"/>
          <w:color w:val="auto"/>
        </w:rPr>
        <w:t xml:space="preserve">Section 2.09 </w:t>
      </w:r>
      <w:r>
        <w:rPr>
          <w:rFonts w:ascii="Arial" w:cs="Arial" w:eastAsia="Arial" w:hAnsi="Arial"/>
          <w:sz w:val="16"/>
          <w:szCs w:val="16"/>
          <w:b w:val="1"/>
          <w:bCs w:val="1"/>
          <w:u w:val="single" w:color="auto"/>
          <w:color w:val="auto"/>
        </w:rPr>
        <w:t>Construction</w:t>
      </w:r>
      <w:r>
        <w:rPr>
          <w:rFonts w:ascii="Arial" w:cs="Arial" w:eastAsia="Arial" w:hAnsi="Arial"/>
          <w:sz w:val="16"/>
          <w:szCs w:val="16"/>
          <w:color w:val="auto"/>
        </w:rPr>
        <w:t>. The Parties hereto have jointly participated in the negotiation and drafting of this Agreement. If an ambiguity or question of intent or</w:t>
      </w:r>
      <w:r>
        <w:rPr>
          <w:rFonts w:ascii="Arial" w:cs="Arial" w:eastAsia="Arial" w:hAnsi="Arial"/>
          <w:sz w:val="16"/>
          <w:szCs w:val="16"/>
          <w:b w:val="1"/>
          <w:bCs w:val="1"/>
          <w:color w:val="auto"/>
        </w:rPr>
        <w:t xml:space="preserve"> </w:t>
      </w:r>
      <w:r>
        <w:rPr>
          <w:rFonts w:ascii="Arial" w:cs="Arial" w:eastAsia="Arial" w:hAnsi="Arial"/>
          <w:sz w:val="16"/>
          <w:szCs w:val="16"/>
          <w:color w:val="auto"/>
        </w:rPr>
        <w:t>interpretation arises, this Agreement will be construed as if drafted jointly by the Parties hereto and no presumption or burden of proof will arise favoring or disfavoring any Party hereto because of the authorship of any provision of this Agreement. Any reference to any federal, state, local or foreign law will also be deemed to refer to such law as amended and all rules and regulations promulgated thereunder, unless the context otherwise requires. The words “include,” “includes” and “including” shall be deemed to be followed by “without limitation.” Pronouns in masculine, feminine and neuter genders will be construed to include any other gender, and words in the singular form will be construed to include the plural and</w:t>
      </w:r>
    </w:p>
    <w:p>
      <w:pPr>
        <w:spacing w:after="0" w:line="10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280" w:right="299" w:bottom="1440" w:gutter="0" w:footer="0" w:header="0"/>
        </w:sectPr>
      </w:pPr>
    </w:p>
    <w:bookmarkStart w:id="35" w:name="page36"/>
    <w:bookmarkEnd w:id="35"/>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vice versa, unless the context otherwise requires. The words “this Agreement,” “herein,” “hereof,” “hereby,” “hereunder” and words of similar import refer to this Agreement as a whole and not to any particular subdivision unless expressly so limited. The Parties hereto intend that each representation, warranty and covenant contained herein will have independent significance. If any Party hereto has breached any representation, warranty or covenant contained herein in any respect, the fact that there exists another representation, warranty or covenant relating to the same subject matter (regardless of the relative levels of specificity) which such Party has breached, will not detract from or mitigate the fact that such Party is in breach of the first representation, warranty or covenant.</w:t>
      </w:r>
    </w:p>
    <w:p>
      <w:pPr>
        <w:spacing w:after="0" w:line="96" w:lineRule="exact"/>
        <w:rPr>
          <w:sz w:val="20"/>
          <w:szCs w:val="20"/>
          <w:color w:val="auto"/>
        </w:rPr>
      </w:pPr>
    </w:p>
    <w:p>
      <w:pPr>
        <w:ind w:right="80"/>
        <w:spacing w:after="0" w:line="296" w:lineRule="auto"/>
        <w:rPr>
          <w:sz w:val="20"/>
          <w:szCs w:val="20"/>
          <w:color w:val="auto"/>
        </w:rPr>
      </w:pPr>
      <w:r>
        <w:rPr>
          <w:rFonts w:ascii="Arial" w:cs="Arial" w:eastAsia="Arial" w:hAnsi="Arial"/>
          <w:sz w:val="16"/>
          <w:szCs w:val="16"/>
          <w:b w:val="1"/>
          <w:bCs w:val="1"/>
          <w:color w:val="auto"/>
        </w:rPr>
        <w:t xml:space="preserve">Section 2.10 </w:t>
      </w:r>
      <w:r>
        <w:rPr>
          <w:rFonts w:ascii="Arial" w:cs="Arial" w:eastAsia="Arial" w:hAnsi="Arial"/>
          <w:sz w:val="16"/>
          <w:szCs w:val="16"/>
          <w:b w:val="1"/>
          <w:bCs w:val="1"/>
          <w:u w:val="single" w:color="auto"/>
          <w:color w:val="auto"/>
        </w:rPr>
        <w:t>Remedies</w:t>
      </w:r>
      <w:r>
        <w:rPr>
          <w:rFonts w:ascii="Arial" w:cs="Arial" w:eastAsia="Arial" w:hAnsi="Arial"/>
          <w:sz w:val="16"/>
          <w:szCs w:val="16"/>
          <w:color w:val="auto"/>
        </w:rPr>
        <w:t>. The parties shall have all remedies for breach of this Agreement available to them as provided by law or equity. Without limiting the</w:t>
      </w:r>
      <w:r>
        <w:rPr>
          <w:rFonts w:ascii="Arial" w:cs="Arial" w:eastAsia="Arial" w:hAnsi="Arial"/>
          <w:sz w:val="16"/>
          <w:szCs w:val="16"/>
          <w:b w:val="1"/>
          <w:bCs w:val="1"/>
          <w:color w:val="auto"/>
        </w:rPr>
        <w:t xml:space="preserve"> </w:t>
      </w:r>
      <w:r>
        <w:rPr>
          <w:rFonts w:ascii="Arial" w:cs="Arial" w:eastAsia="Arial" w:hAnsi="Arial"/>
          <w:sz w:val="16"/>
          <w:szCs w:val="16"/>
          <w:color w:val="auto"/>
        </w:rPr>
        <w:t>generality of the foregoing, the parties agree that in addition to any other rights and remedies available at law or in equity, the parties shall be entitled to obtain specific performance of the obligations of each party to this Agreement and immediate injunctive relief and that, in the event any action or proceeding is brought in equity or to enforce the same, no party will urge, as a defense, that there is an adequate remedy at law. No single or partial assertion or exercise of any right, power or remedy of a party hereunder shall preclude any other or further assertion or exercise thereof.</w:t>
      </w:r>
    </w:p>
    <w:p>
      <w:pPr>
        <w:spacing w:after="0" w:line="94"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 xml:space="preserve">Section 2.11 </w:t>
      </w:r>
      <w:r>
        <w:rPr>
          <w:rFonts w:ascii="Arial" w:cs="Arial" w:eastAsia="Arial" w:hAnsi="Arial"/>
          <w:sz w:val="16"/>
          <w:szCs w:val="16"/>
          <w:b w:val="1"/>
          <w:bCs w:val="1"/>
          <w:u w:val="single" w:color="auto"/>
          <w:color w:val="auto"/>
        </w:rPr>
        <w:t>Amendment</w:t>
      </w:r>
      <w:r>
        <w:rPr>
          <w:rFonts w:ascii="Arial" w:cs="Arial" w:eastAsia="Arial" w:hAnsi="Arial"/>
          <w:sz w:val="16"/>
          <w:szCs w:val="16"/>
          <w:color w:val="auto"/>
        </w:rPr>
        <w:t>. This Agreement may amended only in writing by the execution of a document between SLB and the Holders at the time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51% of the Registrable Securities. The authority to amend this Agreement granted to such Holders shall be deemed an irrevocable power of attorney coupled with an interest and shall survive the death or incapacity of any natural person that is a Holder or that is a successor or assign of a Holder.</w:t>
      </w:r>
    </w:p>
    <w:p>
      <w:pPr>
        <w:spacing w:after="0" w:line="84" w:lineRule="exact"/>
        <w:rPr>
          <w:sz w:val="20"/>
          <w:szCs w:val="20"/>
          <w:color w:val="auto"/>
        </w:rPr>
      </w:pPr>
    </w:p>
    <w:p>
      <w:pPr>
        <w:ind w:right="140"/>
        <w:spacing w:after="0" w:line="262" w:lineRule="auto"/>
        <w:rPr>
          <w:sz w:val="20"/>
          <w:szCs w:val="20"/>
          <w:color w:val="auto"/>
        </w:rPr>
      </w:pPr>
      <w:r>
        <w:rPr>
          <w:rFonts w:ascii="Arial" w:cs="Arial" w:eastAsia="Arial" w:hAnsi="Arial"/>
          <w:sz w:val="18"/>
          <w:szCs w:val="18"/>
          <w:b w:val="1"/>
          <w:bCs w:val="1"/>
          <w:color w:val="auto"/>
        </w:rPr>
        <w:t xml:space="preserve">Section 2.12 </w:t>
      </w:r>
      <w:r>
        <w:rPr>
          <w:rFonts w:ascii="Arial" w:cs="Arial" w:eastAsia="Arial" w:hAnsi="Arial"/>
          <w:sz w:val="18"/>
          <w:szCs w:val="18"/>
          <w:b w:val="1"/>
          <w:bCs w:val="1"/>
          <w:u w:val="single" w:color="auto"/>
          <w:color w:val="auto"/>
        </w:rPr>
        <w:t>Attorneys’ Fees</w:t>
      </w:r>
      <w:r>
        <w:rPr>
          <w:rFonts w:ascii="Arial" w:cs="Arial" w:eastAsia="Arial" w:hAnsi="Arial"/>
          <w:sz w:val="18"/>
          <w:szCs w:val="18"/>
          <w:color w:val="auto"/>
        </w:rPr>
        <w:t>. If any action at law or in equity is necessary to enforce or interpret the terms of this Agreement or any other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document to be executed or delivered pursuant hereto, the prevailing Party shall be entitled to reasonable attorneys’ fees, costs, and disbursements in addition to any other relief to which such Party may be entitled.</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IN WITNESS WHEREOF, </w:t>
      </w:r>
      <w:r>
        <w:rPr>
          <w:rFonts w:ascii="Arial" w:cs="Arial" w:eastAsia="Arial" w:hAnsi="Arial"/>
          <w:sz w:val="18"/>
          <w:szCs w:val="18"/>
          <w:color w:val="auto"/>
        </w:rPr>
        <w:t>the Parties hereto have executed this Agreement as of the date first above written.</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36" w:name="page37"/>
    <w:bookmarkEnd w:id="36"/>
    <w:p>
      <w:pPr>
        <w:jc w:val="center"/>
        <w:ind w:right="-120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SCHEDULE 1</w:t>
      </w:r>
    </w:p>
    <w:p>
      <w:pPr>
        <w:spacing w:after="0" w:line="18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SELLERS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 Jura CY (Services) Ltd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Vladimir Stenin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Sizov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Andrei Niziev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Murat Sampiev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Yulievich Djaparidze</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Marjoram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Petroalliance Stock Incentive Plan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Martin Hansen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KNK Real Estate Services, Inc.</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Petroalliance Directors Officers and Employees Benefits Plan Limited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Glen Bird</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V. Gavura</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Rice Family Living Trust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Tom A. Russell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Alexander A. Vaigel</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Vadim E. Usakovsky</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Vladimir V. Metlin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Igor N. Kerysov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Vassili Kyvelidi</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Janak Kumar Basnet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Isa Sharaputtinovich Shabanov</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Efraim Dory</w:t>
      </w:r>
    </w:p>
    <w:p>
      <w:pPr>
        <w:spacing w:after="0" w:line="16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0219"/>
          </w:cols>
          <w:pgMar w:left="240" w:top="422" w:right="1440" w:bottom="1440" w:gutter="0" w:footer="0" w:header="0"/>
        </w:sectPr>
      </w:pPr>
    </w:p>
    <w:bookmarkStart w:id="37" w:name="page38"/>
    <w:bookmarkEnd w:id="37"/>
    <w:p>
      <w:pPr>
        <w:jc w:val="right"/>
        <w:ind w:right="3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SIGNATORIES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SCHLUMBERGER LIMITED</w:t>
      </w:r>
    </w:p>
    <w:p>
      <w:pPr>
        <w:spacing w:after="0" w:line="374"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Ellen Summer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Ellen Summer</w:t>
      </w:r>
    </w:p>
    <w:p>
      <w:pPr>
        <w:spacing w:after="0" w:line="15" w:lineRule="exact"/>
        <w:rPr>
          <w:sz w:val="20"/>
          <w:szCs w:val="20"/>
          <w:color w:val="auto"/>
        </w:rPr>
      </w:pPr>
    </w:p>
    <w:p>
      <w:pPr>
        <w:spacing w:after="0"/>
        <w:tabs>
          <w:tab w:leader="none" w:pos="5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5"/>
          <w:szCs w:val="15"/>
          <w:color w:val="auto"/>
        </w:rPr>
        <w:t>Secretary and General Counsel</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Sellers:</w:t>
      </w:r>
    </w:p>
    <w:p>
      <w:pPr>
        <w:spacing w:after="0" w:line="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SIGNED ON BEHALF OF EACH SELLER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by the PAS SHAREHOLDER REPRESENTATIVE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pursuant to the PAS Shareholder Representative and Escrow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as of December 5, 2003</w:t>
      </w:r>
    </w:p>
    <w:p>
      <w:pPr>
        <w:spacing w:after="0" w:line="367" w:lineRule="exact"/>
        <w:rPr>
          <w:sz w:val="20"/>
          <w:szCs w:val="20"/>
          <w:color w:val="auto"/>
        </w:rPr>
      </w:pPr>
    </w:p>
    <w:p>
      <w:pPr>
        <w:spacing w:after="0"/>
        <w:tabs>
          <w:tab w:leader="none" w:pos="500" w:val="left"/>
          <w:tab w:leader="none" w:pos="8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Alexander Yulievich Djaparidze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10795</wp:posOffset>
            </wp:positionV>
            <wp:extent cx="25984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59842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 Alexander Yulievich Djaparidze</w:t>
      </w:r>
    </w:p>
    <w:p>
      <w:pPr>
        <w:spacing w:after="0" w:line="158"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0219"/>
          </w:cols>
          <w:pgMar w:left="240" w:top="422" w:right="1440"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23.1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164"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We hereby consent to the incorporation by reference in this Registration Statement on Form S-3 of our report dated March 1, 2005, relating to the consolidated financial statements, management’s assessment of the effectiveness of internal control over financial reporting and the effectiveness of internal control over financial reporting of Schlumberger Limited, which appears in Schlumberger Limited’s Annual Report on Form 10-K for the year ended December 31, 2004. We also consent to the reference to us under the heading “Experts” in such Registration Statement.</w:t>
      </w:r>
    </w:p>
    <w:p>
      <w:pPr>
        <w:spacing w:after="0" w:line="9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April 28, 2005</w:t>
      </w:r>
    </w:p>
    <w:p>
      <w:pPr>
        <w:sectPr>
          <w:pgSz w:w="11900" w:h="16838" w:orient="portrait"/>
          <w:cols w:equalWidth="0" w:num="1">
            <w:col w:w="11420"/>
          </w:cols>
          <w:pgMar w:left="240" w:top="125"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24.1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w:t>
      </w:r>
      <w:r>
        <w:rPr>
          <w:rFonts w:ascii="Arial" w:cs="Arial" w:eastAsia="Arial" w:hAnsi="Arial"/>
          <w:sz w:val="14"/>
          <w:szCs w:val="14"/>
          <w:b w:val="1"/>
          <w:bCs w:val="1"/>
          <w:color w:val="auto"/>
        </w:rPr>
        <w:t>OWER OF</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TTORNEY</w:t>
      </w:r>
    </w:p>
    <w:p>
      <w:pPr>
        <w:spacing w:after="0" w:line="164" w:lineRule="exact"/>
        <w:rPr>
          <w:sz w:val="20"/>
          <w:szCs w:val="20"/>
          <w:color w:val="auto"/>
        </w:rPr>
      </w:pPr>
    </w:p>
    <w:p>
      <w:pPr>
        <w:ind w:right="60" w:firstLine="456"/>
        <w:spacing w:after="0" w:line="287" w:lineRule="auto"/>
        <w:rPr>
          <w:sz w:val="20"/>
          <w:szCs w:val="20"/>
          <w:color w:val="auto"/>
        </w:rPr>
      </w:pPr>
      <w:r>
        <w:rPr>
          <w:rFonts w:ascii="Arial" w:cs="Arial" w:eastAsia="Arial" w:hAnsi="Arial"/>
          <w:sz w:val="16"/>
          <w:szCs w:val="16"/>
          <w:color w:val="auto"/>
        </w:rPr>
        <w:t>Each of the undersigned, in the capacity or capacities set forth below his or her signature as a member of the Board of Directors and/or an officer of Schlumberger Limited, a Netherlands Antilles corporation (the “Corporation”), hereby appoints Jean-Marc Perraud, Frank A. Sorgie and Ellen Summer, and each of them, the true and lawful attorney or attorneys of the undersigned with power to act with or without the others, and with full power of substitution and resubstitution, for and in the name, place and stead of the undersigned to execute and file with the Securities and Exchange Commission under the Securities Act of 1933, as amended, one or more registration statements (whether on Form S-3 or such other form as may be required) and any and all amendments (including post-effective amendments) or supplements thereto as may be necessary or appropriate, and any and all exhibits and other documents relating to said registration statements or amendments, with respect to the resale of shares of the Corporation’s common stock, par value $0.01 per share, issued or to be issued in connection with the acquisition of PetroAlliance Services Company Limited. Said attorneys shall have full power and authority to do and perform in the name and on behalf of the undersigned in any and all capacities every act whatsoever necessary or desirable to be done, as fully and for all intents and purposes as the undersigned might or could do in person, the undersigned hereby ratifying and approving the acts of said attorneys.</w:t>
      </w:r>
    </w:p>
    <w:p>
      <w:pPr>
        <w:sectPr>
          <w:pgSz w:w="11900" w:h="16838" w:orient="portrait"/>
          <w:cols w:equalWidth="0" w:num="1">
            <w:col w:w="11420"/>
          </w:cols>
          <w:pgMar w:left="240" w:top="125" w:right="239" w:bottom="1440" w:gutter="0" w:footer="0" w:header="0"/>
        </w:sect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/s/ Andrew Gould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Andrew Gould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Chairman and Chief Executive Officer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John Deutch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John Deutch</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Jamie S. Gorelick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Jamie S. Gorelick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Tony Isaac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Tony Isaac</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/s/ Adrian Lajous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10795</wp:posOffset>
            </wp:positionV>
            <wp:extent cx="341312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41312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Adrian Lajous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Dated: January 20, 2005</w:t>
      </w:r>
    </w:p>
    <w:p>
      <w:pPr>
        <w:spacing w:after="0" w:line="20" w:lineRule="exact"/>
        <w:rPr>
          <w:sz w:val="20"/>
          <w:szCs w:val="20"/>
          <w:color w:val="auto"/>
        </w:rPr>
      </w:pPr>
      <w:r>
        <w:rPr>
          <w:sz w:val="20"/>
          <w:szCs w:val="20"/>
          <w:color w:val="auto"/>
        </w:rPr>
        <w:br w:type="column"/>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/s/ André Lévy-Lang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André Lévy-Lang</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color w:val="auto"/>
        </w:rPr>
        <w:t>/s/ Didier Primat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Didier Primat</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Tore I. Sandvold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Tore I. Sandvold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Nicolas Seydoux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Nicolas Seydoux</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color w:val="auto"/>
        </w:rPr>
        <w:t>/s/ Linda G. Stuntz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-69215</wp:posOffset>
            </wp:positionH>
            <wp:positionV relativeFrom="paragraph">
              <wp:posOffset>10795</wp:posOffset>
            </wp:positionV>
            <wp:extent cx="347345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Linda G. Stuntz</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Dated: January 20, 2005</w:t>
      </w:r>
    </w:p>
    <w:sectPr>
      <w:pgSz w:w="11900" w:h="16838" w:orient="portrait"/>
      <w:cols w:equalWidth="0" w:num="2">
        <w:col w:w="5340" w:space="720"/>
        <w:col w:w="5360"/>
      </w:cols>
      <w:pgMar w:left="240" w:top="125"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1"/>
      <w:numFmt w:val="decimal"/>
      <w:start w:val="910"/>
    </w:lvl>
  </w:abstractNum>
  <w:abstractNum w:abstractNumId="1">
    <w:nsid w:val="41A7C4C9"/>
    <w:multiLevelType w:val="hybridMultilevel"/>
    <w:lvl w:ilvl="0">
      <w:lvlJc w:val="left"/>
      <w:lvlText w:val="(%1)"/>
      <w:numFmt w:val="decimal"/>
      <w:start w:val="1"/>
    </w:lvl>
  </w:abstractNum>
  <w:abstractNum w:abstractNumId="2">
    <w:nsid w:val="6B68079A"/>
    <w:multiLevelType w:val="hybridMultilevel"/>
    <w:lvl w:ilvl="0">
      <w:lvlJc w:val="left"/>
      <w:lvlText w:val="•"/>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1)"/>
      <w:numFmt w:val="decimal"/>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1)"/>
      <w:numFmt w:val="decimal"/>
      <w:start w:val="212"/>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16">
    <w:nsid w:val="2D1D5AE9"/>
    <w:multiLevelType w:val="hybridMultilevel"/>
    <w:lvl w:ilvl="0">
      <w:lvlJc w:val="left"/>
      <w:lvlText w:val="%1"/>
      <w:numFmt w:val="lowerLetter"/>
      <w:start w:val="1"/>
    </w:lvl>
    <w:lvl w:ilvl="1">
      <w:lvlJc w:val="left"/>
      <w:lvlText w:val="(%2)"/>
      <w:numFmt w:val="decimal"/>
      <w:start w:val="2"/>
    </w:lvl>
  </w:abstractNum>
  <w:abstractNum w:abstractNumId="17">
    <w:nsid w:val="6763845E"/>
    <w:multiLevelType w:val="hybridMultilevel"/>
    <w:lvl w:ilvl="0">
      <w:lvlJc w:val="left"/>
      <w:lvlText w:val="(%1)"/>
      <w:numFmt w:val="lowerLetter"/>
      <w:start w:val="2"/>
    </w:lvl>
    <w:lvl w:ilvl="1">
      <w:lvlJc w:val="left"/>
      <w:lvlText w:val="%2"/>
      <w:numFmt w:val="decimal"/>
      <w:start w:val="1"/>
    </w:lvl>
  </w:abstractNum>
  <w:abstractNum w:abstractNumId="18">
    <w:nsid w:val="75A2A8D4"/>
    <w:multiLevelType w:val="hybridMultilevel"/>
    <w:lvl w:ilvl="0">
      <w:lvlJc w:val="left"/>
      <w:lvlText w:val="(%1)"/>
      <w:numFmt w:val="lowerLetter"/>
      <w:start w:val="1"/>
    </w:lvl>
  </w:abstractNum>
  <w:abstractNum w:abstractNumId="19">
    <w:nsid w:val="8EDBDAB"/>
    <w:multiLevelType w:val="hybridMultilevel"/>
    <w:lvl w:ilvl="0">
      <w:lvlJc w:val="left"/>
      <w:lvlText w:val="(%1)"/>
      <w:numFmt w:val="lowerLetter"/>
      <w:start w:val="1"/>
    </w:lvl>
    <w:lvl w:ilvl="1">
      <w:lvlJc w:val="left"/>
      <w:lvlText w:val="(%2)"/>
      <w:numFmt w:val="lowerRoman"/>
      <w:start w:val="1"/>
    </w:lvl>
  </w:abstractNum>
  <w:abstractNum w:abstractNumId="20">
    <w:nsid w:val="79838CB2"/>
    <w:multiLevelType w:val="hybridMultilevel"/>
    <w:lvl w:ilvl="0">
      <w:lvlJc w:val="left"/>
      <w:lvlText w:val="(%1)"/>
      <w:numFmt w:val="lowerRoman"/>
      <w:start w:val="4"/>
    </w:lvl>
  </w:abstractNum>
  <w:abstractNum w:abstractNumId="21">
    <w:nsid w:val="4353D0CD"/>
    <w:multiLevelType w:val="hybridMultilevel"/>
    <w:lvl w:ilvl="0">
      <w:lvlJc w:val="left"/>
      <w:lvlText w:val="%1"/>
      <w:numFmt w:val="lowerLetter"/>
      <w:start w:val="1"/>
    </w:lvl>
    <w:lvl w:ilvl="1">
      <w:lvlJc w:val="left"/>
      <w:lvlText w:val="(%2)"/>
      <w:numFmt w:val="lowerRoman"/>
      <w:start w:val="7"/>
    </w:lvl>
  </w:abstractNum>
  <w:abstractNum w:abstractNumId="22">
    <w:nsid w:val="B03E0C6"/>
    <w:multiLevelType w:val="hybridMultilevel"/>
    <w:lvl w:ilvl="0">
      <w:lvlJc w:val="left"/>
      <w:lvlText w:val="(%1)"/>
      <w:numFmt w:val="lowerLetter"/>
      <w:start w:val="2"/>
    </w:lvl>
    <w:lvl w:ilvl="1">
      <w:lvlJc w:val="left"/>
      <w:lvlText w:val="%2"/>
      <w:numFmt w:val="lowerRoman"/>
      <w:start w:val="1"/>
    </w:lvl>
  </w:abstractNum>
  <w:abstractNum w:abstractNumId="23">
    <w:nsid w:val="189A769B"/>
    <w:multiLevelType w:val="hybridMultilevel"/>
    <w:lvl w:ilvl="0">
      <w:lvlJc w:val="left"/>
      <w:lvlText w:val="(%1)"/>
      <w:numFmt w:val="lowerLetter"/>
      <w:start w:val="3"/>
    </w:lvl>
  </w:abstractNum>
  <w:abstractNum w:abstractNumId="24">
    <w:nsid w:val="54E49EB4"/>
    <w:multiLevelType w:val="hybridMultilevel"/>
    <w:lvl w:ilvl="0">
      <w:lvlJc w:val="left"/>
      <w:lvlText w:val="(%1)"/>
      <w:numFmt w:val="lowerLetter"/>
      <w:start w:val="1"/>
    </w:lvl>
  </w:abstractNum>
  <w:abstractNum w:abstractNumId="25">
    <w:nsid w:val="71F32454"/>
    <w:multiLevelType w:val="hybridMultilevel"/>
    <w:lvl w:ilvl="0">
      <w:lvlJc w:val="left"/>
      <w:lvlText w:val="(%1)"/>
      <w:numFmt w:val="lowerLetter"/>
      <w:start w:val="2"/>
    </w:lvl>
  </w:abstractNum>
  <w:abstractNum w:abstractNumId="26">
    <w:nsid w:val="2CA88611"/>
    <w:multiLevelType w:val="hybridMultilevel"/>
    <w:lvl w:ilvl="0">
      <w:lvlJc w:val="left"/>
      <w:lvlText w:val="(%1)"/>
      <w:numFmt w:val="lowerLetter"/>
      <w:start w:val="4"/>
    </w:lvl>
    <w:lvl w:ilvl="1">
      <w:lvlJc w:val="left"/>
      <w:lvlText w:val="(%2)"/>
      <w:numFmt w:val="lowerRoman"/>
      <w:start w:val="2"/>
    </w:lvl>
  </w:abstractNum>
  <w:abstractNum w:abstractNumId="27">
    <w:nsid w:val="836C40E"/>
    <w:multiLevelType w:val="hybridMultilevel"/>
    <w:lvl w:ilvl="0">
      <w:lvlJc w:val="left"/>
      <w:lvlText w:val="(%1)"/>
      <w:numFmt w:val="lowerLetter"/>
      <w:start w:val="1"/>
    </w:lvl>
  </w:abstractNum>
  <w:abstractNum w:abstractNumId="28">
    <w:nsid w:val="2901D82"/>
    <w:multiLevelType w:val="hybridMultilevel"/>
    <w:lvl w:ilvl="0">
      <w:lvlJc w:val="left"/>
      <w:lvlText w:val="(%1)"/>
      <w:numFmt w:val="lowerLetter"/>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2019-12-11T19:06:26Z</dcterms:created>
  <dcterms:modified xsi:type="dcterms:W3CDTF">2019-12-11T19:06:26Z</dcterms:modified>
</cp:coreProperties>
</file>