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Kasibhatla Vijay</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03/01/2024</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Director, M&amp;A</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20" w:type="dxa"/>
            <w:vAlign w:val="bottom"/>
            <w:tcBorders>
              <w:bottom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03/01/2024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4,200</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74,090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03/01/2024</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0000FF"/>
              </w:rPr>
              <w:t>1,974</w:t>
            </w:r>
          </w:p>
        </w:tc>
        <w:tc>
          <w:tcPr>
            <w:tcW w:w="42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49.26</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72,116</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Company granted performance share units ("PSUs") to the reporting person on January 20, 2021. Vesting of the PSUs was based on three-year Company performance relative to select key competitors. Most of these competitors had not reported their 2023 audited financial results when the Company's compensation committee met in January 2024 to certify performance under the PSUs. As a result, the Company's compensation committee approved the issuance of 80% of the shares that the committee determined had been earned according to the information available to the committee at the time. As of March 1, 2024, all such competitors had reported their 2023 audited financial results. Shares of common stock reported hereunder represent shares finally determined to have been earned under the PSUs.</w:t>
      </w:r>
    </w:p>
    <w:p>
      <w:pPr>
        <w:spacing w:after="0" w:line="46"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4"/>
          <w:szCs w:val="34"/>
          <w:color w:val="0000FF"/>
          <w:vertAlign w:val="subscript"/>
        </w:rPr>
        <w:t>03/05/2024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05054"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2024-03-05T17:02:48Z</dcterms:created>
  <dcterms:modified xsi:type="dcterms:W3CDTF">2024-03-05T17:02:48Z</dcterms:modified>
</cp:coreProperties>
</file>