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724"/>
          </w:cols>
          <w:pgMar w:left="436" w:top="362" w:right="7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44"/>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52-0684746</w:t>
      </w:r>
    </w:p>
    <w:p>
      <w:pPr>
        <w:spacing w:after="0" w:line="23" w:lineRule="exact"/>
        <w:rPr>
          <w:sz w:val="24"/>
          <w:szCs w:val="24"/>
          <w:color w:val="auto"/>
        </w:rPr>
      </w:pPr>
    </w:p>
    <w:p>
      <w:pPr>
        <w:sectPr>
          <w:pgSz w:w="11900" w:h="16838" w:orient="portrait"/>
          <w:cols w:equalWidth="0" w:num="3">
            <w:col w:w="4644" w:space="720"/>
            <w:col w:w="2740" w:space="720"/>
            <w:col w:w="1900"/>
          </w:cols>
          <w:pgMar w:left="436" w:top="362" w:right="7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040"/>
          </w:cols>
          <w:pgMar w:left="436" w:top="362" w:right="739" w:bottom="1440" w:gutter="0" w:footer="0" w:header="0"/>
          <w:type w:val="continuous"/>
        </w:sect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5599 San Felipe, Houston, Texas U.S.A. 77056</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62 Buckingham Gate, London, United Kingdom SW1E 6AJ</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2"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0724"/>
          </w:cols>
          <w:pgMar w:left="436" w:top="362" w:right="739" w:bottom="1440" w:gutter="0" w:footer="0" w:header="0"/>
          <w:type w:val="continuous"/>
        </w:sectPr>
      </w:pPr>
    </w:p>
    <w:p>
      <w:pPr>
        <w:spacing w:after="0" w:line="147" w:lineRule="exact"/>
        <w:rPr>
          <w:sz w:val="24"/>
          <w:szCs w:val="24"/>
          <w:color w:val="auto"/>
        </w:rPr>
      </w:pPr>
    </w:p>
    <w:p>
      <w:pPr>
        <w:ind w:left="2144"/>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384" w:type="dxa"/>
        <w:tblCellMar>
          <w:top w:w="0" w:type="dxa"/>
          <w:left w:w="0" w:type="dxa"/>
          <w:bottom w:w="0" w:type="dxa"/>
          <w:right w:w="0" w:type="dxa"/>
        </w:tblCellMar>
      </w:tblPr>
      <w:tr>
        <w:trPr>
          <w:trHeight w:val="187"/>
        </w:trPr>
        <w:tc>
          <w:tcPr>
            <w:tcW w:w="9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80" w:type="dxa"/>
            <w:vAlign w:val="bottom"/>
            <w:gridSpan w:val="2"/>
          </w:tcPr>
          <w:p>
            <w:pPr>
              <w:jc w:val="center"/>
              <w:ind w:left="16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28"/>
        </w:trPr>
        <w:tc>
          <w:tcPr>
            <w:tcW w:w="466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SLB</w:t>
            </w:r>
          </w:p>
        </w:tc>
        <w:tc>
          <w:tcPr>
            <w:tcW w:w="172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58"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62" w:right="7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On September 8, 2020, Olivier Le Peuch, Chief Executive Officer of Schlumberger, presented at the Barclays CEO Energy-Power Conference via virtual webcast, where he provided an operational update. Slides in connection with the conference are available on the Schlumberger Investor Relations website at https://investorcenter.slb.com/investor-presentations.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The presentation referred to above contains “forward-looking statements” within the meaning of the federal securities laws — that is, statements that are not historical facts. Such statements often contain words such as “expect,” “may,” “believe,” “predict,” “plan,” “estimate,” “intend,” “anticipate,” “think,” “should,” “could,” “would,” “will,” “see,” “likely,” and other similar words. Forward-looking statements address matters that are, to varying degrees, uncertain, such as statements about Schlumberger’s financial and performance targets and other forecasts or expectations regarding, or dependent on, Schlumberger’s business outlook; the growth for Schlumberger as a whole and for each of its divisions (and for specified business lines or geographic areas within each division); oil and natural gas demand and production growth; oil and natural gas prices; pricing; Schlumberger’s response to, and preparedness for, the COVID-19 outbreak and other widespread health emergencies; access to raw materials; improvements in operating procedures and technology; capital expenditures by Schlumberger and the oil and gas industry; the business strategies of Schlumberger and those of its customers; Schlumberger’s digital strategy; Schlumberger’s strategy to rationalize its North America portfolio; the expected benefits or timing of any proposed transaction; Schlumberger’s restructuring efforts and charges recorded as a result of such efforts; Schlumberger’s Asset Performance Solutions projects, joint ventures and alliances; future global economic and geopolitical conditions; and future results of operations.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Schlumberger’s inability to achieve its financial and performance targets and other forecasts and expectations; Schlumberger’s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intended benefits from its business strategies and initiatives, such as digital or new energy, as well as its restructuring and structural cost reduction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Schlumberger’s most recent Forms</w:t>
      </w:r>
    </w:p>
    <w:p>
      <w:pPr>
        <w:spacing w:after="0" w:line="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10-K, 10-Q, and 8-K filed with or furnished to the SEC. If one or more of these or other risks or uncertainties materialize (or the consequences of any such development changes), or should our underlying assumptions prove incorrect, actual outcomes may vary materially from those reflected in our forward-looking statements.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Saul R. Laureles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2020</w:t>
      </w: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2020-09-08T11:58:22Z</dcterms:created>
  <dcterms:modified xsi:type="dcterms:W3CDTF">2020-09-08T11:58:22Z</dcterms:modified>
</cp:coreProperties>
</file>