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ASHOK BELANI</w:t>
            </w: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30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0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4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0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c>
          <w:tcPr>
            <w:tcW w:w="0" w:type="dxa"/>
            <w:vAlign w:val="bottom"/>
          </w:tcPr>
          <w:p>
            <w:pPr>
              <w:spacing w:after="0"/>
              <w:rPr>
                <w:sz w:val="1"/>
                <w:szCs w:val="1"/>
                <w:color w:val="auto"/>
              </w:rPr>
            </w:pP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300" w:type="dxa"/>
            <w:vAlign w:val="bottom"/>
            <w:tcBorders>
              <w:right w:val="single" w:sz="8" w:color="auto"/>
            </w:tcBorders>
          </w:tcPr>
          <w:p>
            <w:pPr>
              <w:jc w:val="center"/>
              <w:ind w:left="232"/>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00" w:type="dxa"/>
            <w:vAlign w:val="bottom"/>
            <w:tcBorders>
              <w:bottom w:val="single" w:sz="8" w:color="auto"/>
              <w:right w:val="single" w:sz="8" w:color="auto"/>
            </w:tcBorders>
            <w:shd w:val="clear" w:color="auto" w:fill="BFBFBF"/>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00" w:type="dxa"/>
            <w:vAlign w:val="bottom"/>
            <w:tcBorders>
              <w:right w:val="single" w:sz="8" w:color="auto"/>
            </w:tcBorders>
          </w:tcPr>
          <w:p>
            <w:pPr>
              <w:jc w:val="center"/>
              <w:ind w:left="54"/>
              <w:spacing w:after="0" w:line="100" w:lineRule="exact"/>
              <w:rPr>
                <w:sz w:val="20"/>
                <w:szCs w:val="20"/>
                <w:color w:val="auto"/>
              </w:rPr>
            </w:pPr>
            <w:r>
              <w:rPr>
                <w:rFonts w:ascii="Arial" w:cs="Arial" w:eastAsia="Arial" w:hAnsi="Arial"/>
                <w:sz w:val="11"/>
                <w:szCs w:val="11"/>
                <w:b w:val="1"/>
                <w:bCs w:val="1"/>
                <w:color w:val="auto"/>
                <w:w w:val="99"/>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300" w:type="dxa"/>
            <w:vAlign w:val="bottom"/>
            <w:tcBorders>
              <w:right w:val="single" w:sz="8" w:color="auto"/>
            </w:tcBorders>
          </w:tcPr>
          <w:p>
            <w:pPr>
              <w:jc w:val="center"/>
              <w:ind w:left="232"/>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0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88"/>
              </w:rPr>
              <w:t>Broker-Dealer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left="54"/>
              <w:spacing w:after="0" w:line="143"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300" w:type="dxa"/>
            <w:vAlign w:val="bottom"/>
            <w:tcBorders>
              <w:right w:val="single" w:sz="8" w:color="auto"/>
            </w:tcBorders>
          </w:tcPr>
          <w:p>
            <w:pPr>
              <w:jc w:val="center"/>
              <w:ind w:left="232"/>
              <w:spacing w:after="0" w:line="144" w:lineRule="exact"/>
              <w:rPr>
                <w:sz w:val="20"/>
                <w:szCs w:val="20"/>
                <w:color w:val="auto"/>
              </w:rPr>
            </w:pPr>
            <w:r>
              <w:rPr>
                <w:rFonts w:ascii="Arial" w:cs="Arial" w:eastAsia="Arial" w:hAnsi="Arial"/>
                <w:sz w:val="13"/>
                <w:szCs w:val="13"/>
                <w:b w:val="1"/>
                <w:bCs w:val="1"/>
                <w:color w:val="auto"/>
                <w:w w:val="95"/>
              </w:rPr>
              <w:t>Maker</w:t>
            </w:r>
          </w:p>
        </w:tc>
        <w:tc>
          <w:tcPr>
            <w:tcW w:w="110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30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3"/>
                <w:szCs w:val="13"/>
                <w:b w:val="1"/>
                <w:bCs w:val="1"/>
                <w:color w:val="auto"/>
                <w:w w:val="86"/>
              </w:rPr>
              <w:t>who is Acquiring the Securities</w:t>
            </w:r>
          </w:p>
        </w:tc>
        <w:tc>
          <w:tcPr>
            <w:tcW w:w="1100" w:type="dxa"/>
            <w:vAlign w:val="bottom"/>
            <w:tcBorders>
              <w:bottom w:val="single" w:sz="8" w:color="auto"/>
              <w:right w:val="single" w:sz="8" w:color="auto"/>
            </w:tcBorders>
            <w:shd w:val="clear" w:color="auto" w:fill="BFBFBF"/>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center"/>
              <w:ind w:left="54"/>
              <w:spacing w:after="0"/>
              <w:rPr>
                <w:sz w:val="20"/>
                <w:szCs w:val="20"/>
                <w:color w:val="auto"/>
              </w:rPr>
            </w:pPr>
            <w:r>
              <w:rPr>
                <w:rFonts w:ascii="Arial" w:cs="Arial" w:eastAsia="Arial" w:hAnsi="Arial"/>
                <w:sz w:val="13"/>
                <w:szCs w:val="13"/>
                <w:i w:val="1"/>
                <w:iCs w:val="1"/>
                <w:color w:val="auto"/>
                <w:w w:val="90"/>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Morgan Stanley Smith Barney</w:t>
            </w:r>
          </w:p>
        </w:tc>
        <w:tc>
          <w:tcPr>
            <w:tcW w:w="1100" w:type="dxa"/>
            <w:vAlign w:val="bottom"/>
            <w:tcBorders>
              <w:right w:val="single" w:sz="8" w:color="auto"/>
            </w:tcBorders>
            <w:shd w:val="clear" w:color="auto" w:fill="BFBFBF"/>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LLC</w:t>
            </w:r>
          </w:p>
        </w:tc>
        <w:tc>
          <w:tcPr>
            <w:tcW w:w="1100" w:type="dxa"/>
            <w:vAlign w:val="bottom"/>
            <w:tcBorders>
              <w:right w:val="single" w:sz="8" w:color="auto"/>
            </w:tcBorders>
            <w:shd w:val="clear" w:color="auto" w:fill="BFBFBF"/>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Common Stock</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Financial Services</w:t>
            </w:r>
          </w:p>
        </w:tc>
        <w:tc>
          <w:tcPr>
            <w:tcW w:w="1100" w:type="dxa"/>
            <w:vAlign w:val="bottom"/>
            <w:tcBorders>
              <w:right w:val="single" w:sz="8" w:color="auto"/>
            </w:tcBorders>
            <w:shd w:val="clear" w:color="auto" w:fill="BFBFBF"/>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vMerge w:val="restart"/>
          </w:tcPr>
          <w:p>
            <w:pPr>
              <w:jc w:val="right"/>
              <w:ind w:right="394"/>
              <w:spacing w:after="0"/>
              <w:rPr>
                <w:sz w:val="20"/>
                <w:szCs w:val="20"/>
                <w:color w:val="auto"/>
              </w:rPr>
            </w:pPr>
            <w:r>
              <w:rPr>
                <w:rFonts w:ascii="Arial" w:cs="Arial" w:eastAsia="Arial" w:hAnsi="Arial"/>
                <w:sz w:val="18"/>
                <w:szCs w:val="18"/>
                <w:color w:val="auto"/>
              </w:rPr>
              <w:t>46,577</w:t>
            </w:r>
          </w:p>
        </w:tc>
        <w:tc>
          <w:tcPr>
            <w:tcW w:w="180" w:type="dxa"/>
            <w:vAlign w:val="bottom"/>
          </w:tcPr>
          <w:p>
            <w:pPr>
              <w:spacing w:after="0"/>
              <w:rPr>
                <w:sz w:val="18"/>
                <w:szCs w:val="18"/>
                <w:color w:val="auto"/>
              </w:rPr>
            </w:pPr>
          </w:p>
        </w:tc>
        <w:tc>
          <w:tcPr>
            <w:tcW w:w="1100" w:type="dxa"/>
            <w:vAlign w:val="bottom"/>
            <w:tcBorders>
              <w:right w:val="single" w:sz="8" w:color="auto"/>
            </w:tcBorders>
            <w:vMerge w:val="restart"/>
          </w:tcPr>
          <w:p>
            <w:pPr>
              <w:jc w:val="right"/>
              <w:ind w:right="174"/>
              <w:spacing w:after="0"/>
              <w:rPr>
                <w:sz w:val="20"/>
                <w:szCs w:val="20"/>
                <w:color w:val="auto"/>
              </w:rPr>
            </w:pPr>
            <w:r>
              <w:rPr>
                <w:rFonts w:ascii="Arial" w:cs="Arial" w:eastAsia="Arial" w:hAnsi="Arial"/>
                <w:sz w:val="18"/>
                <w:szCs w:val="18"/>
                <w:color w:val="auto"/>
                <w:w w:val="93"/>
              </w:rPr>
              <w:t>$3,971,155</w:t>
            </w:r>
          </w:p>
        </w:tc>
        <w:tc>
          <w:tcPr>
            <w:tcW w:w="160" w:type="dxa"/>
            <w:vAlign w:val="bottom"/>
          </w:tcPr>
          <w:p>
            <w:pPr>
              <w:spacing w:after="0"/>
              <w:rPr>
                <w:sz w:val="18"/>
                <w:szCs w:val="18"/>
                <w:color w:val="auto"/>
              </w:rPr>
            </w:pPr>
          </w:p>
        </w:tc>
        <w:tc>
          <w:tcPr>
            <w:tcW w:w="126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0"/>
              </w:rPr>
              <w:t>1,390,994,241</w:t>
            </w:r>
          </w:p>
        </w:tc>
        <w:tc>
          <w:tcPr>
            <w:tcW w:w="1320" w:type="dxa"/>
            <w:vAlign w:val="bottom"/>
            <w:tcBorders>
              <w:right w:val="single" w:sz="8" w:color="auto"/>
            </w:tcBorders>
            <w:vMerge w:val="restart"/>
          </w:tcPr>
          <w:p>
            <w:pPr>
              <w:jc w:val="right"/>
              <w:ind w:right="295"/>
              <w:spacing w:after="0"/>
              <w:rPr>
                <w:sz w:val="20"/>
                <w:szCs w:val="20"/>
                <w:color w:val="auto"/>
              </w:rPr>
            </w:pPr>
            <w:r>
              <w:rPr>
                <w:rFonts w:ascii="Arial" w:cs="Arial" w:eastAsia="Arial" w:hAnsi="Arial"/>
                <w:sz w:val="18"/>
                <w:szCs w:val="18"/>
                <w:color w:val="auto"/>
              </w:rPr>
              <w:t>12/16/16</w:t>
            </w:r>
          </w:p>
        </w:tc>
        <w:tc>
          <w:tcPr>
            <w:tcW w:w="12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right w:val="single" w:sz="8" w:color="auto"/>
            </w:tcBorders>
            <w:vMerge w:val="continue"/>
          </w:tcPr>
          <w:p>
            <w:pPr>
              <w:spacing w:after="0"/>
              <w:rPr>
                <w:sz w:val="10"/>
                <w:szCs w:val="10"/>
                <w:color w:val="auto"/>
              </w:rPr>
            </w:pPr>
          </w:p>
        </w:tc>
        <w:tc>
          <w:tcPr>
            <w:tcW w:w="2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Dept.</w:t>
            </w:r>
          </w:p>
        </w:tc>
        <w:tc>
          <w:tcPr>
            <w:tcW w:w="1100" w:type="dxa"/>
            <w:vAlign w:val="bottom"/>
            <w:tcBorders>
              <w:right w:val="single" w:sz="8" w:color="auto"/>
            </w:tcBorders>
            <w:shd w:val="clear" w:color="auto" w:fill="BFBFBF"/>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360" w:type="dxa"/>
            <w:vAlign w:val="bottom"/>
            <w:tcBorders>
              <w:left w:val="single" w:sz="8" w:color="auto"/>
              <w:right w:val="single" w:sz="8" w:color="auto"/>
            </w:tcBorders>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shd w:val="clear" w:color="auto" w:fill="BFBFBF"/>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360" w:type="dxa"/>
            <w:vAlign w:val="bottom"/>
            <w:tcBorders>
              <w:left w:val="single" w:sz="8" w:color="auto"/>
              <w:right w:val="single" w:sz="8" w:color="auto"/>
            </w:tcBorders>
          </w:tcPr>
          <w:p>
            <w:pPr>
              <w:spacing w:after="0"/>
              <w:rPr>
                <w:sz w:val="19"/>
                <w:szCs w:val="19"/>
                <w:color w:val="auto"/>
              </w:rPr>
            </w:pPr>
          </w:p>
        </w:tc>
        <w:tc>
          <w:tcPr>
            <w:tcW w:w="2300" w:type="dxa"/>
            <w:vAlign w:val="bottom"/>
            <w:tcBorders>
              <w:right w:val="single" w:sz="8" w:color="auto"/>
            </w:tcBorders>
          </w:tcPr>
          <w:p>
            <w:pPr>
              <w:spacing w:after="0" w:line="226" w:lineRule="exact"/>
              <w:rPr>
                <w:sz w:val="20"/>
                <w:szCs w:val="20"/>
                <w:color w:val="auto"/>
              </w:rPr>
            </w:pPr>
            <w:r>
              <w:rPr>
                <w:rFonts w:ascii="Arial" w:cs="Arial" w:eastAsia="Arial" w:hAnsi="Arial"/>
                <w:sz w:val="16"/>
                <w:szCs w:val="16"/>
                <w:color w:val="auto"/>
              </w:rPr>
              <w:t>1 New York Plaza, 38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100" w:type="dxa"/>
            <w:vAlign w:val="bottom"/>
            <w:tcBorders>
              <w:right w:val="single" w:sz="8" w:color="auto"/>
            </w:tcBorders>
            <w:shd w:val="clear" w:color="auto" w:fill="BFBFBF"/>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NY 10004</w:t>
            </w:r>
          </w:p>
        </w:tc>
        <w:tc>
          <w:tcPr>
            <w:tcW w:w="1100" w:type="dxa"/>
            <w:vAlign w:val="bottom"/>
            <w:tcBorders>
              <w:bottom w:val="single" w:sz="8" w:color="auto"/>
              <w:right w:val="single" w:sz="8" w:color="auto"/>
            </w:tcBorders>
            <w:shd w:val="clear" w:color="auto" w:fill="BFBFBF"/>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12/16/2016</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46,577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12/16/2016</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7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12/16/2016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Ashok Belani</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2019-12-21T02:29:34Z</dcterms:created>
  <dcterms:modified xsi:type="dcterms:W3CDTF">2019-12-21T02:29:34Z</dcterms:modified>
</cp:coreProperties>
</file>