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KIBSGAARD PAAL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267" w:lineRule="exact"/>
        <w:rPr>
          <w:sz w:val="24"/>
          <w:szCs w:val="24"/>
          <w:color w:val="auto"/>
        </w:rPr>
      </w:pPr>
    </w:p>
    <w:p>
      <w:pPr>
        <w:sectPr>
          <w:pgSz w:w="11900" w:h="16838" w:orient="portrait"/>
          <w:cols w:equalWidth="0" w:num="3">
            <w:col w:w="3360" w:space="720"/>
            <w:col w:w="3680" w:space="2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42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Arial" w:cs="Arial" w:eastAsia="Arial" w:hAnsi="Arial"/>
                <w:sz w:val="18"/>
                <w:szCs w:val="18"/>
                <w:color w:val="0000FF"/>
              </w:rPr>
              <w:t>77056</w:t>
            </w: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8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573"/>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480" w:type="dxa"/>
            <w:vAlign w:val="bottom"/>
            <w:tcBorders>
              <w:bottom w:val="single" w:sz="8" w:color="2C2C2C"/>
            </w:tcBorders>
            <w:gridSpan w:val="6"/>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7"/>
              </w:rPr>
              <w:t>Common Stock, $0.01 Par Value Per Share</w:t>
            </w:r>
          </w:p>
        </w:tc>
        <w:tc>
          <w:tcPr>
            <w:tcW w:w="1000" w:type="dxa"/>
            <w:vAlign w:val="bottom"/>
            <w:tcBorders>
              <w:bottom w:val="single" w:sz="8" w:color="2C2C2C"/>
            </w:tcBorders>
            <w:gridSpan w:val="2"/>
          </w:tcPr>
          <w:p>
            <w:pPr>
              <w:jc w:val="center"/>
              <w:ind w:right="138"/>
              <w:spacing w:after="0"/>
              <w:rPr>
                <w:sz w:val="20"/>
                <w:szCs w:val="20"/>
                <w:color w:val="auto"/>
              </w:rPr>
            </w:pPr>
            <w:r>
              <w:rPr>
                <w:rFonts w:ascii="Arial" w:cs="Arial" w:eastAsia="Arial" w:hAnsi="Arial"/>
                <w:sz w:val="18"/>
                <w:szCs w:val="18"/>
                <w:color w:val="0000FF"/>
                <w:w w:val="88"/>
              </w:rPr>
              <w:t>01/18/2019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(1)</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164,827</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279,827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7"/>
              </w:rPr>
              <w:t>Common Stock, $0.01 Par Value Per Share</w:t>
            </w:r>
          </w:p>
        </w:tc>
        <w:tc>
          <w:tcPr>
            <w:tcW w:w="1000" w:type="dxa"/>
            <w:vAlign w:val="bottom"/>
            <w:tcBorders>
              <w:bottom w:val="single" w:sz="8" w:color="2C2C2C"/>
            </w:tcBorders>
            <w:gridSpan w:val="2"/>
          </w:tcPr>
          <w:p>
            <w:pPr>
              <w:jc w:val="center"/>
              <w:ind w:right="138"/>
              <w:spacing w:after="0"/>
              <w:rPr>
                <w:sz w:val="20"/>
                <w:szCs w:val="20"/>
                <w:color w:val="auto"/>
              </w:rPr>
            </w:pPr>
            <w:r>
              <w:rPr>
                <w:rFonts w:ascii="Arial" w:cs="Arial" w:eastAsia="Arial" w:hAnsi="Arial"/>
                <w:sz w:val="18"/>
                <w:szCs w:val="18"/>
                <w:color w:val="0000FF"/>
                <w:w w:val="88"/>
              </w:rPr>
              <w:t>01/18/2019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(2)</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179,750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459,577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80" w:type="dxa"/>
            <w:vAlign w:val="bottom"/>
            <w:gridSpan w:val="6"/>
          </w:tcPr>
          <w:p>
            <w:pPr>
              <w:ind w:left="60"/>
              <w:spacing w:after="0"/>
              <w:rPr>
                <w:sz w:val="20"/>
                <w:szCs w:val="20"/>
                <w:color w:val="auto"/>
              </w:rPr>
            </w:pPr>
            <w:r>
              <w:rPr>
                <w:rFonts w:ascii="Arial" w:cs="Arial" w:eastAsia="Arial" w:hAnsi="Arial"/>
                <w:sz w:val="18"/>
                <w:szCs w:val="18"/>
                <w:color w:val="0000FF"/>
                <w:w w:val="97"/>
              </w:rPr>
              <w:t>Common Stock, $0.01 Par Value Per Share</w:t>
            </w:r>
          </w:p>
        </w:tc>
        <w:tc>
          <w:tcPr>
            <w:tcW w:w="1000" w:type="dxa"/>
            <w:vAlign w:val="bottom"/>
            <w:gridSpan w:val="2"/>
          </w:tcPr>
          <w:p>
            <w:pPr>
              <w:jc w:val="center"/>
              <w:ind w:right="138"/>
              <w:spacing w:after="0"/>
              <w:rPr>
                <w:sz w:val="20"/>
                <w:szCs w:val="20"/>
                <w:color w:val="auto"/>
              </w:rPr>
            </w:pPr>
            <w:r>
              <w:rPr>
                <w:rFonts w:ascii="Arial" w:cs="Arial" w:eastAsia="Arial" w:hAnsi="Arial"/>
                <w:sz w:val="18"/>
                <w:szCs w:val="18"/>
                <w:color w:val="0000FF"/>
                <w:w w:val="88"/>
              </w:rPr>
              <w:t>01/18/2019</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41"/>
              <w:spacing w:after="0"/>
              <w:rPr>
                <w:sz w:val="20"/>
                <w:szCs w:val="20"/>
                <w:color w:val="auto"/>
              </w:rPr>
            </w:pPr>
            <w:r>
              <w:rPr>
                <w:rFonts w:ascii="Arial" w:cs="Arial" w:eastAsia="Arial" w:hAnsi="Arial"/>
                <w:sz w:val="12"/>
                <w:szCs w:val="12"/>
                <w:color w:val="0000FF"/>
                <w:w w:val="81"/>
              </w:rPr>
              <w:t>F</w:t>
            </w:r>
          </w:p>
        </w:tc>
        <w:tc>
          <w:tcPr>
            <w:tcW w:w="760" w:type="dxa"/>
            <w:vAlign w:val="bottom"/>
          </w:tcPr>
          <w:p>
            <w:pPr>
              <w:jc w:val="right"/>
              <w:spacing w:after="0"/>
              <w:rPr>
                <w:sz w:val="20"/>
                <w:szCs w:val="20"/>
                <w:color w:val="auto"/>
              </w:rPr>
            </w:pPr>
            <w:r>
              <w:rPr>
                <w:rFonts w:ascii="Arial" w:cs="Arial" w:eastAsia="Arial" w:hAnsi="Arial"/>
                <w:sz w:val="18"/>
                <w:szCs w:val="18"/>
                <w:color w:val="0000FF"/>
              </w:rPr>
              <w:t>120,821</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43.97</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338,756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3"/>
          </w:tcPr>
          <w:p>
            <w:pPr>
              <w:spacing w:after="0"/>
              <w:rPr>
                <w:sz w:val="8"/>
                <w:szCs w:val="8"/>
                <w:color w:val="auto"/>
              </w:rPr>
            </w:pPr>
          </w:p>
        </w:tc>
        <w:tc>
          <w:tcPr>
            <w:tcW w:w="1680" w:type="dxa"/>
            <w:vAlign w:val="bottom"/>
            <w:tcBorders>
              <w:bottom w:val="single" w:sz="8" w:color="2C2C2C"/>
            </w:tcBorders>
            <w:gridSpan w:val="4"/>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3A. Deemed</w:t>
            </w:r>
          </w:p>
        </w:tc>
        <w:tc>
          <w:tcPr>
            <w:tcW w:w="4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18, 2019 upon achievement of the performance criteria and vesting of performance share units granted on January 21, 2016.</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18, 2019 upon achievement of the performance criteria and vesting of performance share units granted on January 19, 2017.</w:t>
      </w:r>
    </w:p>
    <w:p>
      <w:pPr>
        <w:spacing w:after="0" w:line="51"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01/23/2019</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8237"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2019-12-23T21:21:47Z</dcterms:created>
  <dcterms:modified xsi:type="dcterms:W3CDTF">2019-12-23T21:21:47Z</dcterms:modified>
</cp:coreProperties>
</file>