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147955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QUARTERLY REPORT PURSUANT TO SECTION 13 OR 15(d)</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00" w:lineRule="exact"/>
        <w:rPr>
          <w:sz w:val="24"/>
          <w:szCs w:val="24"/>
          <w:color w:val="auto"/>
        </w:rPr>
      </w:pPr>
    </w:p>
    <w:p>
      <w:pPr>
        <w:spacing w:after="0" w:line="213" w:lineRule="exact"/>
        <w:rPr>
          <w:sz w:val="24"/>
          <w:szCs w:val="24"/>
          <w:color w:val="auto"/>
        </w:rPr>
      </w:pPr>
    </w:p>
    <w:p>
      <w:pPr>
        <w:ind w:left="1900"/>
        <w:spacing w:after="0"/>
        <w:rPr>
          <w:sz w:val="20"/>
          <w:szCs w:val="20"/>
          <w:color w:val="auto"/>
        </w:rPr>
      </w:pPr>
      <w:r>
        <w:rPr>
          <w:rFonts w:ascii="Arial" w:cs="Arial" w:eastAsia="Arial" w:hAnsi="Arial"/>
          <w:sz w:val="12"/>
          <w:szCs w:val="12"/>
          <w:b w:val="1"/>
          <w:bCs w:val="1"/>
          <w:color w:val="auto"/>
        </w:rPr>
        <w:t>For the quarterly period ended:</w:t>
      </w:r>
    </w:p>
    <w:p>
      <w:pPr>
        <w:spacing w:after="0" w:line="20" w:lineRule="exact"/>
        <w:rPr>
          <w:sz w:val="24"/>
          <w:szCs w:val="24"/>
          <w:color w:val="auto"/>
        </w:rPr>
      </w:pPr>
      <w:r>
        <w:rPr>
          <w:sz w:val="24"/>
          <w:szCs w:val="24"/>
          <w:color w:val="auto"/>
        </w:rPr>
        <w:br w:type="column"/>
      </w:r>
    </w:p>
    <w:p>
      <w:pPr>
        <w:spacing w:after="0" w:line="393"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Commission file No.:</w:t>
      </w:r>
    </w:p>
    <w:p>
      <w:pPr>
        <w:spacing w:after="0" w:line="36" w:lineRule="exact"/>
        <w:rPr>
          <w:sz w:val="24"/>
          <w:szCs w:val="24"/>
          <w:color w:val="auto"/>
        </w:rPr>
      </w:pPr>
    </w:p>
    <w:p>
      <w:pPr>
        <w:sectPr>
          <w:pgSz w:w="11900" w:h="16838" w:orient="portrait"/>
          <w:cols w:equalWidth="0" w:num="2">
            <w:col w:w="7420" w:space="720"/>
            <w:col w:w="3280"/>
          </w:cols>
          <w:pgMar w:left="240" w:top="230" w:right="239" w:bottom="1440" w:gutter="0" w:footer="0" w:header="0"/>
          <w:type w:val="continuous"/>
        </w:sectPr>
      </w:pPr>
    </w:p>
    <w:p>
      <w:pPr>
        <w:ind w:left="2080"/>
        <w:spacing w:after="0"/>
        <w:rPr>
          <w:sz w:val="20"/>
          <w:szCs w:val="20"/>
          <w:color w:val="auto"/>
        </w:rPr>
      </w:pPr>
      <w:r>
        <w:rPr>
          <w:rFonts w:ascii="Arial" w:cs="Arial" w:eastAsia="Arial" w:hAnsi="Arial"/>
          <w:sz w:val="15"/>
          <w:szCs w:val="15"/>
          <w:b w:val="1"/>
          <w:bCs w:val="1"/>
          <w:color w:val="auto"/>
        </w:rPr>
        <w:t>September 30, 2009</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1-4601</w:t>
      </w:r>
    </w:p>
    <w:p>
      <w:pPr>
        <w:spacing w:after="0" w:line="151" w:lineRule="exact"/>
        <w:rPr>
          <w:sz w:val="24"/>
          <w:szCs w:val="24"/>
          <w:color w:val="auto"/>
        </w:rPr>
      </w:pPr>
    </w:p>
    <w:p>
      <w:pPr>
        <w:sectPr>
          <w:pgSz w:w="11900" w:h="16838" w:orient="portrait"/>
          <w:cols w:equalWidth="0" w:num="2">
            <w:col w:w="7780" w:space="720"/>
            <w:col w:w="292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32"/>
          <w:szCs w:val="32"/>
          <w:b w:val="1"/>
          <w:bCs w:val="1"/>
          <w:color w:val="auto"/>
        </w:rPr>
        <w:t>SCHLUMBERGER N.V.</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(SCHLUMBERGER LIMITED)</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1" w:lineRule="exact"/>
        <w:rPr>
          <w:sz w:val="24"/>
          <w:szCs w:val="24"/>
          <w:color w:val="auto"/>
        </w:rPr>
      </w:pPr>
    </w:p>
    <w:tbl>
      <w:tblPr>
        <w:tblLayout w:type="fixed"/>
        <w:tblInd w:w="1580" w:type="dxa"/>
        <w:tblCellMar>
          <w:top w:w="0" w:type="dxa"/>
          <w:left w:w="0" w:type="dxa"/>
          <w:bottom w:w="0" w:type="dxa"/>
          <w:right w:w="0" w:type="dxa"/>
        </w:tblCellMar>
      </w:tblPr>
      <w:tr>
        <w:trPr>
          <w:trHeight w:val="218"/>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8"/>
              </w:rPr>
              <w:t>NETHERLANDS ANTILLES</w:t>
            </w:r>
          </w:p>
        </w:tc>
        <w:tc>
          <w:tcPr>
            <w:tcW w:w="3140" w:type="dxa"/>
            <w:vAlign w:val="bottom"/>
          </w:tcPr>
          <w:p>
            <w:pPr>
              <w:jc w:val="center"/>
              <w:ind w:left="2021"/>
              <w:spacing w:after="0"/>
              <w:rPr>
                <w:sz w:val="20"/>
                <w:szCs w:val="20"/>
                <w:color w:val="auto"/>
              </w:rPr>
            </w:pPr>
            <w:r>
              <w:rPr>
                <w:rFonts w:ascii="Arial" w:cs="Arial" w:eastAsia="Arial" w:hAnsi="Arial"/>
                <w:sz w:val="18"/>
                <w:szCs w:val="18"/>
                <w:b w:val="1"/>
                <w:bCs w:val="1"/>
                <w:color w:val="auto"/>
                <w:w w:val="87"/>
              </w:rPr>
              <w:t>52-0684746</w:t>
            </w:r>
          </w:p>
        </w:tc>
      </w:tr>
      <w:tr>
        <w:trPr>
          <w:trHeight w:val="149"/>
        </w:trPr>
        <w:tc>
          <w:tcPr>
            <w:tcW w:w="4540" w:type="dxa"/>
            <w:vAlign w:val="bottom"/>
          </w:tcPr>
          <w:p>
            <w:pPr>
              <w:jc w:val="center"/>
              <w:ind w:right="1998"/>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140" w:type="dxa"/>
            <w:vAlign w:val="bottom"/>
          </w:tcPr>
          <w:p>
            <w:pPr>
              <w:jc w:val="center"/>
              <w:ind w:left="2021"/>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4540" w:type="dxa"/>
            <w:vAlign w:val="bottom"/>
          </w:tcPr>
          <w:p>
            <w:pPr>
              <w:jc w:val="center"/>
              <w:ind w:right="1998"/>
              <w:spacing w:after="0"/>
              <w:rPr>
                <w:sz w:val="20"/>
                <w:szCs w:val="20"/>
                <w:color w:val="auto"/>
              </w:rPr>
            </w:pPr>
            <w:r>
              <w:rPr>
                <w:rFonts w:ascii="Arial" w:cs="Arial" w:eastAsia="Arial" w:hAnsi="Arial"/>
                <w:sz w:val="14"/>
                <w:szCs w:val="14"/>
                <w:b w:val="1"/>
                <w:bCs w:val="1"/>
                <w:color w:val="auto"/>
                <w:w w:val="89"/>
              </w:rPr>
              <w:t>incorporation or organization)</w:t>
            </w:r>
          </w:p>
        </w:tc>
        <w:tc>
          <w:tcPr>
            <w:tcW w:w="3140" w:type="dxa"/>
            <w:vAlign w:val="bottom"/>
          </w:tcPr>
          <w:p>
            <w:pPr>
              <w:jc w:val="center"/>
              <w:ind w:left="2021"/>
              <w:spacing w:after="0"/>
              <w:rPr>
                <w:sz w:val="20"/>
                <w:szCs w:val="20"/>
                <w:color w:val="auto"/>
              </w:rPr>
            </w:pPr>
            <w:r>
              <w:rPr>
                <w:rFonts w:ascii="Arial" w:cs="Arial" w:eastAsia="Arial" w:hAnsi="Arial"/>
                <w:sz w:val="14"/>
                <w:szCs w:val="14"/>
                <w:b w:val="1"/>
                <w:bCs w:val="1"/>
                <w:color w:val="auto"/>
                <w:w w:val="87"/>
              </w:rPr>
              <w:t>Identification No.)</w:t>
            </w:r>
          </w:p>
        </w:tc>
      </w:tr>
      <w:tr>
        <w:trPr>
          <w:trHeight w:val="310"/>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9"/>
              </w:rPr>
              <w:t>42 RUE SAINT-DOMINIQUE</w:t>
            </w:r>
          </w:p>
        </w:tc>
        <w:tc>
          <w:tcPr>
            <w:tcW w:w="3140" w:type="dxa"/>
            <w:vAlign w:val="bottom"/>
          </w:tcPr>
          <w:p>
            <w:pPr>
              <w:spacing w:after="0"/>
              <w:rPr>
                <w:sz w:val="24"/>
                <w:szCs w:val="24"/>
                <w:color w:val="auto"/>
              </w:rPr>
            </w:pPr>
          </w:p>
        </w:tc>
      </w:tr>
      <w:tr>
        <w:trPr>
          <w:trHeight w:val="242"/>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5"/>
              </w:rPr>
              <w:t>PARIS, FRANCE</w:t>
            </w:r>
          </w:p>
        </w:tc>
        <w:tc>
          <w:tcPr>
            <w:tcW w:w="3140" w:type="dxa"/>
            <w:vAlign w:val="bottom"/>
          </w:tcPr>
          <w:p>
            <w:pPr>
              <w:jc w:val="center"/>
              <w:ind w:left="2021"/>
              <w:spacing w:after="0"/>
              <w:rPr>
                <w:sz w:val="20"/>
                <w:szCs w:val="20"/>
                <w:color w:val="auto"/>
              </w:rPr>
            </w:pPr>
            <w:r>
              <w:rPr>
                <w:rFonts w:ascii="Arial" w:cs="Arial" w:eastAsia="Arial" w:hAnsi="Arial"/>
                <w:sz w:val="18"/>
                <w:szCs w:val="18"/>
                <w:b w:val="1"/>
                <w:bCs w:val="1"/>
                <w:color w:val="auto"/>
                <w:w w:val="87"/>
              </w:rPr>
              <w:t>75007</w:t>
            </w:r>
          </w:p>
        </w:tc>
      </w:tr>
      <w:tr>
        <w:trPr>
          <w:trHeight w:val="312"/>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4"/>
              </w:rPr>
              <w:t>5599 SAN FELIPE, 17</w:t>
            </w:r>
            <w:r>
              <w:rPr>
                <w:rFonts w:ascii="Arial" w:cs="Arial" w:eastAsia="Arial" w:hAnsi="Arial"/>
                <w:sz w:val="11"/>
                <w:szCs w:val="11"/>
                <w:b w:val="1"/>
                <w:bCs w:val="1"/>
                <w:color w:val="auto"/>
                <w:w w:val="94"/>
              </w:rPr>
              <w:t>th</w:t>
            </w:r>
            <w:r>
              <w:rPr>
                <w:rFonts w:ascii="Arial" w:cs="Arial" w:eastAsia="Arial" w:hAnsi="Arial"/>
                <w:sz w:val="18"/>
                <w:szCs w:val="18"/>
                <w:b w:val="1"/>
                <w:bCs w:val="1"/>
                <w:color w:val="auto"/>
                <w:w w:val="94"/>
              </w:rPr>
              <w:t xml:space="preserve"> FLOOR</w:t>
            </w:r>
          </w:p>
        </w:tc>
        <w:tc>
          <w:tcPr>
            <w:tcW w:w="3140" w:type="dxa"/>
            <w:vAlign w:val="bottom"/>
          </w:tcPr>
          <w:p>
            <w:pPr>
              <w:spacing w:after="0"/>
              <w:rPr>
                <w:sz w:val="24"/>
                <w:szCs w:val="24"/>
                <w:color w:val="auto"/>
              </w:rPr>
            </w:pPr>
          </w:p>
        </w:tc>
      </w:tr>
      <w:tr>
        <w:trPr>
          <w:trHeight w:val="242"/>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4"/>
              </w:rPr>
              <w:t>HOUSTON, TEXAS, U.S.A.</w:t>
            </w:r>
          </w:p>
        </w:tc>
        <w:tc>
          <w:tcPr>
            <w:tcW w:w="3140" w:type="dxa"/>
            <w:vAlign w:val="bottom"/>
          </w:tcPr>
          <w:p>
            <w:pPr>
              <w:jc w:val="center"/>
              <w:ind w:left="2021"/>
              <w:spacing w:after="0"/>
              <w:rPr>
                <w:sz w:val="20"/>
                <w:szCs w:val="20"/>
                <w:color w:val="auto"/>
              </w:rPr>
            </w:pPr>
            <w:r>
              <w:rPr>
                <w:rFonts w:ascii="Arial" w:cs="Arial" w:eastAsia="Arial" w:hAnsi="Arial"/>
                <w:sz w:val="18"/>
                <w:szCs w:val="18"/>
                <w:b w:val="1"/>
                <w:bCs w:val="1"/>
                <w:color w:val="auto"/>
                <w:w w:val="87"/>
              </w:rPr>
              <w:t>77056</w:t>
            </w:r>
          </w:p>
        </w:tc>
      </w:tr>
      <w:tr>
        <w:trPr>
          <w:trHeight w:val="312"/>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5"/>
              </w:rPr>
              <w:t>PARKSTRAAT 83</w:t>
            </w:r>
          </w:p>
        </w:tc>
        <w:tc>
          <w:tcPr>
            <w:tcW w:w="3140" w:type="dxa"/>
            <w:vAlign w:val="bottom"/>
          </w:tcPr>
          <w:p>
            <w:pPr>
              <w:spacing w:after="0"/>
              <w:rPr>
                <w:sz w:val="24"/>
                <w:szCs w:val="24"/>
                <w:color w:val="auto"/>
              </w:rPr>
            </w:pPr>
          </w:p>
        </w:tc>
      </w:tr>
      <w:tr>
        <w:trPr>
          <w:trHeight w:val="216"/>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9"/>
              </w:rPr>
              <w:t>THE HAGUE,</w:t>
            </w:r>
          </w:p>
        </w:tc>
        <w:tc>
          <w:tcPr>
            <w:tcW w:w="3140" w:type="dxa"/>
            <w:vAlign w:val="bottom"/>
          </w:tcPr>
          <w:p>
            <w:pPr>
              <w:spacing w:after="0"/>
              <w:rPr>
                <w:sz w:val="18"/>
                <w:szCs w:val="18"/>
                <w:color w:val="auto"/>
              </w:rPr>
            </w:pPr>
          </w:p>
        </w:tc>
      </w:tr>
      <w:tr>
        <w:trPr>
          <w:trHeight w:val="231"/>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8"/>
              </w:rPr>
              <w:t>THE NETHERLANDS</w:t>
            </w:r>
          </w:p>
        </w:tc>
        <w:tc>
          <w:tcPr>
            <w:tcW w:w="3140" w:type="dxa"/>
            <w:vAlign w:val="bottom"/>
          </w:tcPr>
          <w:p>
            <w:pPr>
              <w:jc w:val="center"/>
              <w:ind w:left="2001"/>
              <w:spacing w:after="0"/>
              <w:rPr>
                <w:sz w:val="20"/>
                <w:szCs w:val="20"/>
                <w:color w:val="auto"/>
              </w:rPr>
            </w:pPr>
            <w:r>
              <w:rPr>
                <w:rFonts w:ascii="Arial" w:cs="Arial" w:eastAsia="Arial" w:hAnsi="Arial"/>
                <w:sz w:val="18"/>
                <w:szCs w:val="18"/>
                <w:b w:val="1"/>
                <w:bCs w:val="1"/>
                <w:color w:val="auto"/>
                <w:w w:val="89"/>
              </w:rPr>
              <w:t>2514 JG</w:t>
            </w:r>
          </w:p>
        </w:tc>
      </w:tr>
      <w:tr>
        <w:trPr>
          <w:trHeight w:val="174"/>
        </w:trPr>
        <w:tc>
          <w:tcPr>
            <w:tcW w:w="4540" w:type="dxa"/>
            <w:vAlign w:val="bottom"/>
          </w:tcPr>
          <w:p>
            <w:pPr>
              <w:jc w:val="center"/>
              <w:ind w:right="1998"/>
              <w:spacing w:after="0"/>
              <w:rPr>
                <w:sz w:val="20"/>
                <w:szCs w:val="20"/>
                <w:color w:val="auto"/>
              </w:rPr>
            </w:pPr>
            <w:r>
              <w:rPr>
                <w:rFonts w:ascii="Arial" w:cs="Arial" w:eastAsia="Arial" w:hAnsi="Arial"/>
                <w:sz w:val="14"/>
                <w:szCs w:val="14"/>
                <w:b w:val="1"/>
                <w:bCs w:val="1"/>
                <w:color w:val="auto"/>
                <w:w w:val="84"/>
              </w:rPr>
              <w:t>(Addresses of principal executive offices)</w:t>
            </w:r>
          </w:p>
        </w:tc>
        <w:tc>
          <w:tcPr>
            <w:tcW w:w="3140" w:type="dxa"/>
            <w:vAlign w:val="bottom"/>
          </w:tcPr>
          <w:p>
            <w:pPr>
              <w:jc w:val="center"/>
              <w:ind w:left="2021"/>
              <w:spacing w:after="0"/>
              <w:rPr>
                <w:sz w:val="20"/>
                <w:szCs w:val="20"/>
                <w:color w:val="auto"/>
              </w:rPr>
            </w:pPr>
            <w:r>
              <w:rPr>
                <w:rFonts w:ascii="Arial" w:cs="Arial" w:eastAsia="Arial" w:hAnsi="Arial"/>
                <w:sz w:val="14"/>
                <w:szCs w:val="14"/>
                <w:b w:val="1"/>
                <w:bCs w:val="1"/>
                <w:color w:val="auto"/>
                <w:w w:val="88"/>
              </w:rPr>
              <w:t>(Zip Codes)</w:t>
            </w:r>
          </w:p>
        </w:tc>
      </w:tr>
    </w:tbl>
    <w:p>
      <w:pPr>
        <w:spacing w:after="0" w:line="10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Registrant's telephone number: (713) 513-2000</w:t>
      </w:r>
    </w:p>
    <w:p>
      <w:pPr>
        <w:spacing w:after="0" w:line="96" w:lineRule="exact"/>
        <w:rPr>
          <w:sz w:val="24"/>
          <w:szCs w:val="24"/>
          <w:color w:val="auto"/>
        </w:rPr>
      </w:pPr>
    </w:p>
    <w:p>
      <w:pPr>
        <w:ind w:right="240"/>
        <w:spacing w:after="0" w:line="26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and (2) has been subject to such filing requirements for the past 90 days.</w:t>
      </w:r>
    </w:p>
    <w:p>
      <w:pPr>
        <w:spacing w:after="0" w:line="18" w:lineRule="exact"/>
        <w:rPr>
          <w:sz w:val="24"/>
          <w:szCs w:val="24"/>
          <w:color w:val="auto"/>
        </w:rPr>
      </w:pPr>
    </w:p>
    <w:p>
      <w:pPr>
        <w:ind w:left="4900"/>
        <w:spacing w:after="0" w:line="207" w:lineRule="exact"/>
        <w:tabs>
          <w:tab w:leader="none" w:pos="60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77" w:lineRule="exact"/>
        <w:rPr>
          <w:sz w:val="24"/>
          <w:szCs w:val="24"/>
          <w:color w:val="auto"/>
        </w:rPr>
      </w:pPr>
    </w:p>
    <w:p>
      <w:pPr>
        <w:ind w:right="20"/>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27" w:lineRule="exact"/>
        <w:rPr>
          <w:sz w:val="24"/>
          <w:szCs w:val="24"/>
          <w:color w:val="auto"/>
        </w:rPr>
      </w:pPr>
    </w:p>
    <w:p>
      <w:pPr>
        <w:ind w:left="4900"/>
        <w:spacing w:after="0" w:line="207" w:lineRule="exact"/>
        <w:tabs>
          <w:tab w:leader="none" w:pos="60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77" w:lineRule="exact"/>
        <w:rPr>
          <w:sz w:val="24"/>
          <w:szCs w:val="24"/>
          <w:color w:val="auto"/>
        </w:rPr>
      </w:pPr>
    </w:p>
    <w:p>
      <w:pPr>
        <w:ind w:right="420"/>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 w:lineRule="exact"/>
        <w:rPr>
          <w:sz w:val="24"/>
          <w:szCs w:val="24"/>
          <w:color w:val="auto"/>
        </w:rPr>
      </w:pPr>
    </w:p>
    <w:p>
      <w:pPr>
        <w:spacing w:after="0" w:line="207" w:lineRule="exact"/>
        <w:tabs>
          <w:tab w:leader="none" w:pos="2740" w:val="left"/>
          <w:tab w:leader="none" w:pos="5380" w:val="left"/>
          <w:tab w:leader="none" w:pos="82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58" w:lineRule="exact"/>
        <w:rPr>
          <w:sz w:val="24"/>
          <w:szCs w:val="24"/>
          <w:color w:val="auto"/>
        </w:rPr>
      </w:pPr>
    </w:p>
    <w:p>
      <w:pPr>
        <w:ind w:left="4900"/>
        <w:spacing w:after="0" w:line="207" w:lineRule="exact"/>
        <w:tabs>
          <w:tab w:leader="none" w:pos="60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4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jc w:val="center"/>
              <w:ind w:right="542"/>
              <w:spacing w:after="0"/>
              <w:rPr>
                <w:sz w:val="20"/>
                <w:szCs w:val="20"/>
                <w:color w:val="auto"/>
              </w:rPr>
            </w:pPr>
            <w:r>
              <w:rPr>
                <w:rFonts w:ascii="Arial" w:cs="Arial" w:eastAsia="Arial" w:hAnsi="Arial"/>
                <w:sz w:val="14"/>
                <w:szCs w:val="14"/>
                <w:b w:val="1"/>
                <w:bCs w:val="1"/>
                <w:color w:val="auto"/>
                <w:w w:val="80"/>
              </w:rPr>
              <w:t>Class</w:t>
            </w:r>
          </w:p>
        </w:tc>
        <w:tc>
          <w:tcPr>
            <w:tcW w:w="5180" w:type="dxa"/>
            <w:vAlign w:val="bottom"/>
          </w:tcPr>
          <w:p>
            <w:pPr>
              <w:jc w:val="center"/>
              <w:ind w:right="102"/>
              <w:spacing w:after="0"/>
              <w:rPr>
                <w:sz w:val="20"/>
                <w:szCs w:val="20"/>
                <w:color w:val="auto"/>
              </w:rPr>
            </w:pPr>
            <w:r>
              <w:rPr>
                <w:rFonts w:ascii="Arial" w:cs="Arial" w:eastAsia="Arial" w:hAnsi="Arial"/>
                <w:sz w:val="14"/>
                <w:szCs w:val="14"/>
                <w:b w:val="1"/>
                <w:bCs w:val="1"/>
                <w:color w:val="auto"/>
                <w:w w:val="87"/>
              </w:rPr>
              <w:t>Outstanding at September 30, 2009</w:t>
            </w:r>
          </w:p>
        </w:tc>
      </w:tr>
      <w:tr>
        <w:trPr>
          <w:trHeight w:val="222"/>
        </w:trPr>
        <w:tc>
          <w:tcPr>
            <w:tcW w:w="6240" w:type="dxa"/>
            <w:vAlign w:val="bottom"/>
          </w:tcPr>
          <w:p>
            <w:pPr>
              <w:jc w:val="center"/>
              <w:ind w:right="522"/>
              <w:spacing w:after="0"/>
              <w:rPr>
                <w:sz w:val="20"/>
                <w:szCs w:val="20"/>
                <w:color w:val="auto"/>
              </w:rPr>
            </w:pPr>
            <w:r>
              <w:rPr>
                <w:rFonts w:ascii="Arial" w:cs="Arial" w:eastAsia="Arial" w:hAnsi="Arial"/>
                <w:sz w:val="18"/>
                <w:szCs w:val="18"/>
                <w:color w:val="auto"/>
                <w:w w:val="92"/>
              </w:rPr>
              <w:t>COMMON STOCK, $0.01 PAR VALUE PER SHARE</w:t>
            </w:r>
          </w:p>
        </w:tc>
        <w:tc>
          <w:tcPr>
            <w:tcW w:w="5180" w:type="dxa"/>
            <w:vAlign w:val="bottom"/>
          </w:tcPr>
          <w:p>
            <w:pPr>
              <w:jc w:val="right"/>
              <w:ind w:right="2102"/>
              <w:spacing w:after="0"/>
              <w:rPr>
                <w:sz w:val="20"/>
                <w:szCs w:val="20"/>
                <w:color w:val="auto"/>
              </w:rPr>
            </w:pPr>
            <w:r>
              <w:rPr>
                <w:rFonts w:ascii="Arial" w:cs="Arial" w:eastAsia="Arial" w:hAnsi="Arial"/>
                <w:sz w:val="18"/>
                <w:szCs w:val="18"/>
                <w:color w:val="auto"/>
              </w:rPr>
              <w:t>1,200,764,289</w:t>
            </w:r>
          </w:p>
        </w:tc>
      </w:tr>
      <w:tr>
        <w:trPr>
          <w:trHeight w:val="124"/>
        </w:trPr>
        <w:tc>
          <w:tcPr>
            <w:tcW w:w="6240" w:type="dxa"/>
            <w:vAlign w:val="bottom"/>
            <w:tcBorders>
              <w:bottom w:val="single" w:sz="8" w:color="auto"/>
            </w:tcBorders>
          </w:tcPr>
          <w:p>
            <w:pPr>
              <w:spacing w:after="0"/>
              <w:rPr>
                <w:sz w:val="10"/>
                <w:szCs w:val="10"/>
                <w:color w:val="auto"/>
              </w:rPr>
            </w:pPr>
          </w:p>
        </w:tc>
        <w:tc>
          <w:tcPr>
            <w:tcW w:w="51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Quarter 2009 Form 10-Q</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vMerge w:val="restart"/>
          </w:tcPr>
          <w:p>
            <w:pPr>
              <w:spacing w:after="0"/>
              <w:rPr>
                <w:sz w:val="20"/>
                <w:szCs w:val="20"/>
                <w:color w:val="auto"/>
              </w:rPr>
            </w:pPr>
            <w:r>
              <w:rPr>
                <w:rFonts w:ascii="Arial" w:cs="Arial" w:eastAsia="Arial" w:hAnsi="Arial"/>
                <w:sz w:val="18"/>
                <w:szCs w:val="18"/>
                <w:b w:val="1"/>
                <w:bCs w:val="1"/>
                <w:color w:val="auto"/>
                <w:w w:val="94"/>
              </w:rPr>
              <w:t>PART I</w:t>
            </w:r>
          </w:p>
        </w:tc>
        <w:tc>
          <w:tcPr>
            <w:tcW w:w="540" w:type="dxa"/>
            <w:vAlign w:val="bottom"/>
            <w:gridSpan w:val="2"/>
            <w:vMerge w:val="restart"/>
          </w:tcPr>
          <w:p>
            <w:pPr>
              <w:spacing w:after="0"/>
              <w:rPr>
                <w:sz w:val="14"/>
                <w:szCs w:val="14"/>
                <w:color w:val="auto"/>
              </w:rPr>
            </w:pPr>
          </w:p>
        </w:tc>
        <w:tc>
          <w:tcPr>
            <w:tcW w:w="1660" w:type="dxa"/>
            <w:vAlign w:val="bottom"/>
            <w:gridSpan w:val="6"/>
            <w:vMerge w:val="restart"/>
          </w:tcPr>
          <w:p>
            <w:pPr>
              <w:spacing w:after="0"/>
              <w:rPr>
                <w:rFonts w:ascii="Arial" w:cs="Arial" w:eastAsia="Arial" w:hAnsi="Arial"/>
                <w:sz w:val="18"/>
                <w:szCs w:val="18"/>
                <w:b w:val="1"/>
                <w:bCs w:val="1"/>
                <w:color w:val="0000EE"/>
                <w:w w:val="90"/>
              </w:rPr>
            </w:pPr>
            <w:hyperlink w:anchor="page3">
              <w:r>
                <w:rPr>
                  <w:rFonts w:ascii="Arial" w:cs="Arial" w:eastAsia="Arial" w:hAnsi="Arial"/>
                  <w:sz w:val="18"/>
                  <w:szCs w:val="18"/>
                  <w:b w:val="1"/>
                  <w:bCs w:val="1"/>
                  <w:color w:val="0000EE"/>
                  <w:w w:val="90"/>
                </w:rPr>
                <w:t>Financial Information</w:t>
              </w:r>
            </w:hyperlink>
          </w:p>
        </w:tc>
        <w:tc>
          <w:tcPr>
            <w:tcW w:w="8360" w:type="dxa"/>
            <w:vAlign w:val="bottom"/>
            <w:gridSpan w:val="7"/>
            <w:vMerge w:val="restart"/>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580" w:type="dxa"/>
            <w:vAlign w:val="bottom"/>
            <w:tcBorders>
              <w:bottom w:val="single" w:sz="8" w:color="auto"/>
            </w:tcBorders>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660" w:type="dxa"/>
            <w:vAlign w:val="bottom"/>
            <w:tcBorders>
              <w:bottom w:val="single" w:sz="8" w:color="0000EE"/>
            </w:tcBorders>
            <w:gridSpan w:val="6"/>
            <w:vMerge w:val="continue"/>
          </w:tcPr>
          <w:p>
            <w:pPr>
              <w:spacing w:after="0"/>
              <w:rPr>
                <w:sz w:val="14"/>
                <w:szCs w:val="14"/>
                <w:color w:val="auto"/>
              </w:rPr>
            </w:pPr>
          </w:p>
        </w:tc>
        <w:tc>
          <w:tcPr>
            <w:tcW w:w="8360" w:type="dxa"/>
            <w:vAlign w:val="bottom"/>
            <w:gridSpan w:val="7"/>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1002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20">
              <w:r>
                <w:rPr>
                  <w:rFonts w:ascii="Arial" w:cs="Arial" w:eastAsia="Arial" w:hAnsi="Arial"/>
                  <w:sz w:val="18"/>
                  <w:szCs w:val="18"/>
                  <w:color w:val="0000EE"/>
                  <w:w w:val="88"/>
                </w:rPr>
                <w:t>Management’s Discussion and Analysis of Financial Condition and Results of Operations</w:t>
              </w:r>
            </w:hyperlink>
          </w:p>
        </w:tc>
        <w:tc>
          <w:tcPr>
            <w:tcW w:w="37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20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Quantitative and Qualitative Disclosures about Market Risk</w:t>
              </w:r>
            </w:hyperlink>
          </w:p>
        </w:tc>
        <w:tc>
          <w:tcPr>
            <w:tcW w:w="58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10020" w:type="dxa"/>
            <w:vAlign w:val="bottom"/>
            <w:gridSpan w:val="13"/>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b w:val="1"/>
                <w:bCs w:val="1"/>
                <w:color w:val="auto"/>
              </w:rPr>
              <w:t>PART II</w:t>
            </w:r>
          </w:p>
        </w:tc>
        <w:tc>
          <w:tcPr>
            <w:tcW w:w="1720" w:type="dxa"/>
            <w:vAlign w:val="bottom"/>
            <w:tcBorders>
              <w:top w:val="single" w:sz="8" w:color="0000EE"/>
            </w:tcBorders>
            <w:gridSpan w:val="7"/>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Other Information</w:t>
              </w:r>
            </w:hyperlink>
          </w:p>
        </w:tc>
        <w:tc>
          <w:tcPr>
            <w:tcW w:w="8300" w:type="dxa"/>
            <w:vAlign w:val="bottom"/>
            <w:gridSpan w:val="6"/>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Item 1.</w:t>
            </w:r>
          </w:p>
        </w:tc>
        <w:tc>
          <w:tcPr>
            <w:tcW w:w="480" w:type="dxa"/>
            <w:vAlign w:val="bottom"/>
          </w:tcPr>
          <w:p>
            <w:pPr>
              <w:spacing w:after="0"/>
              <w:rPr>
                <w:sz w:val="24"/>
                <w:szCs w:val="24"/>
                <w:color w:val="auto"/>
              </w:rPr>
            </w:pPr>
          </w:p>
        </w:tc>
        <w:tc>
          <w:tcPr>
            <w:tcW w:w="13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5"/>
              </w:rPr>
            </w:pPr>
            <w:hyperlink w:anchor="page31">
              <w:r>
                <w:rPr>
                  <w:rFonts w:ascii="Arial" w:cs="Arial" w:eastAsia="Arial" w:hAnsi="Arial"/>
                  <w:sz w:val="18"/>
                  <w:szCs w:val="18"/>
                  <w:color w:val="0000EE"/>
                  <w:w w:val="85"/>
                </w:rPr>
                <w:t>Legal Proceedings</w:t>
              </w:r>
            </w:hyperlink>
          </w:p>
        </w:tc>
        <w:tc>
          <w:tcPr>
            <w:tcW w:w="160" w:type="dxa"/>
            <w:vAlign w:val="bottom"/>
            <w:tcBorders>
              <w:top w:val="single" w:sz="8" w:color="0000EE"/>
            </w:tcBorders>
          </w:tcPr>
          <w:p>
            <w:pPr>
              <w:spacing w:after="0"/>
              <w:rPr>
                <w:sz w:val="24"/>
                <w:szCs w:val="24"/>
                <w:color w:val="auto"/>
              </w:rPr>
            </w:pPr>
          </w:p>
        </w:tc>
        <w:tc>
          <w:tcPr>
            <w:tcW w:w="856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31">
              <w:r>
                <w:rPr>
                  <w:rFonts w:ascii="Arial" w:cs="Arial" w:eastAsia="Arial" w:hAnsi="Arial"/>
                  <w:sz w:val="18"/>
                  <w:szCs w:val="18"/>
                  <w:color w:val="0000EE"/>
                  <w:w w:val="85"/>
                </w:rPr>
                <w:t>Risk Factors</w:t>
              </w:r>
            </w:hyperlink>
          </w:p>
        </w:tc>
        <w:tc>
          <w:tcPr>
            <w:tcW w:w="914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11"/>
          </w:tcPr>
          <w:p>
            <w:pPr>
              <w:spacing w:after="0"/>
              <w:rPr>
                <w:rFonts w:ascii="Arial" w:cs="Arial" w:eastAsia="Arial" w:hAnsi="Arial"/>
                <w:sz w:val="18"/>
                <w:szCs w:val="18"/>
                <w:color w:val="0000EE"/>
                <w:w w:val="86"/>
              </w:rPr>
            </w:pPr>
            <w:hyperlink w:anchor="page31">
              <w:r>
                <w:rPr>
                  <w:rFonts w:ascii="Arial" w:cs="Arial" w:eastAsia="Arial" w:hAnsi="Arial"/>
                  <w:sz w:val="18"/>
                  <w:szCs w:val="18"/>
                  <w:color w:val="0000EE"/>
                  <w:w w:val="86"/>
                </w:rPr>
                <w:t>Unregistered Sales of Equity Securities and Use of Proceeds</w:t>
              </w:r>
            </w:hyperlink>
          </w:p>
        </w:tc>
        <w:tc>
          <w:tcPr>
            <w:tcW w:w="578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18"/>
        </w:trPr>
        <w:tc>
          <w:tcPr>
            <w:tcW w:w="11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10020" w:type="dxa"/>
            <w:vAlign w:val="bottom"/>
            <w:gridSpan w:val="1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Defaults Upon Senior Securities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1120" w:type="dxa"/>
            <w:vAlign w:val="bottom"/>
            <w:gridSpan w:val="3"/>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3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10020" w:type="dxa"/>
            <w:vAlign w:val="bottom"/>
            <w:gridSpan w:val="1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Submission of Matters to a Vote of Security Holders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18"/>
        </w:trPr>
        <w:tc>
          <w:tcPr>
            <w:tcW w:w="1120" w:type="dxa"/>
            <w:vAlign w:val="bottom"/>
            <w:gridSpan w:val="3"/>
          </w:tcPr>
          <w:p>
            <w:pPr>
              <w:spacing w:after="0"/>
              <w:rPr>
                <w:sz w:val="20"/>
                <w:szCs w:val="20"/>
                <w:color w:val="auto"/>
              </w:rPr>
            </w:pPr>
            <w:r>
              <w:rPr>
                <w:rFonts w:ascii="Arial" w:cs="Arial" w:eastAsia="Arial" w:hAnsi="Arial"/>
                <w:sz w:val="18"/>
                <w:szCs w:val="18"/>
                <w:color w:val="auto"/>
              </w:rPr>
              <w:t>Item 5.</w:t>
            </w:r>
          </w:p>
        </w:tc>
        <w:tc>
          <w:tcPr>
            <w:tcW w:w="12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Other Information</w:t>
              </w:r>
            </w:hyperlink>
          </w:p>
        </w:tc>
        <w:tc>
          <w:tcPr>
            <w:tcW w:w="2380" w:type="dxa"/>
            <w:vAlign w:val="bottom"/>
            <w:tcBorders>
              <w:top w:val="single" w:sz="8" w:color="0000EE"/>
            </w:tcBorders>
            <w:gridSpan w:val="6"/>
          </w:tcPr>
          <w:p>
            <w:pPr>
              <w:spacing w:after="0"/>
              <w:rPr>
                <w:sz w:val="24"/>
                <w:szCs w:val="24"/>
                <w:color w:val="auto"/>
              </w:rPr>
            </w:pPr>
          </w:p>
        </w:tc>
        <w:tc>
          <w:tcPr>
            <w:tcW w:w="636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6.</w:t>
            </w:r>
          </w:p>
        </w:tc>
        <w:tc>
          <w:tcPr>
            <w:tcW w:w="10020" w:type="dxa"/>
            <w:vAlign w:val="bottom"/>
            <w:gridSpan w:val="1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Exhibits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440" w:type="dxa"/>
            <w:vAlign w:val="bottom"/>
            <w:gridSpan w:val="1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20" w:type="dxa"/>
            <w:vAlign w:val="bottom"/>
            <w:gridSpan w:val="13"/>
          </w:tcPr>
          <w:p>
            <w:pPr>
              <w:spacing w:after="0"/>
              <w:rPr>
                <w:sz w:val="20"/>
                <w:szCs w:val="20"/>
                <w:color w:val="auto"/>
              </w:rPr>
            </w:pPr>
            <w:r>
              <w:rPr>
                <w:rFonts w:ascii="Arial" w:cs="Arial" w:eastAsia="Arial" w:hAnsi="Arial"/>
                <w:sz w:val="18"/>
                <w:szCs w:val="18"/>
                <w:color w:val="auto"/>
              </w:rPr>
              <w:t>Certifications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300" w:type="dxa"/>
            <w:vAlign w:val="bottom"/>
            <w:gridSpan w:val="12"/>
          </w:tcPr>
          <w:p>
            <w:pPr>
              <w:ind w:left="4560"/>
              <w:spacing w:after="0"/>
              <w:rPr>
                <w:sz w:val="20"/>
                <w:szCs w:val="20"/>
                <w:color w:val="auto"/>
              </w:rPr>
            </w:pPr>
            <w:r>
              <w:rPr>
                <w:rFonts w:ascii="Arial" w:cs="Arial" w:eastAsia="Arial" w:hAnsi="Arial"/>
                <w:sz w:val="18"/>
                <w:szCs w:val="18"/>
                <w:color w:val="auto"/>
              </w:rPr>
              <w:t>2</w:t>
            </w:r>
          </w:p>
        </w:tc>
        <w:tc>
          <w:tcPr>
            <w:tcW w:w="3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u w:val="single" w:color="auto"/>
          <w:color w:val="auto"/>
        </w:rPr>
        <w:t>PART I.</w:t>
      </w:r>
      <w:r>
        <w:rPr>
          <w:sz w:val="20"/>
          <w:szCs w:val="20"/>
          <w:color w:val="auto"/>
        </w:rPr>
        <w:tab/>
      </w:r>
      <w:r>
        <w:rPr>
          <w:rFonts w:ascii="Arial" w:cs="Arial" w:eastAsia="Arial" w:hAnsi="Arial"/>
          <w:sz w:val="18"/>
          <w:szCs w:val="18"/>
          <w:b w:val="1"/>
          <w:bCs w:val="1"/>
          <w:u w:val="single" w:color="auto"/>
          <w:color w:val="auto"/>
        </w:rPr>
        <w:t>FINANCIAL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1.</w:t>
      </w:r>
      <w:r>
        <w:rPr>
          <w:sz w:val="20"/>
          <w:szCs w:val="20"/>
          <w:color w:val="auto"/>
        </w:rPr>
        <w:tab/>
      </w:r>
      <w:r>
        <w:rPr>
          <w:rFonts w:ascii="Arial" w:cs="Arial" w:eastAsia="Arial" w:hAnsi="Arial"/>
          <w:sz w:val="15"/>
          <w:szCs w:val="15"/>
          <w:b w:val="1"/>
          <w:bCs w:val="1"/>
          <w:u w:val="single" w:color="auto"/>
          <w:color w:val="auto"/>
        </w:rPr>
        <w:t>Financial Statements.</w:t>
      </w:r>
    </w:p>
    <w:p>
      <w:pPr>
        <w:spacing w:after="0" w:line="171" w:lineRule="exact"/>
        <w:rPr>
          <w:sz w:val="20"/>
          <w:szCs w:val="20"/>
          <w:color w:val="auto"/>
        </w:rPr>
      </w:pPr>
    </w:p>
    <w:p>
      <w:pPr>
        <w:ind w:left="370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90" w:lineRule="exact"/>
        <w:rPr>
          <w:sz w:val="20"/>
          <w:szCs w:val="20"/>
          <w:color w:val="auto"/>
        </w:rPr>
      </w:pPr>
    </w:p>
    <w:p>
      <w:pPr>
        <w:ind w:left="3920"/>
        <w:spacing w:after="0"/>
        <w:rPr>
          <w:sz w:val="20"/>
          <w:szCs w:val="20"/>
          <w:color w:val="auto"/>
        </w:rPr>
      </w:pPr>
      <w:r>
        <w:rPr>
          <w:rFonts w:ascii="Arial" w:cs="Arial" w:eastAsia="Arial" w:hAnsi="Arial"/>
          <w:sz w:val="18"/>
          <w:szCs w:val="18"/>
          <w:b w:val="1"/>
          <w:bCs w:val="1"/>
          <w:u w:val="single" w:color="auto"/>
          <w:color w:val="auto"/>
        </w:rPr>
        <w:t>CONSOLIDATED STATEMENT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40" w:type="dxa"/>
            <w:vAlign w:val="bottom"/>
            <w:gridSpan w:val="10"/>
          </w:tcPr>
          <w:p>
            <w:pPr>
              <w:jc w:val="right"/>
              <w:ind w:right="100"/>
              <w:spacing w:after="0"/>
              <w:rPr>
                <w:sz w:val="20"/>
                <w:szCs w:val="20"/>
                <w:color w:val="auto"/>
              </w:rPr>
            </w:pPr>
            <w:r>
              <w:rPr>
                <w:rFonts w:ascii="Arial" w:cs="Arial" w:eastAsia="Arial" w:hAnsi="Arial"/>
                <w:sz w:val="14"/>
                <w:szCs w:val="14"/>
                <w:i w:val="1"/>
                <w:iCs w:val="1"/>
                <w:color w:val="auto"/>
                <w:w w:val="88"/>
              </w:rPr>
              <w:t>(Stated in millions, except per share amounts)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Third Quarter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2009</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2008</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2009</w:t>
            </w: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5,430</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7,259</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16,958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20,295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i w:val="1"/>
                <w:iCs w:val="1"/>
                <w:color w:val="auto"/>
              </w:rPr>
              <w:t>Interest &amp; other income, net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74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211</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Expenses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4,122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4,967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13,019</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&amp; engineering</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Marketing</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67</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&amp; administrative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Interest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169</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Income from Continuing Operations before taxes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1,957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2,939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Taxes on income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191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418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595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Income from Continuing Operations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1,539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2,344</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i w:val="1"/>
                <w:iCs w:val="1"/>
                <w:color w:val="auto"/>
              </w:rPr>
              <w:t>Income from Discontinued Operations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Net Income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1,539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2,344</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Net income attributable to noncontrolling interests</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(6)</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Net Income attributable to Schlumberger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1,526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2,338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4,285</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Schlumberger amounts attributable to:</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8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787</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1,526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2,338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787</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1,526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2,338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4,285</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earnings per share of Schlumberger: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8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0.66</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1.27</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0.66</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1.27</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earnings per share of Schlumberger: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8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0.65</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Net Income </w:t>
            </w:r>
            <w:r>
              <w:rPr>
                <w:rFonts w:ascii="Arial" w:cs="Arial" w:eastAsia="Arial" w:hAnsi="Arial"/>
                <w:sz w:val="11"/>
                <w:szCs w:val="11"/>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0.65</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Average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8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1,200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1,199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Assuming dilution</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1,218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1,225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1,214</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Amounts may not add due to rounding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BALANCE SHEET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4"/>
          </w:tcPr>
          <w:p>
            <w:pPr>
              <w:jc w:val="center"/>
              <w:ind w:right="20"/>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Sept. 30, 2009</w:t>
            </w:r>
          </w:p>
        </w:tc>
        <w:tc>
          <w:tcPr>
            <w:tcW w:w="540" w:type="dxa"/>
            <w:vAlign w:val="bottom"/>
          </w:tcPr>
          <w:p>
            <w:pPr>
              <w:spacing w:after="0"/>
              <w:rPr>
                <w:sz w:val="12"/>
                <w:szCs w:val="12"/>
                <w:color w:val="auto"/>
              </w:rPr>
            </w:pPr>
          </w:p>
        </w:tc>
        <w:tc>
          <w:tcPr>
            <w:tcW w:w="68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0"/>
              </w:rPr>
              <w:t>Dec.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5"/>
              </w:rPr>
              <w:t>(Unaudited)</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194</w:t>
            </w:r>
          </w:p>
        </w:tc>
        <w:tc>
          <w:tcPr>
            <w:tcW w:w="620" w:type="dxa"/>
            <w:vAlign w:val="bottom"/>
            <w:gridSpan w:val="2"/>
            <w:shd w:val="clear" w:color="auto" w:fill="CCEEFF"/>
          </w:tcPr>
          <w:p>
            <w:pPr>
              <w:jc w:val="center"/>
              <w:ind w:left="456"/>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4,035</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less allowance for doubtful accounts (2009—$149; 2008—$133)</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6,087</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1,967</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taxes</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158</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941</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13,382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i w:val="1"/>
                <w:iCs w:val="1"/>
                <w:color w:val="auto"/>
              </w:rPr>
              <w:t>Fixed Income Investments, held to maturity</w:t>
            </w: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625</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Investments in Affiliated Companies</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2,243</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i w:val="1"/>
                <w:iCs w:val="1"/>
                <w:color w:val="auto"/>
              </w:rPr>
              <w:t>Fixed Assets less accumulated depreciation</w:t>
            </w: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9,610</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Multiclient Seismic Data</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285</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i w:val="1"/>
                <w:iCs w:val="1"/>
                <w:color w:val="auto"/>
              </w:rPr>
              <w:t>Goodwill</w:t>
            </w: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5,296</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Intangible Assets</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813</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i w:val="1"/>
                <w:iCs w:val="1"/>
                <w:color w:val="auto"/>
              </w:rPr>
              <w:t>Deferred Taxes</w:t>
            </w: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317</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Assets</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504</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33,075</w:t>
            </w:r>
          </w:p>
        </w:tc>
        <w:tc>
          <w:tcPr>
            <w:tcW w:w="120" w:type="dxa"/>
            <w:vAlign w:val="bottom"/>
            <w:vMerge w:val="continue"/>
          </w:tcPr>
          <w:p>
            <w:pPr>
              <w:spacing w:after="0"/>
              <w:rPr>
                <w:sz w:val="19"/>
                <w:szCs w:val="19"/>
                <w:color w:val="auto"/>
              </w:rPr>
            </w:pPr>
          </w:p>
        </w:tc>
        <w:tc>
          <w:tcPr>
            <w:tcW w:w="620" w:type="dxa"/>
            <w:vAlign w:val="bottom"/>
            <w:gridSpan w:val="2"/>
          </w:tcPr>
          <w:p>
            <w:pPr>
              <w:jc w:val="center"/>
              <w:ind w:left="456"/>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32,094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LIABILITIES AND EQUITY</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i w:val="1"/>
                <w:iCs w:val="1"/>
                <w:color w:val="auto"/>
              </w:rPr>
              <w:t>Current Liabilities</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liabilities</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4,736</w:t>
            </w:r>
          </w:p>
        </w:tc>
        <w:tc>
          <w:tcPr>
            <w:tcW w:w="620" w:type="dxa"/>
            <w:vAlign w:val="bottom"/>
            <w:gridSpan w:val="2"/>
            <w:shd w:val="clear" w:color="auto" w:fill="CCEEFF"/>
          </w:tcPr>
          <w:p>
            <w:pPr>
              <w:jc w:val="center"/>
              <w:ind w:left="456"/>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Estimated liability for taxes on income</w:t>
            </w: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929</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 payable</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250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Long-term debt—current portion</w:t>
            </w: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596</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Convertible debentures</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321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Bank &amp; short-term loans</w:t>
            </w: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283</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7,115</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i w:val="1"/>
                <w:iCs w:val="1"/>
                <w:color w:val="auto"/>
              </w:rPr>
              <w:t>Convertible Debentures</w:t>
            </w:r>
          </w:p>
        </w:tc>
        <w:tc>
          <w:tcPr>
            <w:tcW w:w="2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Long-term Debt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4,312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i w:val="1"/>
                <w:iCs w:val="1"/>
                <w:color w:val="auto"/>
              </w:rPr>
              <w:t>Postretirement Benefits</w:t>
            </w: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1,293</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Liabilities</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892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13,612</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15,160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Equity</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Common stock</w:t>
            </w: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4,746</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(4,568)</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(4,796)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21,475</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19,891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(2,298)</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(2,901)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860"/>
              <w:spacing w:after="0"/>
              <w:rPr>
                <w:sz w:val="20"/>
                <w:szCs w:val="20"/>
                <w:color w:val="auto"/>
              </w:rPr>
            </w:pPr>
            <w:r>
              <w:rPr>
                <w:rFonts w:ascii="Arial" w:cs="Arial" w:eastAsia="Arial" w:hAnsi="Arial"/>
                <w:sz w:val="18"/>
                <w:szCs w:val="18"/>
                <w:color w:val="auto"/>
              </w:rPr>
              <w:t>Schlumberger stockholders’ equity</w:t>
            </w: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19,355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16,862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Noncontrolling interests</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108</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19,463</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16,934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33,075</w:t>
            </w:r>
          </w:p>
        </w:tc>
        <w:tc>
          <w:tcPr>
            <w:tcW w:w="620" w:type="dxa"/>
            <w:vAlign w:val="bottom"/>
            <w:gridSpan w:val="2"/>
            <w:shd w:val="clear" w:color="auto" w:fill="CCEEFF"/>
          </w:tcPr>
          <w:p>
            <w:pPr>
              <w:jc w:val="center"/>
              <w:ind w:left="456"/>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32,094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u w:val="single" w:color="auto"/>
          <w:color w:val="auto"/>
        </w:rPr>
        <w:t>CONSOLIDATED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4"/>
          </w:tcPr>
          <w:p>
            <w:pPr>
              <w:jc w:val="center"/>
              <w:ind w:right="80"/>
              <w:spacing w:after="0"/>
              <w:rPr>
                <w:sz w:val="20"/>
                <w:szCs w:val="20"/>
                <w:color w:val="auto"/>
              </w:rPr>
            </w:pPr>
            <w:r>
              <w:rPr>
                <w:rFonts w:ascii="Arial" w:cs="Arial" w:eastAsia="Arial" w:hAnsi="Arial"/>
                <w:sz w:val="14"/>
                <w:szCs w:val="14"/>
                <w:i w:val="1"/>
                <w:iCs w:val="1"/>
                <w:color w:val="auto"/>
                <w:w w:val="92"/>
              </w:rPr>
              <w:t>(Stated in million)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6"/>
          </w:tcPr>
          <w:p>
            <w:pPr>
              <w:jc w:val="right"/>
              <w:ind w:right="360"/>
              <w:spacing w:after="0" w:line="149" w:lineRule="exact"/>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2009</w:t>
            </w: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20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7"/>
              </w:rPr>
              <w:t>2,344</w:t>
            </w:r>
          </w:p>
        </w:tc>
        <w:tc>
          <w:tcPr>
            <w:tcW w:w="560" w:type="dxa"/>
            <w:vAlign w:val="bottom"/>
            <w:gridSpan w:val="2"/>
          </w:tcPr>
          <w:p>
            <w:pPr>
              <w:jc w:val="center"/>
              <w:ind w:left="359"/>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Less: Income from discontinued operations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ind w:left="420"/>
              <w:spacing w:after="0"/>
              <w:rPr>
                <w:sz w:val="20"/>
                <w:szCs w:val="20"/>
                <w:color w:val="auto"/>
              </w:rPr>
            </w:pPr>
            <w:r>
              <w:rPr>
                <w:rFonts w:ascii="Arial" w:cs="Arial" w:eastAsia="Arial" w:hAnsi="Arial"/>
                <w:sz w:val="18"/>
                <w:szCs w:val="18"/>
                <w:color w:val="auto"/>
              </w:rPr>
              <w:t>Adjustments to reconcile net income to cash provided by operating activities: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1"/>
                <w:szCs w:val="11"/>
                <w:color w:val="auto"/>
              </w:rPr>
              <w:t>(1)</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7"/>
              </w:rPr>
              <w:t>1,848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Non-cash postretirement benefits curtailment charge</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136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Earnings of companies carried at equity, less dividends received</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258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 expense</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Provision for losses on accounts receivable</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non-cash items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ind w:left="420"/>
              <w:spacing w:after="0"/>
              <w:rPr>
                <w:sz w:val="20"/>
                <w:szCs w:val="20"/>
                <w:color w:val="auto"/>
              </w:rPr>
            </w:pPr>
            <w:r>
              <w:rPr>
                <w:rFonts w:ascii="Arial" w:cs="Arial" w:eastAsia="Arial" w:hAnsi="Arial"/>
                <w:sz w:val="18"/>
                <w:szCs w:val="18"/>
                <w:color w:val="auto"/>
              </w:rPr>
              <w:t xml:space="preserve">Change in assets and liabilities: </w:t>
            </w:r>
            <w:r>
              <w:rPr>
                <w:rFonts w:ascii="Arial" w:cs="Arial" w:eastAsia="Arial" w:hAnsi="Arial"/>
                <w:sz w:val="11"/>
                <w:szCs w:val="11"/>
                <w:color w:val="auto"/>
              </w:rPr>
              <w:t>(2)</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Decrease (increase) in receivables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154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Increase in inventories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Increase in other current assets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(Decrease) increase in accounts payable and accrued liabilities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(556)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(Decrease) increase in estimated liability for taxes on income</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(238)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Decrease in postretirement benefits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(701)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Decrease in other liabilities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0" w:type="dxa"/>
            <w:vAlign w:val="bottom"/>
          </w:tcPr>
          <w:p>
            <w:pPr>
              <w:ind w:left="140"/>
              <w:spacing w:after="0"/>
              <w:rPr>
                <w:sz w:val="20"/>
                <w:szCs w:val="20"/>
                <w:color w:val="auto"/>
              </w:rPr>
            </w:pPr>
            <w:r>
              <w:rPr>
                <w:rFonts w:ascii="Arial" w:cs="Arial" w:eastAsia="Arial" w:hAnsi="Arial"/>
                <w:sz w:val="18"/>
                <w:szCs w:val="18"/>
                <w:color w:val="auto"/>
              </w:rPr>
              <w:t>Other-net</w:t>
            </w: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(13)</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9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3,344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4,894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60" w:type="dxa"/>
            <w:vAlign w:val="bottom"/>
            <w:gridSpan w:val="3"/>
          </w:tcPr>
          <w:p>
            <w:pPr>
              <w:spacing w:after="0"/>
              <w:rPr>
                <w:sz w:val="20"/>
                <w:szCs w:val="20"/>
                <w:color w:val="auto"/>
              </w:rPr>
            </w:pPr>
            <w:r>
              <w:rPr>
                <w:rFonts w:ascii="Arial" w:cs="Arial" w:eastAsia="Arial" w:hAnsi="Arial"/>
                <w:sz w:val="18"/>
                <w:szCs w:val="18"/>
                <w:color w:val="auto"/>
              </w:rPr>
              <w:t>Cash flows from investing activities:</w:t>
            </w: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Capital expenditures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7"/>
              </w:rPr>
              <w:t>(1,719)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ind w:left="420"/>
              <w:spacing w:after="0"/>
              <w:rPr>
                <w:sz w:val="20"/>
                <w:szCs w:val="20"/>
                <w:color w:val="auto"/>
              </w:rPr>
            </w:pPr>
            <w:r>
              <w:rPr>
                <w:rFonts w:ascii="Arial" w:cs="Arial" w:eastAsia="Arial" w:hAnsi="Arial"/>
                <w:sz w:val="18"/>
                <w:szCs w:val="18"/>
                <w:color w:val="auto"/>
              </w:rPr>
              <w:t>Multiclient seismic data capitalized</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(150)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Business acquisitions, net of cash acquired</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(475)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ind w:left="420"/>
              <w:spacing w:after="0"/>
              <w:rPr>
                <w:sz w:val="20"/>
                <w:szCs w:val="20"/>
                <w:color w:val="auto"/>
              </w:rPr>
            </w:pPr>
            <w:r>
              <w:rPr>
                <w:rFonts w:ascii="Arial" w:cs="Arial" w:eastAsia="Arial" w:hAnsi="Arial"/>
                <w:sz w:val="18"/>
                <w:szCs w:val="18"/>
                <w:color w:val="auto"/>
              </w:rPr>
              <w:t>Purchases of investments, net</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(674)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
        </w:trPr>
        <w:tc>
          <w:tcPr>
            <w:tcW w:w="7760" w:type="dxa"/>
            <w:vAlign w:val="bottom"/>
            <w:gridSpan w:val="3"/>
            <w:vMerge w:val="restart"/>
          </w:tcPr>
          <w:p>
            <w:pPr>
              <w:spacing w:after="0"/>
              <w:rPr>
                <w:sz w:val="20"/>
                <w:szCs w:val="20"/>
                <w:color w:val="auto"/>
              </w:rPr>
            </w:pPr>
            <w:r>
              <w:rPr>
                <w:rFonts w:ascii="Arial" w:cs="Arial" w:eastAsia="Arial" w:hAnsi="Arial"/>
                <w:sz w:val="18"/>
                <w:szCs w:val="18"/>
                <w:color w:val="auto"/>
              </w:rPr>
              <w:t>NET CASH USED BY INVESTING ACTIVITIES</w:t>
            </w:r>
          </w:p>
        </w:tc>
        <w:tc>
          <w:tcPr>
            <w:tcW w:w="1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760" w:type="dxa"/>
            <w:vAlign w:val="bottom"/>
            <w:gridSpan w:val="3"/>
            <w:vMerge w:val="continue"/>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77"/>
              </w:rPr>
              <w:t>(2,884)</w:t>
            </w:r>
          </w:p>
        </w:tc>
        <w:tc>
          <w:tcPr>
            <w:tcW w:w="8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9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ind w:left="420"/>
              <w:spacing w:after="0"/>
              <w:rPr>
                <w:sz w:val="20"/>
                <w:szCs w:val="20"/>
                <w:color w:val="auto"/>
              </w:rPr>
            </w:pPr>
            <w:r>
              <w:rPr>
                <w:rFonts w:ascii="Arial" w:cs="Arial" w:eastAsia="Arial" w:hAnsi="Arial"/>
                <w:sz w:val="18"/>
                <w:szCs w:val="18"/>
                <w:color w:val="auto"/>
              </w:rPr>
              <w:t>Dividends paid</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(758)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employee stock purchase plan</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97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Tax benefits on stock options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ind w:left="420"/>
              <w:spacing w:after="0"/>
              <w:rPr>
                <w:sz w:val="20"/>
                <w:szCs w:val="20"/>
                <w:color w:val="auto"/>
              </w:rPr>
            </w:pPr>
            <w:r>
              <w:rPr>
                <w:rFonts w:ascii="Arial" w:cs="Arial" w:eastAsia="Arial" w:hAnsi="Arial"/>
                <w:sz w:val="18"/>
                <w:szCs w:val="18"/>
                <w:color w:val="auto"/>
              </w:rPr>
              <w:t>Stock repurchase plan</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7"/>
              </w:rPr>
              <w:t>1,980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ind w:left="420"/>
              <w:spacing w:after="0"/>
              <w:rPr>
                <w:sz w:val="20"/>
                <w:szCs w:val="20"/>
                <w:color w:val="auto"/>
              </w:rPr>
            </w:pPr>
            <w:r>
              <w:rPr>
                <w:rFonts w:ascii="Arial" w:cs="Arial" w:eastAsia="Arial" w:hAnsi="Arial"/>
                <w:sz w:val="18"/>
                <w:szCs w:val="18"/>
                <w:color w:val="auto"/>
              </w:rPr>
              <w:t>Repayment of long-term debt</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7"/>
              </w:rPr>
              <w:t>(1,652)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decrease in short-term debt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(185)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7760" w:type="dxa"/>
            <w:vAlign w:val="bottom"/>
            <w:gridSpan w:val="3"/>
            <w:vMerge w:val="restart"/>
          </w:tcPr>
          <w:p>
            <w:pPr>
              <w:spacing w:after="0"/>
              <w:rPr>
                <w:sz w:val="20"/>
                <w:szCs w:val="20"/>
                <w:color w:val="auto"/>
              </w:rPr>
            </w:pPr>
            <w:r>
              <w:rPr>
                <w:rFonts w:ascii="Arial" w:cs="Arial" w:eastAsia="Arial" w:hAnsi="Arial"/>
                <w:sz w:val="18"/>
                <w:szCs w:val="18"/>
                <w:color w:val="auto"/>
              </w:rPr>
              <w:t>NET CASH USED IN FINANCING ACTIVITIES</w:t>
            </w:r>
          </w:p>
        </w:tc>
        <w:tc>
          <w:tcPr>
            <w:tcW w:w="1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760" w:type="dxa"/>
            <w:vAlign w:val="bottom"/>
            <w:gridSpan w:val="3"/>
            <w:vMerge w:val="continue"/>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(455)</w:t>
            </w:r>
          </w:p>
        </w:tc>
        <w:tc>
          <w:tcPr>
            <w:tcW w:w="8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 from discontinued operations-operating activities</w:t>
            </w:r>
          </w:p>
        </w:tc>
        <w:tc>
          <w:tcPr>
            <w:tcW w:w="19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60" w:type="dxa"/>
            <w:vAlign w:val="bottom"/>
            <w:gridSpan w:val="3"/>
          </w:tcPr>
          <w:p>
            <w:pPr>
              <w:spacing w:after="0"/>
              <w:rPr>
                <w:sz w:val="20"/>
                <w:szCs w:val="20"/>
                <w:color w:val="auto"/>
              </w:rPr>
            </w:pPr>
            <w:r>
              <w:rPr>
                <w:rFonts w:ascii="Arial" w:cs="Arial" w:eastAsia="Arial" w:hAnsi="Arial"/>
                <w:sz w:val="18"/>
                <w:szCs w:val="18"/>
                <w:color w:val="auto"/>
              </w:rPr>
              <w:t>Net increase (decrease) in cash before translation effect</w:t>
            </w: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Translation effect on cash</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Cash, beginning of period</w:t>
            </w:r>
          </w:p>
        </w:tc>
        <w:tc>
          <w:tcPr>
            <w:tcW w:w="1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end of period</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194</w:t>
            </w:r>
          </w:p>
        </w:tc>
        <w:tc>
          <w:tcPr>
            <w:tcW w:w="560" w:type="dxa"/>
            <w:vAlign w:val="bottom"/>
            <w:gridSpan w:val="2"/>
            <w:shd w:val="clear" w:color="auto" w:fill="CCEEFF"/>
          </w:tcPr>
          <w:p>
            <w:pPr>
              <w:jc w:val="center"/>
              <w:ind w:left="359"/>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Includes multiclient seismic data costs.</w:t>
      </w:r>
    </w:p>
    <w:p>
      <w:pPr>
        <w:spacing w:after="0" w:line="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w:t>
        <w:tab/>
        <w:t>Net of the effect of business acquisitions.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90" w:lineRule="exact"/>
        <w:rPr>
          <w:sz w:val="20"/>
          <w:szCs w:val="20"/>
          <w:color w:val="auto"/>
        </w:rPr>
      </w:pPr>
    </w:p>
    <w:p>
      <w:pPr>
        <w:ind w:left="3940"/>
        <w:spacing w:after="0"/>
        <w:rPr>
          <w:sz w:val="20"/>
          <w:szCs w:val="20"/>
          <w:color w:val="auto"/>
        </w:rPr>
      </w:pPr>
      <w:r>
        <w:rPr>
          <w:rFonts w:ascii="Arial" w:cs="Arial" w:eastAsia="Arial" w:hAnsi="Arial"/>
          <w:sz w:val="18"/>
          <w:szCs w:val="18"/>
          <w:b w:val="1"/>
          <w:bCs w:val="1"/>
          <w:u w:val="single" w:color="auto"/>
          <w:color w:val="auto"/>
        </w:rPr>
        <w:t>CONSOLIDATED STATEMENT OF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gridSpan w:val="5"/>
            <w:vMerge w:val="restart"/>
          </w:tcPr>
          <w:p>
            <w:pPr>
              <w:jc w:val="center"/>
              <w:ind w:right="300"/>
              <w:spacing w:after="0"/>
              <w:rPr>
                <w:sz w:val="20"/>
                <w:szCs w:val="20"/>
                <w:color w:val="auto"/>
              </w:rPr>
            </w:pPr>
            <w:r>
              <w:rPr>
                <w:rFonts w:ascii="Arial" w:cs="Arial" w:eastAsia="Arial" w:hAnsi="Arial"/>
                <w:sz w:val="14"/>
                <w:szCs w:val="14"/>
                <w:b w:val="1"/>
                <w:bCs w:val="1"/>
                <w:color w:val="auto"/>
                <w:w w:val="86"/>
              </w:rPr>
              <w:t>Accumulated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2020" w:type="dxa"/>
            <w:vAlign w:val="bottom"/>
            <w:gridSpan w:val="8"/>
            <w:vMerge w:val="restart"/>
          </w:tcPr>
          <w:p>
            <w:pPr>
              <w:jc w:val="right"/>
              <w:ind w:right="80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gridSpan w:val="5"/>
            <w:vMerge w:val="continue"/>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020" w:type="dxa"/>
            <w:vAlign w:val="bottom"/>
            <w:gridSpan w:val="8"/>
            <w:vMerge w:val="continue"/>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right="560"/>
              <w:spacing w:after="0" w:line="148" w:lineRule="exact"/>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January 1, 2008 - September 30, 2008</w:t>
            </w:r>
          </w:p>
        </w:tc>
        <w:tc>
          <w:tcPr>
            <w:tcW w:w="5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gridSpan w:val="4"/>
          </w:tcPr>
          <w:p>
            <w:pPr>
              <w:jc w:val="right"/>
              <w:ind w:right="500"/>
              <w:spacing w:after="0" w:line="129" w:lineRule="exact"/>
              <w:rPr>
                <w:sz w:val="20"/>
                <w:szCs w:val="20"/>
                <w:color w:val="auto"/>
              </w:rPr>
            </w:pPr>
            <w:r>
              <w:rPr>
                <w:rFonts w:ascii="Arial" w:cs="Arial" w:eastAsia="Arial" w:hAnsi="Arial"/>
                <w:sz w:val="14"/>
                <w:szCs w:val="14"/>
                <w:b w:val="1"/>
                <w:bCs w:val="1"/>
                <w:color w:val="auto"/>
                <w:w w:val="91"/>
              </w:rPr>
              <w:t>Retained</w:t>
            </w:r>
          </w:p>
        </w:tc>
        <w:tc>
          <w:tcPr>
            <w:tcW w:w="1220" w:type="dxa"/>
            <w:vAlign w:val="bottom"/>
            <w:gridSpan w:val="5"/>
          </w:tcPr>
          <w:p>
            <w:pPr>
              <w:jc w:val="center"/>
              <w:ind w:right="320"/>
              <w:spacing w:after="0" w:line="129" w:lineRule="exact"/>
              <w:rPr>
                <w:sz w:val="20"/>
                <w:szCs w:val="20"/>
                <w:color w:val="auto"/>
              </w:rPr>
            </w:pPr>
            <w:r>
              <w:rPr>
                <w:rFonts w:ascii="Arial" w:cs="Arial" w:eastAsia="Arial" w:hAnsi="Arial"/>
                <w:sz w:val="14"/>
                <w:szCs w:val="14"/>
                <w:b w:val="1"/>
                <w:bCs w:val="1"/>
                <w:color w:val="auto"/>
                <w:w w:val="85"/>
              </w:rPr>
              <w:t>Comprehensive</w:t>
            </w:r>
          </w:p>
        </w:tc>
        <w:tc>
          <w:tcPr>
            <w:tcW w:w="160" w:type="dxa"/>
            <w:vAlign w:val="bottom"/>
          </w:tcPr>
          <w:p>
            <w:pPr>
              <w:spacing w:after="0"/>
              <w:rPr>
                <w:sz w:val="11"/>
                <w:szCs w:val="11"/>
                <w:color w:val="auto"/>
              </w:rPr>
            </w:pPr>
          </w:p>
        </w:tc>
        <w:tc>
          <w:tcPr>
            <w:tcW w:w="1360" w:type="dxa"/>
            <w:vAlign w:val="bottom"/>
            <w:gridSpan w:val="5"/>
          </w:tcPr>
          <w:p>
            <w:pPr>
              <w:spacing w:after="0" w:line="129" w:lineRule="exact"/>
              <w:rPr>
                <w:sz w:val="20"/>
                <w:szCs w:val="20"/>
                <w:color w:val="auto"/>
              </w:rPr>
            </w:pPr>
            <w:r>
              <w:rPr>
                <w:rFonts w:ascii="Arial" w:cs="Arial" w:eastAsia="Arial" w:hAnsi="Arial"/>
                <w:sz w:val="14"/>
                <w:szCs w:val="14"/>
                <w:b w:val="1"/>
                <w:bCs w:val="1"/>
                <w:color w:val="auto"/>
              </w:rPr>
              <w:t>Noncontrolling</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20" w:type="dxa"/>
            <w:vAlign w:val="bottom"/>
            <w:gridSpan w:val="3"/>
            <w:vMerge w:val="continue"/>
          </w:tcPr>
          <w:p>
            <w:pPr>
              <w:spacing w:after="0"/>
              <w:rPr>
                <w:sz w:val="12"/>
                <w:szCs w:val="12"/>
                <w:color w:val="auto"/>
              </w:rPr>
            </w:pPr>
          </w:p>
        </w:tc>
        <w:tc>
          <w:tcPr>
            <w:tcW w:w="720" w:type="dxa"/>
            <w:vAlign w:val="bottom"/>
            <w:gridSpan w:val="2"/>
          </w:tcPr>
          <w:p>
            <w:pPr>
              <w:jc w:val="right"/>
              <w:ind w:right="280"/>
              <w:spacing w:after="0" w:line="148" w:lineRule="exact"/>
              <w:rPr>
                <w:sz w:val="20"/>
                <w:szCs w:val="20"/>
                <w:color w:val="auto"/>
              </w:rPr>
            </w:pPr>
            <w:r>
              <w:rPr>
                <w:rFonts w:ascii="Arial" w:cs="Arial" w:eastAsia="Arial" w:hAnsi="Arial"/>
                <w:sz w:val="14"/>
                <w:szCs w:val="14"/>
                <w:b w:val="1"/>
                <w:bCs w:val="1"/>
                <w:color w:val="auto"/>
                <w:w w:val="94"/>
              </w:rPr>
              <w:t>Issued</w:t>
            </w:r>
          </w:p>
        </w:tc>
        <w:tc>
          <w:tcPr>
            <w:tcW w:w="140" w:type="dxa"/>
            <w:vAlign w:val="bottom"/>
          </w:tcPr>
          <w:p>
            <w:pPr>
              <w:spacing w:after="0"/>
              <w:rPr>
                <w:sz w:val="12"/>
                <w:szCs w:val="12"/>
                <w:color w:val="auto"/>
              </w:rPr>
            </w:pPr>
          </w:p>
        </w:tc>
        <w:tc>
          <w:tcPr>
            <w:tcW w:w="1160" w:type="dxa"/>
            <w:vAlign w:val="bottom"/>
            <w:gridSpan w:val="5"/>
          </w:tcPr>
          <w:p>
            <w:pPr>
              <w:ind w:left="20"/>
              <w:spacing w:after="0" w:line="148" w:lineRule="exact"/>
              <w:rPr>
                <w:sz w:val="20"/>
                <w:szCs w:val="20"/>
                <w:color w:val="auto"/>
              </w:rPr>
            </w:pPr>
            <w:r>
              <w:rPr>
                <w:rFonts w:ascii="Arial" w:cs="Arial" w:eastAsia="Arial" w:hAnsi="Arial"/>
                <w:sz w:val="14"/>
                <w:szCs w:val="14"/>
                <w:b w:val="1"/>
                <w:bCs w:val="1"/>
                <w:color w:val="auto"/>
              </w:rPr>
              <w:t>In Treasury</w:t>
            </w:r>
          </w:p>
        </w:tc>
        <w:tc>
          <w:tcPr>
            <w:tcW w:w="1060" w:type="dxa"/>
            <w:vAlign w:val="bottom"/>
            <w:gridSpan w:val="4"/>
          </w:tcPr>
          <w:p>
            <w:pPr>
              <w:jc w:val="right"/>
              <w:ind w:right="500"/>
              <w:spacing w:after="0" w:line="148" w:lineRule="exact"/>
              <w:rPr>
                <w:sz w:val="20"/>
                <w:szCs w:val="20"/>
                <w:color w:val="auto"/>
              </w:rPr>
            </w:pPr>
            <w:r>
              <w:rPr>
                <w:rFonts w:ascii="Arial" w:cs="Arial" w:eastAsia="Arial" w:hAnsi="Arial"/>
                <w:sz w:val="14"/>
                <w:szCs w:val="14"/>
                <w:b w:val="1"/>
                <w:bCs w:val="1"/>
                <w:color w:val="auto"/>
                <w:w w:val="90"/>
              </w:rPr>
              <w:t>Earnings</w:t>
            </w:r>
          </w:p>
        </w:tc>
        <w:tc>
          <w:tcPr>
            <w:tcW w:w="1220" w:type="dxa"/>
            <w:vAlign w:val="bottom"/>
            <w:gridSpan w:val="5"/>
          </w:tcPr>
          <w:p>
            <w:pPr>
              <w:jc w:val="center"/>
              <w:ind w:right="320"/>
              <w:spacing w:after="0" w:line="148" w:lineRule="exact"/>
              <w:rPr>
                <w:sz w:val="20"/>
                <w:szCs w:val="20"/>
                <w:color w:val="auto"/>
              </w:rPr>
            </w:pPr>
            <w:r>
              <w:rPr>
                <w:rFonts w:ascii="Arial" w:cs="Arial" w:eastAsia="Arial" w:hAnsi="Arial"/>
                <w:sz w:val="14"/>
                <w:szCs w:val="14"/>
                <w:b w:val="1"/>
                <w:bCs w:val="1"/>
                <w:color w:val="auto"/>
                <w:w w:val="86"/>
              </w:rPr>
              <w:t>Income (Loss)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4"/>
          </w:tcPr>
          <w:p>
            <w:pPr>
              <w:jc w:val="right"/>
              <w:ind w:right="680"/>
              <w:spacing w:after="0" w:line="148" w:lineRule="exact"/>
              <w:rPr>
                <w:sz w:val="20"/>
                <w:szCs w:val="20"/>
                <w:color w:val="auto"/>
              </w:rPr>
            </w:pPr>
            <w:r>
              <w:rPr>
                <w:rFonts w:ascii="Arial" w:cs="Arial" w:eastAsia="Arial" w:hAnsi="Arial"/>
                <w:sz w:val="14"/>
                <w:szCs w:val="14"/>
                <w:b w:val="1"/>
                <w:bCs w:val="1"/>
                <w:color w:val="auto"/>
                <w:w w:val="95"/>
              </w:rPr>
              <w:t>Interests</w:t>
            </w:r>
          </w:p>
        </w:tc>
        <w:tc>
          <w:tcPr>
            <w:tcW w:w="68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26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2008</w:t>
            </w:r>
          </w:p>
        </w:tc>
        <w:tc>
          <w:tcPr>
            <w:tcW w:w="26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$4,136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(3,549)</w:t>
            </w:r>
          </w:p>
        </w:tc>
        <w:tc>
          <w:tcPr>
            <w:tcW w:w="3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$15,462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(1,173)</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62</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$14,938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25</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ind w:left="420"/>
              <w:spacing w:after="0"/>
              <w:rPr>
                <w:sz w:val="20"/>
                <w:szCs w:val="20"/>
                <w:color w:val="auto"/>
              </w:rPr>
            </w:pPr>
            <w:r>
              <w:rPr>
                <w:rFonts w:ascii="Arial" w:cs="Arial" w:eastAsia="Arial" w:hAnsi="Arial"/>
                <w:sz w:val="18"/>
                <w:szCs w:val="18"/>
                <w:color w:val="auto"/>
              </w:rPr>
              <w:t>Currency translation adjustments</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Changes in fair value of derivatives</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ind w:left="420"/>
              <w:spacing w:after="0"/>
              <w:rPr>
                <w:sz w:val="20"/>
                <w:szCs w:val="20"/>
                <w:color w:val="auto"/>
              </w:rPr>
            </w:pPr>
            <w:r>
              <w:rPr>
                <w:rFonts w:ascii="Arial" w:cs="Arial" w:eastAsia="Arial" w:hAnsi="Arial"/>
                <w:sz w:val="18"/>
                <w:szCs w:val="18"/>
                <w:color w:val="auto"/>
              </w:rPr>
              <w:t>Deferred employee benefits liabilities, net of tax</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Shares sold to optionees, less shares exchanged</w:t>
            </w: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granted to directors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Shares issued under employee stock purchase plan</w:t>
            </w:r>
          </w:p>
        </w:tc>
        <w:tc>
          <w:tcPr>
            <w:tcW w:w="500" w:type="dxa"/>
            <w:vAlign w:val="bottom"/>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repurchase plan</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(1,665)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Stock-based compensation cost</w:t>
            </w:r>
          </w:p>
        </w:tc>
        <w:tc>
          <w:tcPr>
            <w:tcW w:w="500" w:type="dxa"/>
            <w:vAlign w:val="bottom"/>
          </w:tcPr>
          <w:p>
            <w:pPr>
              <w:jc w:val="right"/>
              <w:spacing w:after="0"/>
              <w:rPr>
                <w:sz w:val="20"/>
                <w:szCs w:val="20"/>
                <w:color w:val="auto"/>
              </w:rPr>
            </w:pPr>
            <w:r>
              <w:rPr>
                <w:rFonts w:ascii="Arial" w:cs="Arial" w:eastAsia="Arial" w:hAnsi="Arial"/>
                <w:sz w:val="18"/>
                <w:szCs w:val="18"/>
                <w:color w:val="auto"/>
              </w:rPr>
              <w:t>126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issued on conversion of debentures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Other</w:t>
            </w: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declared ($0.63 per share)</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(756)</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Tax benefits on stock options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September 30, 2008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4,594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(4,663)</w:t>
            </w:r>
          </w:p>
        </w:tc>
        <w:tc>
          <w:tcPr>
            <w:tcW w:w="3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18,991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(1,125)</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74</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17,871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86"/>
              </w:rPr>
              <w:t>Accumulated</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2020" w:type="dxa"/>
            <w:vAlign w:val="bottom"/>
            <w:gridSpan w:val="8"/>
            <w:vMerge w:val="restart"/>
          </w:tcPr>
          <w:p>
            <w:pPr>
              <w:jc w:val="right"/>
              <w:ind w:right="74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4"/>
            <w:vMerge w:val="continue"/>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020" w:type="dxa"/>
            <w:vAlign w:val="bottom"/>
            <w:gridSpan w:val="8"/>
            <w:vMerge w:val="continue"/>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right="320"/>
              <w:spacing w:after="0" w:line="148" w:lineRule="exact"/>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January 1, 2009 - September 30, 2009</w:t>
            </w:r>
          </w:p>
        </w:tc>
        <w:tc>
          <w:tcPr>
            <w:tcW w:w="5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jc w:val="right"/>
              <w:ind w:right="400"/>
              <w:spacing w:after="0" w:line="129" w:lineRule="exact"/>
              <w:rPr>
                <w:sz w:val="20"/>
                <w:szCs w:val="20"/>
                <w:color w:val="auto"/>
              </w:rPr>
            </w:pPr>
            <w:r>
              <w:rPr>
                <w:rFonts w:ascii="Arial" w:cs="Arial" w:eastAsia="Arial" w:hAnsi="Arial"/>
                <w:sz w:val="14"/>
                <w:szCs w:val="14"/>
                <w:b w:val="1"/>
                <w:bCs w:val="1"/>
                <w:color w:val="auto"/>
                <w:w w:val="87"/>
              </w:rPr>
              <w:t>Retained</w:t>
            </w:r>
          </w:p>
        </w:tc>
        <w:tc>
          <w:tcPr>
            <w:tcW w:w="120" w:type="dxa"/>
            <w:vAlign w:val="bottom"/>
          </w:tcPr>
          <w:p>
            <w:pPr>
              <w:spacing w:after="0"/>
              <w:rPr>
                <w:sz w:val="11"/>
                <w:szCs w:val="11"/>
                <w:color w:val="auto"/>
              </w:rPr>
            </w:pPr>
          </w:p>
        </w:tc>
        <w:tc>
          <w:tcPr>
            <w:tcW w:w="1100" w:type="dxa"/>
            <w:vAlign w:val="bottom"/>
            <w:gridSpan w:val="4"/>
          </w:tcPr>
          <w:p>
            <w:pPr>
              <w:jc w:val="center"/>
              <w:ind w:right="200"/>
              <w:spacing w:after="0" w:line="129" w:lineRule="exact"/>
              <w:rPr>
                <w:sz w:val="20"/>
                <w:szCs w:val="20"/>
                <w:color w:val="auto"/>
              </w:rPr>
            </w:pPr>
            <w:r>
              <w:rPr>
                <w:rFonts w:ascii="Arial" w:cs="Arial" w:eastAsia="Arial" w:hAnsi="Arial"/>
                <w:sz w:val="14"/>
                <w:szCs w:val="14"/>
                <w:b w:val="1"/>
                <w:bCs w:val="1"/>
                <w:color w:val="auto"/>
                <w:w w:val="85"/>
              </w:rPr>
              <w:t>Comprehensive</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4"/>
          </w:tcPr>
          <w:p>
            <w:pPr>
              <w:ind w:left="20"/>
              <w:spacing w:after="0" w:line="129" w:lineRule="exact"/>
              <w:rPr>
                <w:sz w:val="20"/>
                <w:szCs w:val="20"/>
                <w:color w:val="auto"/>
              </w:rPr>
            </w:pPr>
            <w:r>
              <w:rPr>
                <w:rFonts w:ascii="Arial" w:cs="Arial" w:eastAsia="Arial" w:hAnsi="Arial"/>
                <w:sz w:val="14"/>
                <w:szCs w:val="14"/>
                <w:b w:val="1"/>
                <w:bCs w:val="1"/>
                <w:color w:val="auto"/>
              </w:rPr>
              <w:t>Noncontrolling</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20" w:type="dxa"/>
            <w:vAlign w:val="bottom"/>
            <w:gridSpan w:val="3"/>
            <w:vMerge w:val="continue"/>
          </w:tcPr>
          <w:p>
            <w:pPr>
              <w:spacing w:after="0"/>
              <w:rPr>
                <w:sz w:val="12"/>
                <w:szCs w:val="12"/>
                <w:color w:val="auto"/>
              </w:rPr>
            </w:pPr>
          </w:p>
        </w:tc>
        <w:tc>
          <w:tcPr>
            <w:tcW w:w="720" w:type="dxa"/>
            <w:vAlign w:val="bottom"/>
            <w:gridSpan w:val="2"/>
          </w:tcPr>
          <w:p>
            <w:pPr>
              <w:jc w:val="right"/>
              <w:ind w:right="280"/>
              <w:spacing w:after="0" w:line="148" w:lineRule="exact"/>
              <w:rPr>
                <w:sz w:val="20"/>
                <w:szCs w:val="20"/>
                <w:color w:val="auto"/>
              </w:rPr>
            </w:pPr>
            <w:r>
              <w:rPr>
                <w:rFonts w:ascii="Arial" w:cs="Arial" w:eastAsia="Arial" w:hAnsi="Arial"/>
                <w:sz w:val="14"/>
                <w:szCs w:val="14"/>
                <w:b w:val="1"/>
                <w:bCs w:val="1"/>
                <w:color w:val="auto"/>
                <w:w w:val="94"/>
              </w:rPr>
              <w:t>Issued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4"/>
          </w:tcPr>
          <w:p>
            <w:pPr>
              <w:spacing w:after="0" w:line="148" w:lineRule="exact"/>
              <w:rPr>
                <w:sz w:val="20"/>
                <w:szCs w:val="20"/>
                <w:color w:val="auto"/>
              </w:rPr>
            </w:pPr>
            <w:r>
              <w:rPr>
                <w:rFonts w:ascii="Arial" w:cs="Arial" w:eastAsia="Arial" w:hAnsi="Arial"/>
                <w:sz w:val="14"/>
                <w:szCs w:val="14"/>
                <w:b w:val="1"/>
                <w:bCs w:val="1"/>
                <w:color w:val="auto"/>
              </w:rPr>
              <w:t>In Treasury</w:t>
            </w:r>
          </w:p>
        </w:tc>
        <w:tc>
          <w:tcPr>
            <w:tcW w:w="120" w:type="dxa"/>
            <w:vAlign w:val="bottom"/>
          </w:tcPr>
          <w:p>
            <w:pPr>
              <w:spacing w:after="0"/>
              <w:rPr>
                <w:sz w:val="12"/>
                <w:szCs w:val="12"/>
                <w:color w:val="auto"/>
              </w:rPr>
            </w:pPr>
          </w:p>
        </w:tc>
        <w:tc>
          <w:tcPr>
            <w:tcW w:w="940" w:type="dxa"/>
            <w:vAlign w:val="bottom"/>
            <w:gridSpan w:val="3"/>
          </w:tcPr>
          <w:p>
            <w:pPr>
              <w:jc w:val="right"/>
              <w:ind w:right="380"/>
              <w:spacing w:after="0" w:line="148" w:lineRule="exact"/>
              <w:rPr>
                <w:sz w:val="20"/>
                <w:szCs w:val="20"/>
                <w:color w:val="auto"/>
              </w:rPr>
            </w:pPr>
            <w:r>
              <w:rPr>
                <w:rFonts w:ascii="Arial" w:cs="Arial" w:eastAsia="Arial" w:hAnsi="Arial"/>
                <w:sz w:val="14"/>
                <w:szCs w:val="14"/>
                <w:b w:val="1"/>
                <w:bCs w:val="1"/>
                <w:color w:val="auto"/>
                <w:w w:val="90"/>
              </w:rPr>
              <w:t>Earnings</w:t>
            </w:r>
          </w:p>
        </w:tc>
        <w:tc>
          <w:tcPr>
            <w:tcW w:w="120" w:type="dxa"/>
            <w:vAlign w:val="bottom"/>
          </w:tcPr>
          <w:p>
            <w:pPr>
              <w:spacing w:after="0"/>
              <w:rPr>
                <w:sz w:val="12"/>
                <w:szCs w:val="12"/>
                <w:color w:val="auto"/>
              </w:rPr>
            </w:pPr>
          </w:p>
        </w:tc>
        <w:tc>
          <w:tcPr>
            <w:tcW w:w="1100" w:type="dxa"/>
            <w:vAlign w:val="bottom"/>
            <w:gridSpan w:val="4"/>
          </w:tcPr>
          <w:p>
            <w:pPr>
              <w:jc w:val="center"/>
              <w:ind w:right="200"/>
              <w:spacing w:after="0" w:line="148" w:lineRule="exact"/>
              <w:rPr>
                <w:sz w:val="20"/>
                <w:szCs w:val="20"/>
                <w:color w:val="auto"/>
              </w:rPr>
            </w:pPr>
            <w:r>
              <w:rPr>
                <w:rFonts w:ascii="Arial" w:cs="Arial" w:eastAsia="Arial" w:hAnsi="Arial"/>
                <w:sz w:val="14"/>
                <w:szCs w:val="14"/>
                <w:b w:val="1"/>
                <w:bCs w:val="1"/>
                <w:color w:val="auto"/>
                <w:w w:val="86"/>
              </w:rPr>
              <w:t>Income (Loss)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jc w:val="right"/>
              <w:ind w:right="560"/>
              <w:spacing w:after="0" w:line="148" w:lineRule="exact"/>
              <w:rPr>
                <w:sz w:val="20"/>
                <w:szCs w:val="20"/>
                <w:color w:val="auto"/>
              </w:rPr>
            </w:pPr>
            <w:r>
              <w:rPr>
                <w:rFonts w:ascii="Arial" w:cs="Arial" w:eastAsia="Arial" w:hAnsi="Arial"/>
                <w:sz w:val="14"/>
                <w:szCs w:val="14"/>
                <w:b w:val="1"/>
                <w:bCs w:val="1"/>
                <w:color w:val="auto"/>
                <w:w w:val="92"/>
              </w:rPr>
              <w:t>Interests</w:t>
            </w:r>
          </w:p>
        </w:tc>
        <w:tc>
          <w:tcPr>
            <w:tcW w:w="68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26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2009</w:t>
            </w:r>
          </w:p>
        </w:tc>
        <w:tc>
          <w:tcPr>
            <w:tcW w:w="26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$4,668</w:t>
            </w:r>
          </w:p>
        </w:tc>
        <w:tc>
          <w:tcPr>
            <w:tcW w:w="2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(4,796)</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$19,891</w:t>
            </w:r>
          </w:p>
        </w:tc>
        <w:tc>
          <w:tcPr>
            <w:tcW w:w="3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(2,901)</w:t>
            </w:r>
          </w:p>
        </w:tc>
        <w:tc>
          <w:tcPr>
            <w:tcW w:w="4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72</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$16,934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2,338</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ind w:left="420"/>
              <w:spacing w:after="0"/>
              <w:rPr>
                <w:sz w:val="20"/>
                <w:szCs w:val="20"/>
                <w:color w:val="auto"/>
              </w:rPr>
            </w:pPr>
            <w:r>
              <w:rPr>
                <w:rFonts w:ascii="Arial" w:cs="Arial" w:eastAsia="Arial" w:hAnsi="Arial"/>
                <w:sz w:val="18"/>
                <w:szCs w:val="18"/>
                <w:color w:val="auto"/>
              </w:rPr>
              <w:t>Currency translation adjustments</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Changes in fair value of derivatives</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ind w:left="420"/>
              <w:spacing w:after="0"/>
              <w:rPr>
                <w:sz w:val="20"/>
                <w:szCs w:val="20"/>
                <w:color w:val="auto"/>
              </w:rPr>
            </w:pPr>
            <w:r>
              <w:rPr>
                <w:rFonts w:ascii="Arial" w:cs="Arial" w:eastAsia="Arial" w:hAnsi="Arial"/>
                <w:sz w:val="18"/>
                <w:szCs w:val="18"/>
                <w:color w:val="auto"/>
              </w:rPr>
              <w:t>Deferred employee benefits liabilities, net of tax</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481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Shares sold to optionees, less shares exchanged</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granted to directors</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Vesting of restricted stock</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issued under employee stock purchase plan</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Stock-based compensation cost</w:t>
            </w:r>
          </w:p>
        </w:tc>
        <w:tc>
          <w:tcPr>
            <w:tcW w:w="500" w:type="dxa"/>
            <w:vAlign w:val="bottom"/>
          </w:tcPr>
          <w:p>
            <w:pPr>
              <w:jc w:val="right"/>
              <w:spacing w:after="0"/>
              <w:rPr>
                <w:sz w:val="20"/>
                <w:szCs w:val="20"/>
                <w:color w:val="auto"/>
              </w:rPr>
            </w:pPr>
            <w:r>
              <w:rPr>
                <w:rFonts w:ascii="Arial" w:cs="Arial" w:eastAsia="Arial" w:hAnsi="Arial"/>
                <w:sz w:val="18"/>
                <w:szCs w:val="18"/>
                <w:color w:val="auto"/>
              </w:rPr>
              <w:t>139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 of noncontrolling interest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Other</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30</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declared ($0.63 per share)</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(754)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Tax benefits on stock options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September 30, 2009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4,746</w:t>
            </w:r>
          </w:p>
        </w:tc>
        <w:tc>
          <w:tcPr>
            <w:tcW w:w="2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(4,568)</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21,475</w:t>
            </w:r>
          </w:p>
        </w:tc>
        <w:tc>
          <w:tcPr>
            <w:tcW w:w="3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(2,298)</w:t>
            </w:r>
          </w:p>
        </w:tc>
        <w:tc>
          <w:tcPr>
            <w:tcW w:w="4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108</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19,463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368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90" w:lineRule="exact"/>
        <w:rPr>
          <w:sz w:val="20"/>
          <w:szCs w:val="20"/>
          <w:color w:val="auto"/>
        </w:rPr>
      </w:pPr>
    </w:p>
    <w:p>
      <w:pPr>
        <w:ind w:left="4440"/>
        <w:spacing w:after="0"/>
        <w:rPr>
          <w:sz w:val="20"/>
          <w:szCs w:val="20"/>
          <w:color w:val="auto"/>
        </w:rPr>
      </w:pPr>
      <w:r>
        <w:rPr>
          <w:rFonts w:ascii="Arial" w:cs="Arial" w:eastAsia="Arial" w:hAnsi="Arial"/>
          <w:sz w:val="18"/>
          <w:szCs w:val="18"/>
          <w:b w:val="1"/>
          <w:bCs w:val="1"/>
          <w:u w:val="single" w:color="auto"/>
          <w:color w:val="auto"/>
        </w:rPr>
        <w:t>SHARES OF COMMON STOCK</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4"/>
                <w:szCs w:val="14"/>
                <w:i w:val="1"/>
                <w:iCs w:val="1"/>
                <w:color w:val="auto"/>
              </w:rPr>
              <w:t>(Stated in millions)</w:t>
            </w:r>
          </w:p>
        </w:tc>
      </w:tr>
      <w:tr>
        <w:trPr>
          <w:trHeight w:val="149"/>
        </w:trPr>
        <w:tc>
          <w:tcPr>
            <w:tcW w:w="8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Shares</w:t>
            </w:r>
          </w:p>
        </w:tc>
      </w:tr>
      <w:tr>
        <w:trPr>
          <w:trHeight w:val="161"/>
        </w:trPr>
        <w:tc>
          <w:tcPr>
            <w:tcW w:w="8400" w:type="dxa"/>
            <w:vAlign w:val="bottom"/>
          </w:tcPr>
          <w:p>
            <w:pPr>
              <w:spacing w:after="0"/>
              <w:rPr>
                <w:sz w:val="14"/>
                <w:szCs w:val="14"/>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Issued</w:t>
            </w:r>
          </w:p>
        </w:tc>
        <w:tc>
          <w:tcPr>
            <w:tcW w:w="54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In Treasury</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Outstanding</w:t>
            </w:r>
          </w:p>
        </w:tc>
        <w:tc>
          <w:tcPr>
            <w:tcW w:w="20" w:type="dxa"/>
            <w:vAlign w:val="bottom"/>
          </w:tcPr>
          <w:p>
            <w:pPr>
              <w:spacing w:after="0"/>
              <w:rPr>
                <w:sz w:val="14"/>
                <w:szCs w:val="14"/>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2009</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1,334</w:t>
            </w:r>
          </w:p>
        </w:tc>
        <w:tc>
          <w:tcPr>
            <w:tcW w:w="1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20" w:type="dxa"/>
            <w:vAlign w:val="bottom"/>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Shares sold to optionees, less shares exchanged</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Shares issued under employee stock purchase plan</w:t>
            </w: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r>
      <w:tr>
        <w:trPr>
          <w:trHeight w:val="222"/>
        </w:trPr>
        <w:tc>
          <w:tcPr>
            <w:tcW w:w="8400" w:type="dxa"/>
            <w:vAlign w:val="bottom"/>
          </w:tcPr>
          <w:p>
            <w:pPr>
              <w:spacing w:after="0"/>
              <w:rPr>
                <w:sz w:val="20"/>
                <w:szCs w:val="20"/>
                <w:color w:val="auto"/>
              </w:rPr>
            </w:pPr>
            <w:r>
              <w:rPr>
                <w:rFonts w:ascii="Arial" w:cs="Arial" w:eastAsia="Arial" w:hAnsi="Arial"/>
                <w:sz w:val="18"/>
                <w:szCs w:val="18"/>
                <w:color w:val="auto"/>
              </w:rPr>
              <w:t>Balance, September 30, 2009</w:t>
            </w:r>
          </w:p>
        </w:tc>
        <w:tc>
          <w:tcPr>
            <w:tcW w:w="420" w:type="dxa"/>
            <w:vAlign w:val="bottom"/>
          </w:tcPr>
          <w:p>
            <w:pPr>
              <w:ind w:left="20"/>
              <w:spacing w:after="0"/>
              <w:rPr>
                <w:sz w:val="20"/>
                <w:szCs w:val="20"/>
                <w:color w:val="auto"/>
              </w:rPr>
            </w:pPr>
            <w:r>
              <w:rPr>
                <w:rFonts w:ascii="Arial" w:cs="Arial" w:eastAsia="Arial" w:hAnsi="Arial"/>
                <w:sz w:val="18"/>
                <w:szCs w:val="18"/>
                <w:color w:val="auto"/>
                <w:w w:val="84"/>
              </w:rPr>
              <w:t>1,334</w:t>
            </w:r>
          </w:p>
        </w:tc>
        <w:tc>
          <w:tcPr>
            <w:tcW w:w="1420" w:type="dxa"/>
            <w:vAlign w:val="bottom"/>
            <w:gridSpan w:val="3"/>
          </w:tcPr>
          <w:p>
            <w:pPr>
              <w:jc w:val="right"/>
              <w:ind w:right="140"/>
              <w:spacing w:after="0"/>
              <w:rPr>
                <w:sz w:val="20"/>
                <w:szCs w:val="20"/>
                <w:color w:val="auto"/>
              </w:rPr>
            </w:pPr>
            <w:r>
              <w:rPr>
                <w:rFonts w:ascii="Arial" w:cs="Arial" w:eastAsia="Arial" w:hAnsi="Arial"/>
                <w:sz w:val="18"/>
                <w:szCs w:val="18"/>
                <w:color w:val="auto"/>
              </w:rPr>
              <w:t>(134)</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1,200</w:t>
            </w:r>
          </w:p>
        </w:tc>
      </w:tr>
      <w:tr>
        <w:trPr>
          <w:trHeight w:val="20"/>
        </w:trPr>
        <w:tc>
          <w:tcPr>
            <w:tcW w:w="8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ind w:left="180" w:hanging="172"/>
        <w:spacing w:after="0"/>
        <w:tabs>
          <w:tab w:leader="none" w:pos="1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9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 xml:space="preserve">The accompanying unaudited consolidated financial statements, which include the accounts of Schlumberger Limited and its subsidiaries (“Schlumberger”), have been prepared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all adjustments considered necessary for a fair presentation have been included in the accompanying unaudited financial statements. All intercompany transactions and balances have been eliminated in consolidation. Operating results for the nine month period ended September 30, 2009 are not necessarily indicative of the results that may be expected for the full year ending December 31, 2009. The December 31, 2008 balance sheet information has been derived from the audited 2008 financial statements. For further information, refer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xml:space="preserve"> and notes thereto, included in the Schlumberger Annual Report on Form 10-K for the year ended December 31, 2008, filed with the Securities and Exchange Commission on February 11, 2009.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Certain items from prior year have been reclassified to conform to the current year presentation.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Subsequent events have been evaluated through October 28, 2009, which is the date the financial statements were issued.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w:t>
      </w:r>
    </w:p>
    <w:p>
      <w:pPr>
        <w:spacing w:after="0" w:line="96"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 xml:space="preserve">Effective January 1, 2009, Schlumberger adopted newly issued accounting guidance that changed the accounting for, and reporting of, minority interests (now referred to as noncontrolling interests). Noncontrolling interests are now classified as </w:t>
      </w:r>
      <w:r>
        <w:rPr>
          <w:rFonts w:ascii="Arial" w:cs="Arial" w:eastAsia="Arial" w:hAnsi="Arial"/>
          <w:sz w:val="16"/>
          <w:szCs w:val="16"/>
          <w:i w:val="1"/>
          <w:iCs w:val="1"/>
          <w:color w:val="auto"/>
        </w:rPr>
        <w:t>Equity</w:t>
      </w:r>
      <w:r>
        <w:rPr>
          <w:rFonts w:ascii="Arial" w:cs="Arial" w:eastAsia="Arial" w:hAnsi="Arial"/>
          <w:sz w:val="16"/>
          <w:szCs w:val="16"/>
          <w:color w:val="auto"/>
        </w:rPr>
        <w:t xml:space="preserve"> in the Schlumberger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w:t>
      </w:r>
    </w:p>
    <w:p>
      <w:pPr>
        <w:spacing w:after="0" w:line="8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new guidance also changed the way the consolidated income statement is presented, by requiring net income to include the net income for both the parent and the noncontrolling interests, with disclosure of both amounts on the consolidated statement of income. The calculation of earnings per share continues to be based on income amounts attributable to the parent.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Prior period amounts related to noncontrolling interests have been reclassified to conform to the current period presentation.</w:t>
      </w:r>
    </w:p>
    <w:p>
      <w:pPr>
        <w:spacing w:after="0" w:line="246"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Charges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Schlumberger recorded the following charges during the second quarter of 2009:</w:t>
      </w:r>
    </w:p>
    <w:p>
      <w:pPr>
        <w:spacing w:after="0" w:line="90" w:lineRule="exact"/>
        <w:rPr>
          <w:sz w:val="20"/>
          <w:szCs w:val="20"/>
          <w:color w:val="auto"/>
        </w:rPr>
      </w:pPr>
    </w:p>
    <w:p>
      <w:pPr>
        <w:jc w:val="both"/>
        <w:ind w:left="900" w:right="100" w:hanging="446"/>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Schlumberger continued to reduce its global workforce as a result of the slowdown in oil and gas exploration and production spending and its effect on activity in the oilfield services sector. As a result of these actions, Schlumberger recorded a pretax charge of $102 million ($85 million after-tax), which is classified in </w:t>
      </w:r>
      <w:r>
        <w:rPr>
          <w:rFonts w:ascii="Arial" w:cs="Arial" w:eastAsia="Arial" w:hAnsi="Arial"/>
          <w:sz w:val="18"/>
          <w:szCs w:val="18"/>
          <w:i w:val="1"/>
          <w:iCs w:val="1"/>
          <w:color w:val="auto"/>
        </w:rPr>
        <w:t>Cost of revenue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59"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As a consequence of these workforce reductions, Schlumberger recorded pretax non-cash pension and other postretirement benefit curtailment charges of $136 million ($122 million after-tax). These costs are classified in </w:t>
      </w:r>
      <w:r>
        <w:rPr>
          <w:rFonts w:ascii="Arial" w:cs="Arial" w:eastAsia="Arial" w:hAnsi="Arial"/>
          <w:sz w:val="18"/>
          <w:szCs w:val="18"/>
          <w:i w:val="1"/>
          <w:iCs w:val="1"/>
          <w:color w:val="auto"/>
        </w:rPr>
        <w:t>Cost of revenue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 xml:space="preserve">. Refer to Note 15 – </w:t>
      </w:r>
      <w:r>
        <w:rPr>
          <w:rFonts w:ascii="Arial" w:cs="Arial" w:eastAsia="Arial" w:hAnsi="Arial"/>
          <w:sz w:val="18"/>
          <w:szCs w:val="18"/>
          <w:i w:val="1"/>
          <w:iCs w:val="1"/>
          <w:color w:val="auto"/>
        </w:rPr>
        <w:t>Pension and Other Postretirement Benefits</w:t>
      </w:r>
      <w:r>
        <w:rPr>
          <w:rFonts w:ascii="Arial" w:cs="Arial" w:eastAsia="Arial" w:hAnsi="Arial"/>
          <w:sz w:val="18"/>
          <w:szCs w:val="18"/>
          <w:color w:val="auto"/>
        </w:rPr>
        <w:t xml:space="preserve"> for further details.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these charges: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20" w:type="dxa"/>
            <w:vAlign w:val="bottom"/>
            <w:gridSpan w:val="4"/>
          </w:tcPr>
          <w:p>
            <w:pPr>
              <w:jc w:val="right"/>
              <w:spacing w:after="0"/>
              <w:rPr>
                <w:sz w:val="20"/>
                <w:szCs w:val="20"/>
                <w:color w:val="auto"/>
              </w:rPr>
            </w:pPr>
            <w:r>
              <w:rPr>
                <w:rFonts w:ascii="Arial" w:cs="Arial" w:eastAsia="Arial" w:hAnsi="Arial"/>
                <w:sz w:val="14"/>
                <w:szCs w:val="14"/>
                <w:i w:val="1"/>
                <w:iCs w:val="1"/>
                <w:color w:val="auto"/>
              </w:rPr>
              <w:t>(Stated in millions)</w:t>
            </w:r>
          </w:p>
        </w:tc>
      </w:tr>
      <w:tr>
        <w:trPr>
          <w:trHeight w:val="161"/>
        </w:trPr>
        <w:tc>
          <w:tcPr>
            <w:tcW w:w="84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84"/>
              </w:rPr>
              <w:t>Pretax</w:t>
            </w:r>
          </w:p>
        </w:tc>
        <w:tc>
          <w:tcPr>
            <w:tcW w:w="500" w:type="dxa"/>
            <w:vAlign w:val="bottom"/>
          </w:tcPr>
          <w:p>
            <w:pPr>
              <w:spacing w:after="0"/>
              <w:rPr>
                <w:sz w:val="14"/>
                <w:szCs w:val="14"/>
                <w:color w:val="auto"/>
              </w:rPr>
            </w:pPr>
          </w:p>
        </w:tc>
        <w:tc>
          <w:tcPr>
            <w:tcW w:w="8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Tax</w:t>
            </w: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rPr>
              <w:t>Net</w:t>
            </w: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Charges</w:t>
            </w:r>
          </w:p>
        </w:tc>
        <w:tc>
          <w:tcPr>
            <w:tcW w:w="3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 Workforce reductions</w:t>
            </w:r>
          </w:p>
        </w:tc>
        <w:tc>
          <w:tcPr>
            <w:tcW w:w="380" w:type="dxa"/>
            <w:vAlign w:val="bottom"/>
          </w:tcPr>
          <w:p>
            <w:pPr>
              <w:jc w:val="right"/>
              <w:spacing w:after="0"/>
              <w:rPr>
                <w:sz w:val="20"/>
                <w:szCs w:val="20"/>
                <w:color w:val="auto"/>
              </w:rPr>
            </w:pPr>
            <w:r>
              <w:rPr>
                <w:rFonts w:ascii="Arial" w:cs="Arial" w:eastAsia="Arial" w:hAnsi="Arial"/>
                <w:sz w:val="18"/>
                <w:szCs w:val="18"/>
                <w:color w:val="auto"/>
                <w:w w:val="79"/>
              </w:rPr>
              <w:t>$ 102</w:t>
            </w:r>
          </w:p>
        </w:tc>
        <w:tc>
          <w:tcPr>
            <w:tcW w:w="1360" w:type="dxa"/>
            <w:vAlign w:val="bottom"/>
            <w:gridSpan w:val="3"/>
          </w:tcPr>
          <w:p>
            <w:pPr>
              <w:jc w:val="right"/>
              <w:ind w:right="460"/>
              <w:spacing w:after="0"/>
              <w:rPr>
                <w:sz w:val="20"/>
                <w:szCs w:val="20"/>
                <w:color w:val="auto"/>
              </w:rPr>
            </w:pPr>
            <w:r>
              <w:rPr>
                <w:rFonts w:ascii="Arial" w:cs="Arial" w:eastAsia="Arial" w:hAnsi="Arial"/>
                <w:sz w:val="18"/>
                <w:szCs w:val="18"/>
                <w:color w:val="auto"/>
              </w:rPr>
              <w:t>$(17)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 Postretirement benefits curtailment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122</w:t>
            </w:r>
          </w:p>
        </w:tc>
      </w:tr>
      <w:tr>
        <w:trPr>
          <w:trHeight w:val="20"/>
        </w:trPr>
        <w:tc>
          <w:tcPr>
            <w:tcW w:w="8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r>
        <w:trPr>
          <w:trHeight w:val="222"/>
        </w:trPr>
        <w:tc>
          <w:tcPr>
            <w:tcW w:w="84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79"/>
              </w:rPr>
              <w:t>$ 238</w:t>
            </w:r>
          </w:p>
        </w:tc>
        <w:tc>
          <w:tcPr>
            <w:tcW w:w="500" w:type="dxa"/>
            <w:vAlign w:val="bottom"/>
          </w:tcPr>
          <w:p>
            <w:pPr>
              <w:spacing w:after="0"/>
              <w:rPr>
                <w:sz w:val="19"/>
                <w:szCs w:val="19"/>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(31)</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207</w:t>
            </w:r>
          </w:p>
        </w:tc>
      </w:tr>
      <w:tr>
        <w:trPr>
          <w:trHeight w:val="20"/>
        </w:trPr>
        <w:tc>
          <w:tcPr>
            <w:tcW w:w="8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w:t>
      </w:r>
    </w:p>
    <w:p>
      <w:pPr>
        <w:spacing w:after="0" w:line="9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following is a reconciliation from basic earnings per share of Schlumberger from continuing operations to diluted earnings per share of Schlumberger from continuing operations: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7"/>
          </w:tcPr>
          <w:p>
            <w:pPr>
              <w:jc w:val="right"/>
              <w:ind w:right="20"/>
              <w:spacing w:after="0"/>
              <w:rPr>
                <w:sz w:val="20"/>
                <w:szCs w:val="20"/>
                <w:color w:val="auto"/>
              </w:rPr>
            </w:pPr>
            <w:r>
              <w:rPr>
                <w:rFonts w:ascii="Arial" w:cs="Arial" w:eastAsia="Arial" w:hAnsi="Arial"/>
                <w:sz w:val="14"/>
                <w:szCs w:val="14"/>
                <w:i w:val="1"/>
                <w:iCs w:val="1"/>
                <w:color w:val="auto"/>
              </w:rPr>
              <w:t>(Stated in millions, except per share amounts)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right"/>
              <w:ind w:right="284"/>
              <w:spacing w:after="0"/>
              <w:rPr>
                <w:sz w:val="20"/>
                <w:szCs w:val="20"/>
                <w:color w:val="auto"/>
              </w:rPr>
            </w:pPr>
            <w:r>
              <w:rPr>
                <w:rFonts w:ascii="Arial" w:cs="Arial" w:eastAsia="Arial" w:hAnsi="Arial"/>
                <w:sz w:val="14"/>
                <w:szCs w:val="14"/>
                <w:b w:val="1"/>
                <w:bCs w:val="1"/>
                <w:color w:val="auto"/>
              </w:rPr>
              <w:t>2009</w:t>
            </w: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2008</w:t>
            </w: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Schlumberger</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gridSpan w:val="3"/>
          </w:tcPr>
          <w:p>
            <w:pPr>
              <w:jc w:val="center"/>
              <w:ind w:right="480"/>
              <w:spacing w:after="0" w:line="129" w:lineRule="exact"/>
              <w:rPr>
                <w:sz w:val="20"/>
                <w:szCs w:val="20"/>
                <w:color w:val="auto"/>
              </w:rPr>
            </w:pPr>
            <w:r>
              <w:rPr>
                <w:rFonts w:ascii="Arial" w:cs="Arial" w:eastAsia="Arial" w:hAnsi="Arial"/>
                <w:sz w:val="14"/>
                <w:szCs w:val="14"/>
                <w:b w:val="1"/>
                <w:bCs w:val="1"/>
                <w:color w:val="auto"/>
                <w:w w:val="87"/>
              </w:rPr>
              <w:t>Schlumberger</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Income from</w:t>
            </w:r>
          </w:p>
        </w:tc>
        <w:tc>
          <w:tcPr>
            <w:tcW w:w="48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Average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8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Income from</w:t>
            </w:r>
          </w:p>
        </w:tc>
        <w:tc>
          <w:tcPr>
            <w:tcW w:w="13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Average</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7"/>
              </w:rPr>
              <w:t>Continuing</w:t>
            </w:r>
          </w:p>
        </w:tc>
        <w:tc>
          <w:tcPr>
            <w:tcW w:w="48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1"/>
              </w:rPr>
              <w:t>Shares</w:t>
            </w:r>
          </w:p>
        </w:tc>
        <w:tc>
          <w:tcPr>
            <w:tcW w:w="240" w:type="dxa"/>
            <w:vAlign w:val="bottom"/>
          </w:tcPr>
          <w:p>
            <w:pPr>
              <w:spacing w:after="0"/>
              <w:rPr>
                <w:sz w:val="12"/>
                <w:szCs w:val="12"/>
                <w:color w:val="auto"/>
              </w:rPr>
            </w:pPr>
          </w:p>
        </w:tc>
        <w:tc>
          <w:tcPr>
            <w:tcW w:w="5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0"/>
              </w:rPr>
              <w:t>Earnings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Continuing</w:t>
            </w:r>
          </w:p>
        </w:tc>
        <w:tc>
          <w:tcPr>
            <w:tcW w:w="13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1"/>
              </w:rPr>
              <w:t>Shares</w:t>
            </w:r>
          </w:p>
        </w:tc>
        <w:tc>
          <w:tcPr>
            <w:tcW w:w="6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w w:val="96"/>
              </w:rPr>
              <w:t>Earnings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83"/>
              </w:rPr>
              <w:t>Operations</w:t>
            </w:r>
          </w:p>
        </w:tc>
        <w:tc>
          <w:tcPr>
            <w:tcW w:w="48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Outstanding</w:t>
            </w:r>
          </w:p>
        </w:tc>
        <w:tc>
          <w:tcPr>
            <w:tcW w:w="2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6"/>
              </w:rPr>
              <w:t>per Share</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9"/>
              </w:rPr>
              <w:t>Operations</w:t>
            </w: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Outstanding</w:t>
            </w:r>
          </w:p>
        </w:tc>
        <w:tc>
          <w:tcPr>
            <w:tcW w:w="660" w:type="dxa"/>
            <w:vAlign w:val="bottom"/>
            <w:gridSpan w:val="3"/>
          </w:tcPr>
          <w:p>
            <w:pPr>
              <w:ind w:left="40"/>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2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Third Quarter</w:t>
            </w: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Basic</w:t>
            </w:r>
          </w:p>
        </w:tc>
        <w:tc>
          <w:tcPr>
            <w:tcW w:w="3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787</w:t>
            </w:r>
          </w:p>
        </w:tc>
        <w:tc>
          <w:tcPr>
            <w:tcW w:w="1440" w:type="dxa"/>
            <w:vAlign w:val="bottom"/>
            <w:tcBorders>
              <w:top w:val="single" w:sz="8" w:color="CCEEFF"/>
            </w:tcBorders>
            <w:gridSpan w:val="3"/>
          </w:tcPr>
          <w:p>
            <w:pPr>
              <w:jc w:val="right"/>
              <w:ind w:right="220"/>
              <w:spacing w:after="0"/>
              <w:rPr>
                <w:sz w:val="20"/>
                <w:szCs w:val="20"/>
                <w:color w:val="auto"/>
              </w:rPr>
            </w:pPr>
            <w:r>
              <w:rPr>
                <w:rFonts w:ascii="Arial" w:cs="Arial" w:eastAsia="Arial" w:hAnsi="Arial"/>
                <w:sz w:val="18"/>
                <w:szCs w:val="18"/>
                <w:b w:val="1"/>
                <w:bCs w:val="1"/>
                <w:color w:val="auto"/>
              </w:rPr>
              <w:t>1,200</w:t>
            </w:r>
          </w:p>
        </w:tc>
        <w:tc>
          <w:tcPr>
            <w:tcW w:w="420" w:type="dxa"/>
            <w:vAlign w:val="bottom"/>
            <w:tcBorders>
              <w:top w:val="single" w:sz="8" w:color="CCEEFF"/>
            </w:tcBorders>
            <w:gridSpan w:val="2"/>
          </w:tcPr>
          <w:p>
            <w:pPr>
              <w:ind w:left="240"/>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0.66</w:t>
            </w:r>
          </w:p>
        </w:tc>
        <w:tc>
          <w:tcPr>
            <w:tcW w:w="5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CCEEFF"/>
            </w:tcBorders>
            <w:gridSpan w:val="2"/>
          </w:tcPr>
          <w:p>
            <w:pPr>
              <w:jc w:val="right"/>
              <w:ind w:right="480"/>
              <w:spacing w:after="0"/>
              <w:rPr>
                <w:sz w:val="20"/>
                <w:szCs w:val="20"/>
                <w:color w:val="auto"/>
              </w:rPr>
            </w:pPr>
            <w:r>
              <w:rPr>
                <w:rFonts w:ascii="Arial" w:cs="Arial" w:eastAsia="Arial" w:hAnsi="Arial"/>
                <w:sz w:val="18"/>
                <w:szCs w:val="18"/>
                <w:color w:val="auto"/>
              </w:rPr>
              <w:t>1,526</w:t>
            </w:r>
          </w:p>
        </w:tc>
        <w:tc>
          <w:tcPr>
            <w:tcW w:w="1300" w:type="dxa"/>
            <w:vAlign w:val="bottom"/>
            <w:tcBorders>
              <w:top w:val="single" w:sz="8" w:color="CCEEFF"/>
            </w:tcBorders>
            <w:gridSpan w:val="2"/>
          </w:tcPr>
          <w:p>
            <w:pPr>
              <w:jc w:val="right"/>
              <w:ind w:right="500"/>
              <w:spacing w:after="0"/>
              <w:rPr>
                <w:sz w:val="20"/>
                <w:szCs w:val="20"/>
                <w:color w:val="auto"/>
              </w:rPr>
            </w:pPr>
            <w:r>
              <w:rPr>
                <w:rFonts w:ascii="Arial" w:cs="Arial" w:eastAsia="Arial" w:hAnsi="Arial"/>
                <w:sz w:val="18"/>
                <w:szCs w:val="18"/>
                <w:color w:val="auto"/>
              </w:rPr>
              <w:t>1,199</w:t>
            </w:r>
          </w:p>
        </w:tc>
        <w:tc>
          <w:tcPr>
            <w:tcW w:w="200" w:type="dxa"/>
            <w:vAlign w:val="bottom"/>
            <w:tcBorders>
              <w:top w:val="single" w:sz="8" w:color="CCEEFF"/>
            </w:tcBorders>
          </w:tcPr>
          <w:p>
            <w:pPr>
              <w:jc w:val="right"/>
              <w:ind w:right="48"/>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Assumed conversion of debentures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Assumed exercise of stock options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Unvested restricted stock</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gridSpan w:val="4"/>
            <w:vMerge w:val="restart"/>
          </w:tcPr>
          <w:p>
            <w:pPr>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0.65</w:t>
            </w: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vMerge w:val="restart"/>
          </w:tcPr>
          <w:p>
            <w:pPr>
              <w:jc w:val="right"/>
              <w:ind w:right="48"/>
              <w:spacing w:after="0"/>
              <w:rPr>
                <w:sz w:val="20"/>
                <w:szCs w:val="20"/>
                <w:color w:val="auto"/>
              </w:rPr>
            </w:pPr>
            <w:r>
              <w:rPr>
                <w:rFonts w:ascii="Arial" w:cs="Arial" w:eastAsia="Arial" w:hAnsi="Arial"/>
                <w:sz w:val="15"/>
                <w:szCs w:val="15"/>
                <w:color w:val="auto"/>
                <w:w w:val="71"/>
              </w:rPr>
              <w:t>$</w:t>
            </w:r>
          </w:p>
        </w:tc>
        <w:tc>
          <w:tcPr>
            <w:tcW w:w="4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line="20" w:lineRule="exact"/>
              <w:rPr>
                <w:sz w:val="1"/>
                <w:szCs w:val="1"/>
                <w:color w:val="auto"/>
              </w:rPr>
            </w:pPr>
          </w:p>
        </w:tc>
      </w:tr>
      <w:tr>
        <w:trPr>
          <w:trHeight w:val="223"/>
        </w:trPr>
        <w:tc>
          <w:tcPr>
            <w:tcW w:w="4540" w:type="dxa"/>
            <w:vAlign w:val="bottom"/>
            <w:gridSpan w:val="4"/>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789</w:t>
            </w:r>
          </w:p>
        </w:tc>
        <w:tc>
          <w:tcPr>
            <w:tcW w:w="480" w:type="dxa"/>
            <w:vAlign w:val="bottom"/>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1,218</w:t>
            </w:r>
          </w:p>
        </w:tc>
        <w:tc>
          <w:tcPr>
            <w:tcW w:w="2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1,528</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1,225</w:t>
            </w:r>
          </w:p>
        </w:tc>
        <w:tc>
          <w:tcPr>
            <w:tcW w:w="200" w:type="dxa"/>
            <w:vAlign w:val="bottom"/>
            <w:vMerge w:val="continue"/>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4"/>
              </w:rPr>
              <w:t>Schlumberger</w:t>
            </w: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7"/>
              </w:rPr>
              <w:t>Schlumberger</w:t>
            </w: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Income from</w:t>
            </w:r>
          </w:p>
        </w:tc>
        <w:tc>
          <w:tcPr>
            <w:tcW w:w="48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Average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8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Income from</w:t>
            </w:r>
          </w:p>
        </w:tc>
        <w:tc>
          <w:tcPr>
            <w:tcW w:w="13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Average</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7"/>
              </w:rPr>
              <w:t>Continuing</w:t>
            </w:r>
          </w:p>
        </w:tc>
        <w:tc>
          <w:tcPr>
            <w:tcW w:w="48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1"/>
              </w:rPr>
              <w:t>Shares</w:t>
            </w:r>
          </w:p>
        </w:tc>
        <w:tc>
          <w:tcPr>
            <w:tcW w:w="240" w:type="dxa"/>
            <w:vAlign w:val="bottom"/>
          </w:tcPr>
          <w:p>
            <w:pPr>
              <w:spacing w:after="0"/>
              <w:rPr>
                <w:sz w:val="12"/>
                <w:szCs w:val="12"/>
                <w:color w:val="auto"/>
              </w:rPr>
            </w:pPr>
          </w:p>
        </w:tc>
        <w:tc>
          <w:tcPr>
            <w:tcW w:w="5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0"/>
              </w:rPr>
              <w:t>Earnings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Continuing</w:t>
            </w:r>
          </w:p>
        </w:tc>
        <w:tc>
          <w:tcPr>
            <w:tcW w:w="13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1"/>
              </w:rPr>
              <w:t>Shares</w:t>
            </w:r>
          </w:p>
        </w:tc>
        <w:tc>
          <w:tcPr>
            <w:tcW w:w="6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w w:val="96"/>
              </w:rPr>
              <w:t>Earnings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83"/>
              </w:rPr>
              <w:t>Operations</w:t>
            </w:r>
          </w:p>
        </w:tc>
        <w:tc>
          <w:tcPr>
            <w:tcW w:w="48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Outstanding</w:t>
            </w:r>
          </w:p>
        </w:tc>
        <w:tc>
          <w:tcPr>
            <w:tcW w:w="2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6"/>
              </w:rPr>
              <w:t>per Share</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9"/>
              </w:rPr>
              <w:t>Operations</w:t>
            </w: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Outstanding</w:t>
            </w:r>
          </w:p>
        </w:tc>
        <w:tc>
          <w:tcPr>
            <w:tcW w:w="660" w:type="dxa"/>
            <w:vAlign w:val="bottom"/>
            <w:gridSpan w:val="3"/>
          </w:tcPr>
          <w:p>
            <w:pPr>
              <w:ind w:left="40"/>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6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6"/>
              </w:rPr>
              <w:t>Nine Months</w:t>
            </w:r>
          </w:p>
        </w:tc>
        <w:tc>
          <w:tcPr>
            <w:tcW w:w="3560" w:type="dxa"/>
            <w:vAlign w:val="bottom"/>
            <w:tcBorders>
              <w:bottom w:val="single" w:sz="8" w:color="CCEEFF"/>
            </w:tcBorders>
            <w:gridSpan w:val="2"/>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2,338</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1,198</w:t>
            </w:r>
          </w:p>
        </w:tc>
        <w:tc>
          <w:tcPr>
            <w:tcW w:w="420" w:type="dxa"/>
            <w:vAlign w:val="bottom"/>
            <w:gridSpan w:val="2"/>
          </w:tcPr>
          <w:p>
            <w:pPr>
              <w:ind w:left="24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1.95</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4,247</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1,197</w:t>
            </w:r>
          </w:p>
        </w:tc>
        <w:tc>
          <w:tcPr>
            <w:tcW w:w="200" w:type="dxa"/>
            <w:vAlign w:val="bottom"/>
          </w:tcPr>
          <w:p>
            <w:pPr>
              <w:jc w:val="right"/>
              <w:ind w:right="48"/>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Assumed conversion of debentures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Assumed exercise of stock options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Unvested restricted stock</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gridSpan w:val="4"/>
            <w:vMerge w:val="restart"/>
          </w:tcPr>
          <w:p>
            <w:pPr>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2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w:t>
            </w:r>
          </w:p>
        </w:tc>
        <w:tc>
          <w:tcPr>
            <w:tcW w:w="4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1.93</w:t>
            </w: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vMerge w:val="restart"/>
          </w:tcPr>
          <w:p>
            <w:pPr>
              <w:jc w:val="right"/>
              <w:ind w:right="48"/>
              <w:spacing w:after="0"/>
              <w:rPr>
                <w:sz w:val="20"/>
                <w:szCs w:val="20"/>
                <w:color w:val="auto"/>
              </w:rPr>
            </w:pPr>
            <w:r>
              <w:rPr>
                <w:rFonts w:ascii="Arial" w:cs="Arial" w:eastAsia="Arial" w:hAnsi="Arial"/>
                <w:sz w:val="15"/>
                <w:szCs w:val="15"/>
                <w:color w:val="auto"/>
                <w:w w:val="71"/>
              </w:rPr>
              <w:t>$</w:t>
            </w:r>
          </w:p>
        </w:tc>
        <w:tc>
          <w:tcPr>
            <w:tcW w:w="4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line="20" w:lineRule="exact"/>
              <w:rPr>
                <w:sz w:val="1"/>
                <w:szCs w:val="1"/>
                <w:color w:val="auto"/>
              </w:rPr>
            </w:pPr>
          </w:p>
        </w:tc>
      </w:tr>
      <w:tr>
        <w:trPr>
          <w:trHeight w:val="223"/>
        </w:trPr>
        <w:tc>
          <w:tcPr>
            <w:tcW w:w="4540" w:type="dxa"/>
            <w:vAlign w:val="bottom"/>
            <w:gridSpan w:val="4"/>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2,344</w:t>
            </w:r>
          </w:p>
        </w:tc>
        <w:tc>
          <w:tcPr>
            <w:tcW w:w="480" w:type="dxa"/>
            <w:vAlign w:val="bottom"/>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1,214</w:t>
            </w:r>
          </w:p>
        </w:tc>
        <w:tc>
          <w:tcPr>
            <w:tcW w:w="220" w:type="dxa"/>
            <w:vAlign w:val="bottom"/>
            <w:vMerge w:val="continue"/>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4,257</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1,229</w:t>
            </w:r>
          </w:p>
        </w:tc>
        <w:tc>
          <w:tcPr>
            <w:tcW w:w="200" w:type="dxa"/>
            <w:vAlign w:val="bottom"/>
            <w:vMerge w:val="continue"/>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number of outstanding options to purchase shares of Schlumberger common stock which were not included in the computation of diluted earnings per share, because to do so would have had an antidilutive effect, were as follows: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i w:val="1"/>
                <w:iCs w:val="1"/>
                <w:color w:val="auto"/>
                <w:w w:val="95"/>
              </w:rPr>
              <w:t>(Stated in millions)</w:t>
            </w:r>
          </w:p>
        </w:tc>
      </w:tr>
      <w:tr>
        <w:trPr>
          <w:trHeight w:val="161"/>
        </w:trPr>
        <w:tc>
          <w:tcPr>
            <w:tcW w:w="286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4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2008</w:t>
            </w:r>
          </w:p>
        </w:tc>
      </w:tr>
      <w:tr>
        <w:trPr>
          <w:trHeight w:val="210"/>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8"/>
        </w:trPr>
        <w:tc>
          <w:tcPr>
            <w:tcW w:w="2860" w:type="dxa"/>
            <w:vAlign w:val="bottom"/>
          </w:tcPr>
          <w:p>
            <w:pPr>
              <w:spacing w:after="0"/>
              <w:rPr>
                <w:sz w:val="20"/>
                <w:szCs w:val="20"/>
                <w:color w:val="auto"/>
              </w:rPr>
            </w:pPr>
            <w:r>
              <w:rPr>
                <w:rFonts w:ascii="Arial" w:cs="Arial" w:eastAsia="Arial" w:hAnsi="Arial"/>
                <w:sz w:val="18"/>
                <w:szCs w:val="18"/>
                <w:color w:val="auto"/>
              </w:rPr>
              <w:t>Nine Months</w:t>
            </w:r>
          </w:p>
        </w:tc>
        <w:tc>
          <w:tcPr>
            <w:tcW w:w="56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350"/>
        </w:trPr>
        <w:tc>
          <w:tcPr>
            <w:tcW w:w="2860" w:type="dxa"/>
            <w:vAlign w:val="bottom"/>
          </w:tcPr>
          <w:p>
            <w:pPr>
              <w:spacing w:after="0"/>
              <w:rPr>
                <w:sz w:val="24"/>
                <w:szCs w:val="24"/>
                <w:color w:val="auto"/>
              </w:rPr>
            </w:pPr>
          </w:p>
        </w:tc>
        <w:tc>
          <w:tcPr>
            <w:tcW w:w="5080" w:type="dxa"/>
            <w:vAlign w:val="bottom"/>
          </w:tcPr>
          <w:p>
            <w:pPr>
              <w:jc w:val="right"/>
              <w:ind w:right="3012"/>
              <w:spacing w:after="0"/>
              <w:rPr>
                <w:sz w:val="20"/>
                <w:szCs w:val="20"/>
                <w:color w:val="auto"/>
              </w:rPr>
            </w:pPr>
            <w:r>
              <w:rPr>
                <w:rFonts w:ascii="Arial" w:cs="Arial" w:eastAsia="Arial" w:hAnsi="Arial"/>
                <w:sz w:val="18"/>
                <w:szCs w:val="18"/>
                <w:color w:val="auto"/>
              </w:rPr>
              <w:t>9</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Acquisitions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During the first nine months of 2009, Schlumberger made certain acquisitions and minority interest investments, for $475 million, net of cash acquired, none of which were significant on an individual basis or in the aggregate.</w:t>
      </w:r>
    </w:p>
    <w:p>
      <w:pPr>
        <w:spacing w:after="0" w:line="207"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inventory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5"/>
          </w:tcPr>
          <w:p>
            <w:pPr>
              <w:jc w:val="right"/>
              <w:spacing w:after="0"/>
              <w:rPr>
                <w:sz w:val="20"/>
                <w:szCs w:val="20"/>
                <w:color w:val="auto"/>
              </w:rPr>
            </w:pPr>
            <w:r>
              <w:rPr>
                <w:rFonts w:ascii="Arial" w:cs="Arial" w:eastAsia="Arial" w:hAnsi="Arial"/>
                <w:sz w:val="14"/>
                <w:szCs w:val="14"/>
                <w:i w:val="1"/>
                <w:iCs w:val="1"/>
                <w:color w:val="auto"/>
                <w:w w:val="98"/>
              </w:rPr>
              <w:t>(Stated in millions)</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5"/>
              </w:rPr>
              <w:t>Sept. 30</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9"/>
              </w:rPr>
              <w:t>Dec. 31</w:t>
            </w:r>
          </w:p>
        </w:tc>
        <w:tc>
          <w:tcPr>
            <w:tcW w:w="0" w:type="dxa"/>
            <w:vAlign w:val="bottom"/>
          </w:tcPr>
          <w:p>
            <w:pPr>
              <w:spacing w:after="0"/>
              <w:rPr>
                <w:sz w:val="1"/>
                <w:szCs w:val="1"/>
                <w:color w:val="auto"/>
              </w:rPr>
            </w:pPr>
          </w:p>
        </w:tc>
      </w:tr>
      <w:tr>
        <w:trPr>
          <w:trHeight w:val="161"/>
        </w:trPr>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500" w:type="dxa"/>
            <w:vAlign w:val="bottom"/>
            <w:gridSpan w:val="2"/>
          </w:tcPr>
          <w:p>
            <w:pPr>
              <w:spacing w:after="0"/>
              <w:rPr>
                <w:sz w:val="14"/>
                <w:szCs w:val="14"/>
                <w:color w:val="auto"/>
              </w:rPr>
            </w:pPr>
          </w:p>
        </w:tc>
        <w:tc>
          <w:tcPr>
            <w:tcW w:w="50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83"/>
              </w:rPr>
              <w:t>2008</w:t>
            </w: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 &amp; field materials</w:t>
            </w:r>
          </w:p>
        </w:tc>
        <w:tc>
          <w:tcPr>
            <w:tcW w:w="300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$1,734</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Work in process</w:t>
            </w:r>
          </w:p>
        </w:tc>
        <w:tc>
          <w:tcPr>
            <w:tcW w:w="3000" w:type="dxa"/>
            <w:vAlign w:val="bottom"/>
            <w:gridSpan w:val="4"/>
          </w:tcPr>
          <w:p>
            <w:pPr>
              <w:jc w:val="right"/>
              <w:spacing w:after="0"/>
              <w:rPr>
                <w:sz w:val="20"/>
                <w:szCs w:val="20"/>
                <w:color w:val="auto"/>
              </w:rPr>
            </w:pPr>
            <w:r>
              <w:rPr>
                <w:rFonts w:ascii="Arial" w:cs="Arial" w:eastAsia="Arial" w:hAnsi="Arial"/>
                <w:sz w:val="18"/>
                <w:szCs w:val="18"/>
                <w:b w:val="1"/>
                <w:bCs w:val="1"/>
                <w:color w:val="auto"/>
              </w:rPr>
              <w:t>78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500" w:type="dxa"/>
            <w:vAlign w:val="bottom"/>
            <w:gridSpan w:val="2"/>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2"/>
        </w:trPr>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1,967</w:t>
            </w:r>
          </w:p>
        </w:tc>
        <w:tc>
          <w:tcPr>
            <w:tcW w:w="98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1,919</w:t>
            </w:r>
          </w:p>
        </w:tc>
        <w:tc>
          <w:tcPr>
            <w:tcW w:w="0" w:type="dxa"/>
            <w:vAlign w:val="bottom"/>
          </w:tcPr>
          <w:p>
            <w:pPr>
              <w:spacing w:after="0"/>
              <w:rPr>
                <w:sz w:val="1"/>
                <w:szCs w:val="1"/>
                <w:color w:val="auto"/>
              </w:rPr>
            </w:pPr>
          </w:p>
        </w:tc>
      </w:tr>
      <w:tr>
        <w:trPr>
          <w:trHeight w:val="20"/>
        </w:trPr>
        <w:tc>
          <w:tcPr>
            <w:tcW w:w="65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6. Fixed Assets</w:t>
            </w:r>
          </w:p>
        </w:tc>
        <w:tc>
          <w:tcPr>
            <w:tcW w:w="2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6520" w:type="dxa"/>
            <w:vAlign w:val="bottom"/>
            <w:gridSpan w:val="4"/>
            <w:vMerge w:val="continue"/>
          </w:tcPr>
          <w:p>
            <w:pPr>
              <w:spacing w:after="0"/>
              <w:rPr>
                <w:sz w:val="24"/>
                <w:szCs w:val="24"/>
                <w:color w:val="auto"/>
              </w:rPr>
            </w:pPr>
          </w:p>
        </w:tc>
        <w:tc>
          <w:tcPr>
            <w:tcW w:w="2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520" w:type="dxa"/>
            <w:vAlign w:val="bottom"/>
            <w:gridSpan w:val="4"/>
          </w:tcPr>
          <w:p>
            <w:pPr>
              <w:spacing w:after="0"/>
              <w:rPr>
                <w:sz w:val="20"/>
                <w:szCs w:val="20"/>
                <w:color w:val="auto"/>
              </w:rPr>
            </w:pPr>
            <w:r>
              <w:rPr>
                <w:rFonts w:ascii="Arial" w:cs="Arial" w:eastAsia="Arial" w:hAnsi="Arial"/>
                <w:sz w:val="18"/>
                <w:szCs w:val="18"/>
                <w:color w:val="auto"/>
              </w:rPr>
              <w:t>A summary of fixed assets follows:</w:t>
            </w:r>
          </w:p>
        </w:tc>
        <w:tc>
          <w:tcPr>
            <w:tcW w:w="2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gridSpan w:val="5"/>
          </w:tcPr>
          <w:p>
            <w:pPr>
              <w:jc w:val="right"/>
              <w:spacing w:after="0"/>
              <w:rPr>
                <w:sz w:val="20"/>
                <w:szCs w:val="20"/>
                <w:color w:val="auto"/>
              </w:rPr>
            </w:pPr>
            <w:r>
              <w:rPr>
                <w:rFonts w:ascii="Arial" w:cs="Arial" w:eastAsia="Arial" w:hAnsi="Arial"/>
                <w:sz w:val="14"/>
                <w:szCs w:val="14"/>
                <w:i w:val="1"/>
                <w:iCs w:val="1"/>
                <w:color w:val="auto"/>
                <w:w w:val="98"/>
              </w:rPr>
              <w:t>(Stated in millions)</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760" w:type="dxa"/>
            <w:vAlign w:val="bottom"/>
            <w:gridSpan w:val="3"/>
          </w:tcPr>
          <w:p>
            <w:pPr>
              <w:jc w:val="center"/>
              <w:ind w:right="112"/>
              <w:spacing w:after="0" w:line="149" w:lineRule="exact"/>
              <w:rPr>
                <w:sz w:val="20"/>
                <w:szCs w:val="20"/>
                <w:color w:val="auto"/>
              </w:rPr>
            </w:pPr>
            <w:r>
              <w:rPr>
                <w:rFonts w:ascii="Arial" w:cs="Arial" w:eastAsia="Arial" w:hAnsi="Arial"/>
                <w:sz w:val="14"/>
                <w:szCs w:val="14"/>
                <w:b w:val="1"/>
                <w:bCs w:val="1"/>
                <w:color w:val="auto"/>
                <w:w w:val="85"/>
              </w:rPr>
              <w:t>Sept. 30</w:t>
            </w:r>
          </w:p>
        </w:tc>
        <w:tc>
          <w:tcPr>
            <w:tcW w:w="380" w:type="dxa"/>
            <w:vAlign w:val="bottom"/>
          </w:tcPr>
          <w:p>
            <w:pPr>
              <w:spacing w:after="0"/>
              <w:rPr>
                <w:sz w:val="12"/>
                <w:szCs w:val="12"/>
                <w:color w:val="auto"/>
              </w:rPr>
            </w:pPr>
          </w:p>
        </w:tc>
        <w:tc>
          <w:tcPr>
            <w:tcW w:w="60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w w:val="97"/>
              </w:rPr>
              <w:t>Dec. 31</w:t>
            </w:r>
          </w:p>
        </w:tc>
        <w:tc>
          <w:tcPr>
            <w:tcW w:w="0" w:type="dxa"/>
            <w:vAlign w:val="bottom"/>
          </w:tcPr>
          <w:p>
            <w:pPr>
              <w:spacing w:after="0"/>
              <w:rPr>
                <w:sz w:val="1"/>
                <w:szCs w:val="1"/>
                <w:color w:val="auto"/>
              </w:rPr>
            </w:pPr>
          </w:p>
        </w:tc>
      </w:tr>
      <w:tr>
        <w:trPr>
          <w:trHeight w:val="161"/>
        </w:trPr>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580" w:type="dxa"/>
            <w:vAlign w:val="bottom"/>
            <w:tcBorders>
              <w:bottom w:val="single" w:sz="8" w:color="auto"/>
            </w:tcBorders>
            <w:gridSpan w:val="2"/>
          </w:tcPr>
          <w:p>
            <w:pPr>
              <w:jc w:val="right"/>
              <w:ind w:right="84"/>
              <w:spacing w:after="0"/>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&amp; equipment</w:t>
            </w:r>
          </w:p>
        </w:tc>
        <w:tc>
          <w:tcPr>
            <w:tcW w:w="3000" w:type="dxa"/>
            <w:vAlign w:val="bottom"/>
            <w:gridSpan w:val="4"/>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$21,140</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$ 20,152</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Less: Accumulated depreciation</w:t>
            </w:r>
          </w:p>
        </w:tc>
        <w:tc>
          <w:tcPr>
            <w:tcW w:w="2240" w:type="dxa"/>
            <w:vAlign w:val="bottom"/>
          </w:tcPr>
          <w:p>
            <w:pPr>
              <w:spacing w:after="0"/>
              <w:rPr>
                <w:sz w:val="18"/>
                <w:szCs w:val="18"/>
                <w:color w:val="auto"/>
              </w:rPr>
            </w:pPr>
          </w:p>
        </w:tc>
        <w:tc>
          <w:tcPr>
            <w:tcW w:w="760" w:type="dxa"/>
            <w:vAlign w:val="bottom"/>
            <w:gridSpan w:val="3"/>
          </w:tcPr>
          <w:p>
            <w:pPr>
              <w:jc w:val="right"/>
              <w:ind w:right="112"/>
              <w:spacing w:after="0"/>
              <w:rPr>
                <w:sz w:val="20"/>
                <w:szCs w:val="20"/>
                <w:color w:val="auto"/>
              </w:rPr>
            </w:pPr>
            <w:r>
              <w:rPr>
                <w:rFonts w:ascii="Arial" w:cs="Arial" w:eastAsia="Arial" w:hAnsi="Arial"/>
                <w:sz w:val="18"/>
                <w:szCs w:val="18"/>
                <w:b w:val="1"/>
                <w:bCs w:val="1"/>
                <w:color w:val="auto"/>
              </w:rPr>
              <w:t>11,530</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10,462</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3000" w:type="dxa"/>
            <w:vAlign w:val="bottom"/>
            <w:gridSpan w:val="4"/>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$ 9,610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9,690</w:t>
            </w:r>
          </w:p>
        </w:tc>
        <w:tc>
          <w:tcPr>
            <w:tcW w:w="0" w:type="dxa"/>
            <w:vAlign w:val="bottom"/>
          </w:tcPr>
          <w:p>
            <w:pPr>
              <w:spacing w:after="0"/>
              <w:rPr>
                <w:sz w:val="1"/>
                <w:szCs w:val="1"/>
                <w:color w:val="auto"/>
              </w:rPr>
            </w:pPr>
          </w:p>
        </w:tc>
      </w:tr>
      <w:tr>
        <w:trPr>
          <w:trHeight w:val="20"/>
        </w:trPr>
        <w:tc>
          <w:tcPr>
            <w:tcW w:w="6520" w:type="dxa"/>
            <w:vAlign w:val="bottom"/>
            <w:gridSpan w:val="4"/>
            <w:vMerge w:val="restart"/>
          </w:tcPr>
          <w:p>
            <w:pPr>
              <w:spacing w:after="0"/>
              <w:rPr>
                <w:sz w:val="20"/>
                <w:szCs w:val="20"/>
                <w:color w:val="auto"/>
              </w:rPr>
            </w:pPr>
            <w:r>
              <w:rPr>
                <w:rFonts w:ascii="Arial" w:cs="Arial" w:eastAsia="Arial" w:hAnsi="Arial"/>
                <w:sz w:val="18"/>
                <w:szCs w:val="18"/>
                <w:color w:val="auto"/>
              </w:rPr>
              <w:t>Depreciation expense relating to fixed assets was as follows:</w:t>
            </w:r>
          </w:p>
        </w:tc>
        <w:tc>
          <w:tcPr>
            <w:tcW w:w="2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6520" w:type="dxa"/>
            <w:vAlign w:val="bottom"/>
            <w:gridSpan w:val="4"/>
            <w:vMerge w:val="continue"/>
          </w:tcPr>
          <w:p>
            <w:pPr>
              <w:spacing w:after="0"/>
              <w:rPr>
                <w:sz w:val="24"/>
                <w:szCs w:val="24"/>
                <w:color w:val="auto"/>
              </w:rPr>
            </w:pPr>
          </w:p>
        </w:tc>
        <w:tc>
          <w:tcPr>
            <w:tcW w:w="2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gridSpan w:val="5"/>
          </w:tcPr>
          <w:p>
            <w:pPr>
              <w:jc w:val="right"/>
              <w:spacing w:after="0"/>
              <w:rPr>
                <w:sz w:val="20"/>
                <w:szCs w:val="20"/>
                <w:color w:val="auto"/>
              </w:rPr>
            </w:pPr>
            <w:r>
              <w:rPr>
                <w:rFonts w:ascii="Arial" w:cs="Arial" w:eastAsia="Arial" w:hAnsi="Arial"/>
                <w:sz w:val="14"/>
                <w:szCs w:val="14"/>
                <w:i w:val="1"/>
                <w:iCs w:val="1"/>
                <w:color w:val="auto"/>
                <w:w w:val="98"/>
              </w:rPr>
              <w:t>(Stated in millions)</w:t>
            </w:r>
          </w:p>
        </w:tc>
        <w:tc>
          <w:tcPr>
            <w:tcW w:w="0" w:type="dxa"/>
            <w:vAlign w:val="bottom"/>
          </w:tcPr>
          <w:p>
            <w:pPr>
              <w:spacing w:after="0"/>
              <w:rPr>
                <w:sz w:val="1"/>
                <w:szCs w:val="1"/>
                <w:color w:val="auto"/>
              </w:rPr>
            </w:pPr>
          </w:p>
        </w:tc>
      </w:tr>
      <w:tr>
        <w:trPr>
          <w:trHeight w:val="161"/>
        </w:trPr>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500" w:type="dxa"/>
            <w:vAlign w:val="bottom"/>
            <w:gridSpan w:val="2"/>
          </w:tcPr>
          <w:p>
            <w:pPr>
              <w:spacing w:after="0"/>
              <w:rPr>
                <w:sz w:val="14"/>
                <w:szCs w:val="14"/>
                <w:color w:val="auto"/>
              </w:rPr>
            </w:pPr>
          </w:p>
        </w:tc>
        <w:tc>
          <w:tcPr>
            <w:tcW w:w="50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83"/>
              </w:rPr>
              <w:t>2008</w:t>
            </w: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00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  542</w:t>
            </w:r>
          </w:p>
        </w:tc>
        <w:tc>
          <w:tcPr>
            <w:tcW w:w="5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28"/>
        </w:trPr>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Nine Months</w:t>
            </w:r>
          </w:p>
        </w:tc>
        <w:tc>
          <w:tcPr>
            <w:tcW w:w="3000" w:type="dxa"/>
            <w:vAlign w:val="bottom"/>
            <w:gridSpan w:val="4"/>
          </w:tcPr>
          <w:p>
            <w:pPr>
              <w:jc w:val="right"/>
              <w:spacing w:after="0"/>
              <w:rPr>
                <w:sz w:val="20"/>
                <w:szCs w:val="20"/>
                <w:color w:val="auto"/>
              </w:rPr>
            </w:pPr>
            <w:r>
              <w:rPr>
                <w:rFonts w:ascii="Arial" w:cs="Arial" w:eastAsia="Arial" w:hAnsi="Arial"/>
                <w:sz w:val="18"/>
                <w:szCs w:val="18"/>
                <w:b w:val="1"/>
                <w:bCs w:val="1"/>
                <w:color w:val="auto"/>
              </w:rPr>
              <w:t>$1,609</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$1,394</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Multiclient Seismic Data</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carrying amount of multiclient seismic data for the nine months ended September 30, 2009 was as follows:</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4980" w:type="dxa"/>
            <w:vAlign w:val="bottom"/>
            <w:gridSpan w:val="2"/>
            <w:shd w:val="clear" w:color="auto" w:fill="CCEEFF"/>
          </w:tcPr>
          <w:p>
            <w:pPr>
              <w:ind w:left="45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Capitalized in period</w:t>
            </w:r>
          </w:p>
        </w:tc>
        <w:tc>
          <w:tcPr>
            <w:tcW w:w="4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Charged to cost of goods sold and services</w:t>
            </w:r>
          </w:p>
        </w:tc>
        <w:tc>
          <w:tcPr>
            <w:tcW w:w="4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8"/>
                <w:szCs w:val="18"/>
                <w:color w:val="auto"/>
              </w:rPr>
              <w:t>Balance at September 30, 2009</w:t>
            </w:r>
          </w:p>
        </w:tc>
        <w:tc>
          <w:tcPr>
            <w:tcW w:w="45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860" w:type="dxa"/>
            <w:vAlign w:val="bottom"/>
            <w:vMerge w:val="continue"/>
          </w:tcPr>
          <w:p>
            <w:pPr>
              <w:spacing w:after="0"/>
              <w:rPr>
                <w:sz w:val="19"/>
                <w:szCs w:val="19"/>
                <w:color w:val="auto"/>
              </w:rPr>
            </w:pPr>
          </w:p>
        </w:tc>
        <w:tc>
          <w:tcPr>
            <w:tcW w:w="4980" w:type="dxa"/>
            <w:vAlign w:val="bottom"/>
            <w:gridSpan w:val="2"/>
          </w:tcPr>
          <w:p>
            <w:pPr>
              <w:ind w:left="45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4580" w:type="dxa"/>
            <w:vAlign w:val="bottom"/>
            <w:vMerge w:val="restart"/>
          </w:tcPr>
          <w:p>
            <w:pPr>
              <w:jc w:val="right"/>
              <w:ind w:right="3472"/>
              <w:spacing w:after="0"/>
              <w:rPr>
                <w:sz w:val="20"/>
                <w:szCs w:val="20"/>
                <w:color w:val="auto"/>
              </w:rPr>
            </w:pPr>
            <w:r>
              <w:rPr>
                <w:rFonts w:ascii="Arial" w:cs="Arial" w:eastAsia="Arial" w:hAnsi="Arial"/>
                <w:sz w:val="18"/>
                <w:szCs w:val="18"/>
                <w:color w:val="auto"/>
              </w:rPr>
              <w:t>10</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60" w:type="dxa"/>
            <w:vAlign w:val="bottom"/>
          </w:tcPr>
          <w:p>
            <w:pPr>
              <w:spacing w:after="0"/>
              <w:rPr>
                <w:sz w:val="24"/>
                <w:szCs w:val="24"/>
                <w:color w:val="auto"/>
              </w:rPr>
            </w:pPr>
          </w:p>
        </w:tc>
        <w:tc>
          <w:tcPr>
            <w:tcW w:w="45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Goodwill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business segment for the nine months ended September 30, 2009 were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5"/>
          </w:tcPr>
          <w:p>
            <w:pPr>
              <w:ind w:left="460"/>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149"/>
        </w:trPr>
        <w:tc>
          <w:tcPr>
            <w:tcW w:w="788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2"/>
              </w:rPr>
              <w:t>Oilfield</w:t>
            </w:r>
          </w:p>
        </w:tc>
        <w:tc>
          <w:tcPr>
            <w:tcW w:w="24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Western</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88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9"/>
              </w:rPr>
              <w:t>Services</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9"/>
              </w:rPr>
              <w:t>Geco</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$4,174</w:t>
            </w:r>
          </w:p>
        </w:tc>
        <w:tc>
          <w:tcPr>
            <w:tcW w:w="2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$1,015</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$5,189</w:t>
            </w: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Additions</w:t>
            </w:r>
          </w:p>
        </w:tc>
        <w:tc>
          <w:tcPr>
            <w:tcW w:w="500" w:type="dxa"/>
            <w:vAlign w:val="bottom"/>
          </w:tcPr>
          <w:p>
            <w:pPr>
              <w:jc w:val="right"/>
              <w:spacing w:after="0"/>
              <w:rPr>
                <w:sz w:val="20"/>
                <w:szCs w:val="20"/>
                <w:color w:val="auto"/>
              </w:rPr>
            </w:pPr>
            <w:r>
              <w:rPr>
                <w:rFonts w:ascii="Arial" w:cs="Arial" w:eastAsia="Arial" w:hAnsi="Arial"/>
                <w:sz w:val="18"/>
                <w:szCs w:val="18"/>
                <w:color w:val="auto"/>
              </w:rPr>
              <w:t>120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Impact of change in exchange rates</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8"/>
                <w:szCs w:val="18"/>
                <w:color w:val="auto"/>
              </w:rPr>
              <w:t>Balance at September 30, 2009</w:t>
            </w: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8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4,281</w:t>
            </w:r>
          </w:p>
        </w:tc>
        <w:tc>
          <w:tcPr>
            <w:tcW w:w="280" w:type="dxa"/>
            <w:vAlign w:val="bottom"/>
          </w:tcPr>
          <w:p>
            <w:pPr>
              <w:spacing w:after="0"/>
              <w:rPr>
                <w:sz w:val="19"/>
                <w:szCs w:val="19"/>
                <w:color w:val="auto"/>
              </w:rPr>
            </w:pPr>
          </w:p>
        </w:tc>
        <w:tc>
          <w:tcPr>
            <w:tcW w:w="980" w:type="dxa"/>
            <w:vAlign w:val="bottom"/>
            <w:gridSpan w:val="3"/>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1,015</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5,296</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Intangible assets principally comprise software, technology and customer relationships. The gross book value and accumulated amortization of intangible assets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Sept. 30, 2009</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Dec. 31, 2008</w:t>
            </w:r>
          </w:p>
        </w:tc>
        <w:tc>
          <w:tcPr>
            <w:tcW w:w="1060" w:type="dxa"/>
            <w:vAlign w:val="bottom"/>
            <w:gridSpan w:val="4"/>
          </w:tcPr>
          <w:p>
            <w:pPr>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136"/>
        </w:trPr>
        <w:tc>
          <w:tcPr>
            <w:tcW w:w="49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4"/>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3"/>
            <w:vMerge w:val="continue"/>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Gross</w:t>
            </w:r>
          </w:p>
        </w:tc>
        <w:tc>
          <w:tcPr>
            <w:tcW w:w="300" w:type="dxa"/>
            <w:vAlign w:val="bottom"/>
          </w:tcPr>
          <w:p>
            <w:pPr>
              <w:spacing w:after="0"/>
              <w:rPr>
                <w:sz w:val="11"/>
                <w:szCs w:val="11"/>
                <w:color w:val="auto"/>
              </w:rPr>
            </w:pPr>
          </w:p>
        </w:tc>
        <w:tc>
          <w:tcPr>
            <w:tcW w:w="12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5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Net Book</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76"/>
              <w:spacing w:after="0" w:line="129" w:lineRule="exact"/>
              <w:rPr>
                <w:sz w:val="20"/>
                <w:szCs w:val="20"/>
                <w:color w:val="auto"/>
              </w:rPr>
            </w:pPr>
            <w:r>
              <w:rPr>
                <w:rFonts w:ascii="Arial" w:cs="Arial" w:eastAsia="Arial" w:hAnsi="Arial"/>
                <w:sz w:val="14"/>
                <w:szCs w:val="14"/>
                <w:b w:val="1"/>
                <w:bCs w:val="1"/>
                <w:color w:val="auto"/>
                <w:w w:val="88"/>
              </w:rPr>
              <w:t>Gross</w:t>
            </w:r>
          </w:p>
        </w:tc>
        <w:tc>
          <w:tcPr>
            <w:tcW w:w="50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Accumulated</w:t>
            </w:r>
          </w:p>
        </w:tc>
        <w:tc>
          <w:tcPr>
            <w:tcW w:w="500" w:type="dxa"/>
            <w:vAlign w:val="bottom"/>
          </w:tcPr>
          <w:p>
            <w:pPr>
              <w:spacing w:after="0"/>
              <w:rPr>
                <w:sz w:val="11"/>
                <w:szCs w:val="11"/>
                <w:color w:val="auto"/>
              </w:rPr>
            </w:pPr>
          </w:p>
        </w:tc>
        <w:tc>
          <w:tcPr>
            <w:tcW w:w="5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Net Book</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960" w:type="dxa"/>
            <w:vAlign w:val="bottom"/>
          </w:tcPr>
          <w:p>
            <w:pPr>
              <w:spacing w:after="0"/>
              <w:rPr>
                <w:sz w:val="14"/>
                <w:szCs w:val="14"/>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Book Value</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0"/>
              </w:rPr>
              <w:t>Value</w:t>
            </w:r>
          </w:p>
        </w:tc>
        <w:tc>
          <w:tcPr>
            <w:tcW w:w="500" w:type="dxa"/>
            <w:vAlign w:val="bottom"/>
          </w:tcPr>
          <w:p>
            <w:pPr>
              <w:spacing w:after="0"/>
              <w:rPr>
                <w:sz w:val="14"/>
                <w:szCs w:val="14"/>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Book Value</w:t>
            </w:r>
          </w:p>
        </w:tc>
        <w:tc>
          <w:tcPr>
            <w:tcW w:w="50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5"/>
              </w:rPr>
              <w:t>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338</w:t>
            </w: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255</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Technology</w:t>
            </w: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527</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150</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377</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465</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355</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73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5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1,347</w:t>
            </w: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534</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813</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charged to income was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i w:val="1"/>
                <w:iCs w:val="1"/>
                <w:color w:val="auto"/>
                <w:w w:val="95"/>
              </w:rPr>
              <w:t>(Stated in millions)</w:t>
            </w:r>
          </w:p>
        </w:tc>
      </w:tr>
      <w:tr>
        <w:trPr>
          <w:trHeight w:val="161"/>
        </w:trPr>
        <w:tc>
          <w:tcPr>
            <w:tcW w:w="80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2009</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83"/>
              </w:rPr>
              <w:t>2008</w:t>
            </w: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8"/>
        </w:trPr>
        <w:tc>
          <w:tcPr>
            <w:tcW w:w="8020" w:type="dxa"/>
            <w:vAlign w:val="bottom"/>
          </w:tcPr>
          <w:p>
            <w:pPr>
              <w:spacing w:after="0"/>
              <w:rPr>
                <w:sz w:val="20"/>
                <w:szCs w:val="20"/>
                <w:color w:val="auto"/>
              </w:rPr>
            </w:pPr>
            <w:r>
              <w:rPr>
                <w:rFonts w:ascii="Arial" w:cs="Arial" w:eastAsia="Arial" w:hAnsi="Arial"/>
                <w:sz w:val="18"/>
                <w:szCs w:val="18"/>
                <w:color w:val="auto"/>
              </w:rPr>
              <w:t>Nine Months</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86</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94</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amortization period for all intangible assets is approximately 12 years.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Based on the net book value of intangible assets at September 30, 2009, amortization charged to income for the subsequent five years is estimated to be: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remainder of 2009 – $27 million; 2010 – $104 million; 2011– $96 million; 2012 – $83 million; 2013 – $73 million and 2014 – $67 million.</w:t>
      </w:r>
    </w:p>
    <w:p>
      <w:pPr>
        <w:spacing w:after="0" w:line="240" w:lineRule="exact"/>
        <w:rPr>
          <w:sz w:val="20"/>
          <w:szCs w:val="20"/>
          <w:color w:val="auto"/>
        </w:rPr>
      </w:pPr>
    </w:p>
    <w:p>
      <w:pPr>
        <w:ind w:left="280" w:hanging="272"/>
        <w:spacing w:after="0"/>
        <w:tabs>
          <w:tab w:leader="none" w:pos="2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 and Hedging Activities</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Schlumberger is exposed to market risks related to fluctuations in foreign currency exchange rates, commodity prices and interest rates. To mitigate these risks, Schlumberger utilizes derivative instruments. Schlumberger does not enter into derivatives for speculative purposes.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9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 a multinational company, Schlumberger conducts its business in approximately 80 countries. Schlumberger’s functional currency is primarily the US dollar, which is consistent with the oil and gas industry. However, outside the United States, a significant portion of Schlumberger’s expenses is incurred in foreign currencies.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Therefore, when the US dollar weakens (strengthens) in relation to the foreign currencies of the countries in which Schlumberger conducts business, the US dollar – reported expenses will increase (decrease).</w:t>
      </w:r>
    </w:p>
    <w:p>
      <w:pPr>
        <w:spacing w:after="0" w:line="13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Schlumberger is exposed to risks on future cash flows to the extent that local currency expenses exceed revenues denominated in local currency that are other than the functional currency. Schlumberger uses foreign currency forward contracts and foreign currency options to provide a hedge against a portion of these cash flow risks. These contracts are accounted for as cash flow hedges, with the effective portion of changes in the fair value of the hedge recorded on the </w:t>
      </w:r>
      <w:r>
        <w:rPr>
          <w:rFonts w:ascii="Arial" w:cs="Arial" w:eastAsia="Arial" w:hAnsi="Arial"/>
          <w:sz w:val="18"/>
          <w:szCs w:val="18"/>
          <w:i w:val="1"/>
          <w:iCs w:val="1"/>
          <w:color w:val="auto"/>
        </w:rPr>
        <w:t xml:space="preserve">Consolidated Balance Sheet </w:t>
      </w:r>
      <w:r>
        <w:rPr>
          <w:rFonts w:ascii="Arial" w:cs="Arial" w:eastAsia="Arial" w:hAnsi="Arial"/>
          <w:sz w:val="18"/>
          <w:szCs w:val="18"/>
          <w:color w:val="auto"/>
        </w:rPr>
        <w:t>and in</w:t>
      </w:r>
      <w:r>
        <w:rPr>
          <w:rFonts w:ascii="Arial" w:cs="Arial" w:eastAsia="Arial" w:hAnsi="Arial"/>
          <w:sz w:val="18"/>
          <w:szCs w:val="18"/>
          <w:i w:val="1"/>
          <w:iCs w:val="1"/>
          <w:color w:val="auto"/>
        </w:rPr>
        <w:t xml:space="preserve"> Other Comprehensive Income (Loss). </w:t>
      </w:r>
      <w:r>
        <w:rPr>
          <w:rFonts w:ascii="Arial" w:cs="Arial" w:eastAsia="Arial" w:hAnsi="Arial"/>
          <w:sz w:val="18"/>
          <w:szCs w:val="18"/>
          <w:color w:val="auto"/>
        </w:rPr>
        <w:t>Amounts recorded in</w:t>
      </w:r>
      <w:r>
        <w:rPr>
          <w:rFonts w:ascii="Arial" w:cs="Arial" w:eastAsia="Arial" w:hAnsi="Arial"/>
          <w:sz w:val="18"/>
          <w:szCs w:val="18"/>
          <w:i w:val="1"/>
          <w:iCs w:val="1"/>
          <w:color w:val="auto"/>
        </w:rPr>
        <w:t xml:space="preserve"> Other Comprehensive Income (Loss) </w:t>
      </w:r>
      <w:r>
        <w:rPr>
          <w:rFonts w:ascii="Arial" w:cs="Arial" w:eastAsia="Arial" w:hAnsi="Arial"/>
          <w:sz w:val="18"/>
          <w:szCs w:val="18"/>
          <w:color w:val="auto"/>
        </w:rPr>
        <w:t>are reclassified into earnings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same period or periods that the hedged item is recognized in earnings. The ineffective portion of changes in the fair value of the hedged item is recorded directly to earnings.</w:t>
      </w:r>
    </w:p>
    <w:p>
      <w:pPr>
        <w:spacing w:after="0" w:line="144"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 xml:space="preserve">At September 30, 2009, Schlumberger recognized a cumulative net $53 million gain in </w:t>
      </w:r>
      <w:r>
        <w:rPr>
          <w:rFonts w:ascii="Arial" w:cs="Arial" w:eastAsia="Arial" w:hAnsi="Arial"/>
          <w:sz w:val="16"/>
          <w:szCs w:val="16"/>
          <w:i w:val="1"/>
          <w:iCs w:val="1"/>
          <w:color w:val="auto"/>
        </w:rPr>
        <w:t>Equity</w:t>
      </w:r>
      <w:r>
        <w:rPr>
          <w:rFonts w:ascii="Arial" w:cs="Arial" w:eastAsia="Arial" w:hAnsi="Arial"/>
          <w:sz w:val="16"/>
          <w:szCs w:val="16"/>
          <w:color w:val="auto"/>
        </w:rPr>
        <w:t xml:space="preserve"> relating to revaluation of foreign currency forward contracts and foreign currency options designated as cash flow hedges, the majority of which is expected to be reclassified into earnings within the next twelve months.</w:t>
      </w:r>
    </w:p>
    <w:p>
      <w:pPr>
        <w:spacing w:after="0" w:line="85"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 xml:space="preserve">Schlumberger is also exposed to changes in the fair value of assets and liabilities, including certain of its long-term debt, which are denominated in currencies other than the functional currency. Schlumberger uses foreign currency forward contracts and foreign currency options to hedge this exposure as it relates to certain currencies. These contracts are accounted for as fair value hedges with the fair value of the contracts recorded on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and changes in the fair value recognized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along with the change in fair value of the hedged item.</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2009, contracts were outstanding for the US dollar equivalent of $4.4 billion in various foreign currencies.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w:t>
      </w:r>
    </w:p>
    <w:p>
      <w:pPr>
        <w:spacing w:after="0" w:line="9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Schlumberger is exposed to the impact of market fluctuations in the price of commodities, such as copper and lead. Schlumberger has entered into forward contracts on these commodities to manage the price risk associated with forecasted purchases. The objective of these contracts is to reduce the variability of cash flows associated with the forecasted purchase of those commodities. These contracts do not qualify for hedge accounting treatment and therefore, changes in the fair value of the forward contracts are recorded directly to earnings.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Schlumberger is subject to interest rate risk on its debt and its investment portfolio. Schlumberger maintains an interest rate risk management strategy that uses a mix of variable and fixed rate debt combined with its investment portfolio and interest rate swaps to mitigate the exposure to changes in interest rates.</w:t>
      </w:r>
    </w:p>
    <w:p>
      <w:pPr>
        <w:spacing w:after="0" w:line="8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During the third quarter of 2009, Schlumberger entered into interest rate swaps relating to two of its debt instruments. The first swap was for a notional amount of $600 million in order to hedge a portion of the changes in fair value of Schlumberger’s $650 million 6.50% Notes due 2012. Under the terms of this swap agreement, Schlumberger will receive interest at a fixed rate of 6.5% semi-annually and will pay interest semi-annually at a floating rate of one-month LIBOR plus a spread of 4.84%. The second swap was for a notional amount of $450 million in order to hedge changes in the fair value of Schlumberger’s $450 million 3.00% Notes due 2013. Under the terms of this swap, Schlumberger will receive interest at a fixed rate of 3.0% annually and will pay interest quarterly at a floating rate of three-month LIBOR plus a spread of 0.765%.</w:t>
      </w:r>
    </w:p>
    <w:p>
      <w:pPr>
        <w:spacing w:after="0" w:line="14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These interest rate swaps are designated as fair value hedges of the underlying debt. These derivative instruments are marked to market with gains and losses recognized currently in income to offset the respective losses and gains recognized on changes in the fair value of the hedged debt. This results in no net gain or loss being recognized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At September 30, 2009, Schlumberger had fixed rate debt aggregating approximately $3.1 billion and variable rate debt aggregating approximately $2.4 billion, after taking into account the effects of the interest rate swaps.</w:t>
      </w:r>
    </w:p>
    <w:p>
      <w:pPr>
        <w:spacing w:after="0" w:line="13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Short-term investments </w:t>
      </w:r>
      <w:r>
        <w:rPr>
          <w:rFonts w:ascii="Arial" w:cs="Arial" w:eastAsia="Arial" w:hAnsi="Arial"/>
          <w:sz w:val="18"/>
          <w:szCs w:val="18"/>
          <w:color w:val="auto"/>
        </w:rPr>
        <w:t>and</w:t>
      </w:r>
      <w:r>
        <w:rPr>
          <w:rFonts w:ascii="Arial" w:cs="Arial" w:eastAsia="Arial" w:hAnsi="Arial"/>
          <w:sz w:val="18"/>
          <w:szCs w:val="18"/>
          <w:i w:val="1"/>
          <w:iCs w:val="1"/>
          <w:color w:val="auto"/>
        </w:rPr>
        <w:t xml:space="preserve"> Fixed income investments</w:t>
      </w:r>
      <w:r>
        <w:rPr>
          <w:rFonts w:ascii="Arial" w:cs="Arial" w:eastAsia="Arial" w:hAnsi="Arial"/>
          <w:sz w:val="18"/>
          <w:szCs w:val="18"/>
          <w:color w:val="auto"/>
        </w:rPr>
        <w:t>,</w:t>
      </w:r>
      <w:r>
        <w:rPr>
          <w:rFonts w:ascii="Arial" w:cs="Arial" w:eastAsia="Arial" w:hAnsi="Arial"/>
          <w:sz w:val="18"/>
          <w:szCs w:val="18"/>
          <w:i w:val="1"/>
          <w:iCs w:val="1"/>
          <w:color w:val="auto"/>
        </w:rPr>
        <w:t xml:space="preserve"> held to maturity</w:t>
      </w:r>
      <w:r>
        <w:rPr>
          <w:rFonts w:ascii="Arial" w:cs="Arial" w:eastAsia="Arial" w:hAnsi="Arial"/>
          <w:sz w:val="18"/>
          <w:szCs w:val="18"/>
          <w:color w:val="auto"/>
        </w:rPr>
        <w:t>, totaled approximately $4.7 billion at September 30, 2009, and are comprised primarily of</w:t>
      </w:r>
      <w:r>
        <w:rPr>
          <w:rFonts w:ascii="Arial" w:cs="Arial" w:eastAsia="Arial" w:hAnsi="Arial"/>
          <w:sz w:val="18"/>
          <w:szCs w:val="18"/>
          <w:i w:val="1"/>
          <w:iCs w:val="1"/>
          <w:color w:val="auto"/>
        </w:rPr>
        <w:t xml:space="preserve"> </w:t>
      </w:r>
      <w:r>
        <w:rPr>
          <w:rFonts w:ascii="Arial" w:cs="Arial" w:eastAsia="Arial" w:hAnsi="Arial"/>
          <w:sz w:val="18"/>
          <w:szCs w:val="18"/>
          <w:color w:val="auto"/>
        </w:rPr>
        <w:t>money market funds, eurodollar time deposits, certificates of deposit, commercial paper, euro notes and Eurobonds, and are substantially all denominated in US dollars.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outstanding derivative instruments is summarized as follows:</w:t>
      </w:r>
    </w:p>
    <w:p>
      <w:pPr>
        <w:sectPr>
          <w:pgSz w:w="11900" w:h="16838" w:orient="portrait"/>
          <w:cols w:equalWidth="0" w:num="1">
            <w:col w:w="11420"/>
          </w:cols>
          <w:pgMar w:left="240" w:top="459" w:right="239" w:bottom="1440" w:gutter="0" w:footer="0" w:header="0"/>
        </w:sect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(Stated in millions)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2795905" cy="3257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95905" cy="3257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Derivative designated as hedges:</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Foreign exchange contracts</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Foreign exchange contracts</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rate swaps</w:t>
      </w: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color w:val="auto"/>
        </w:rPr>
        <w:t>Derivative not designated as hedges:</w:t>
      </w:r>
    </w:p>
    <w:p>
      <w:pPr>
        <w:spacing w:after="0" w:line="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Commodity contracts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Foreign exchange contracts</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Foreign exchange contracts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Liabilities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Derivative designated as hedges:</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Foreign exchange contracts</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Foreign exchange contracts</w:t>
      </w:r>
    </w:p>
    <w:p>
      <w:pPr>
        <w:spacing w:after="0" w:line="296" w:lineRule="exact"/>
        <w:rPr>
          <w:sz w:val="20"/>
          <w:szCs w:val="20"/>
          <w:color w:val="auto"/>
        </w:rPr>
      </w:pPr>
    </w:p>
    <w:p>
      <w:pPr>
        <w:spacing w:after="0"/>
        <w:rPr>
          <w:sz w:val="20"/>
          <w:szCs w:val="20"/>
          <w:color w:val="auto"/>
        </w:rPr>
      </w:pPr>
      <w:r>
        <w:rPr>
          <w:rFonts w:ascii="Arial" w:cs="Arial" w:eastAsia="Arial" w:hAnsi="Arial"/>
          <w:sz w:val="15"/>
          <w:szCs w:val="15"/>
          <w:color w:val="auto"/>
        </w:rPr>
        <w:t>Derivative not designated as hedges:</w:t>
      </w:r>
    </w:p>
    <w:p>
      <w:pPr>
        <w:spacing w:after="0" w:line="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Commodity contracts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Foreign exchange contracts</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Foreign exchange contracts</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80" w:type="dxa"/>
            <w:vAlign w:val="bottom"/>
            <w:gridSpan w:val="3"/>
          </w:tcPr>
          <w:p>
            <w:pPr>
              <w:ind w:left="220"/>
              <w:spacing w:after="0"/>
              <w:rPr>
                <w:sz w:val="20"/>
                <w:szCs w:val="20"/>
                <w:color w:val="auto"/>
              </w:rPr>
            </w:pPr>
            <w:r>
              <w:rPr>
                <w:rFonts w:ascii="Arial" w:cs="Arial" w:eastAsia="Arial" w:hAnsi="Arial"/>
                <w:sz w:val="14"/>
                <w:szCs w:val="14"/>
                <w:b w:val="1"/>
                <w:bCs w:val="1"/>
                <w:color w:val="auto"/>
              </w:rPr>
              <w:t>Fair Value of Derivatives</w:t>
            </w:r>
          </w:p>
        </w:tc>
        <w:tc>
          <w:tcPr>
            <w:tcW w:w="4600" w:type="dxa"/>
            <w:vAlign w:val="bottom"/>
            <w:gridSpan w:val="3"/>
          </w:tcPr>
          <w:p>
            <w:pPr>
              <w:ind w:left="540"/>
              <w:spacing w:after="0"/>
              <w:rPr>
                <w:sz w:val="20"/>
                <w:szCs w:val="20"/>
                <w:color w:val="auto"/>
              </w:rPr>
            </w:pPr>
            <w:r>
              <w:rPr>
                <w:rFonts w:ascii="Arial" w:cs="Arial" w:eastAsia="Arial" w:hAnsi="Arial"/>
                <w:sz w:val="14"/>
                <w:szCs w:val="14"/>
                <w:b w:val="1"/>
                <w:bCs w:val="1"/>
                <w:color w:val="auto"/>
              </w:rPr>
              <w:t>Classification</w:t>
            </w:r>
          </w:p>
        </w:tc>
      </w:tr>
      <w:tr>
        <w:trPr>
          <w:trHeight w:val="129"/>
        </w:trPr>
        <w:tc>
          <w:tcPr>
            <w:tcW w:w="6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Sept. 30</w:t>
            </w:r>
          </w:p>
        </w:tc>
        <w:tc>
          <w:tcPr>
            <w:tcW w:w="5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Dec. 31</w:t>
            </w:r>
          </w:p>
        </w:tc>
        <w:tc>
          <w:tcPr>
            <w:tcW w:w="54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3240" w:type="dxa"/>
            <w:vAlign w:val="bottom"/>
          </w:tcPr>
          <w:p>
            <w:pPr>
              <w:spacing w:after="0"/>
              <w:rPr>
                <w:sz w:val="11"/>
                <w:szCs w:val="11"/>
                <w:color w:val="auto"/>
              </w:rPr>
            </w:pPr>
          </w:p>
        </w:tc>
      </w:tr>
      <w:tr>
        <w:trPr>
          <w:trHeight w:val="161"/>
        </w:trPr>
        <w:tc>
          <w:tcPr>
            <w:tcW w:w="680" w:type="dxa"/>
            <w:vAlign w:val="bottom"/>
          </w:tcPr>
          <w:p>
            <w:pPr>
              <w:jc w:val="right"/>
              <w:ind w:right="132"/>
              <w:spacing w:after="0"/>
              <w:rPr>
                <w:sz w:val="20"/>
                <w:szCs w:val="20"/>
                <w:color w:val="auto"/>
              </w:rPr>
            </w:pPr>
            <w:r>
              <w:rPr>
                <w:rFonts w:ascii="Arial" w:cs="Arial" w:eastAsia="Arial" w:hAnsi="Arial"/>
                <w:sz w:val="14"/>
                <w:szCs w:val="14"/>
                <w:b w:val="1"/>
                <w:bCs w:val="1"/>
                <w:color w:val="auto"/>
              </w:rPr>
              <w:t>2009</w:t>
            </w:r>
          </w:p>
        </w:tc>
        <w:tc>
          <w:tcPr>
            <w:tcW w:w="120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40" w:type="dxa"/>
            <w:vAlign w:val="bottom"/>
          </w:tcPr>
          <w:p>
            <w:pPr>
              <w:spacing w:after="0"/>
              <w:rPr>
                <w:sz w:val="14"/>
                <w:szCs w:val="14"/>
                <w:color w:val="auto"/>
              </w:rPr>
            </w:pPr>
          </w:p>
        </w:tc>
      </w:tr>
      <w:tr>
        <w:trPr>
          <w:trHeight w:val="142"/>
        </w:trPr>
        <w:tc>
          <w:tcPr>
            <w:tcW w:w="680" w:type="dxa"/>
            <w:vAlign w:val="bottom"/>
            <w:tcBorders>
              <w:top w:val="single" w:sz="8" w:color="auto"/>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40" w:type="dxa"/>
            <w:vAlign w:val="bottom"/>
            <w:shd w:val="clear" w:color="auto" w:fill="CCEEFF"/>
          </w:tcPr>
          <w:p>
            <w:pPr>
              <w:spacing w:after="0"/>
              <w:rPr>
                <w:sz w:val="12"/>
                <w:szCs w:val="12"/>
                <w:color w:val="auto"/>
              </w:rPr>
            </w:pPr>
          </w:p>
        </w:tc>
      </w:tr>
      <w:tr>
        <w:trPr>
          <w:trHeight w:val="149"/>
        </w:trPr>
        <w:tc>
          <w:tcPr>
            <w:tcW w:w="680" w:type="dxa"/>
            <w:vAlign w:val="bottom"/>
            <w:shd w:val="clear" w:color="auto" w:fill="CCEEFF"/>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40" w:type="dxa"/>
            <w:vAlign w:val="bottom"/>
            <w:shd w:val="clear" w:color="auto" w:fill="CCEEFF"/>
          </w:tcPr>
          <w:p>
            <w:pPr>
              <w:spacing w:after="0"/>
              <w:rPr>
                <w:sz w:val="12"/>
                <w:szCs w:val="12"/>
                <w:color w:val="auto"/>
              </w:rPr>
            </w:pPr>
          </w:p>
        </w:tc>
      </w:tr>
      <w:tr>
        <w:trPr>
          <w:trHeight w:val="216"/>
        </w:trPr>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-325120</wp:posOffset>
            </wp:positionV>
            <wp:extent cx="334645" cy="946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4645" cy="94615"/>
                    </a:xfrm>
                    <a:prstGeom prst="rect">
                      <a:avLst/>
                    </a:prstGeom>
                    <a:noFill/>
                  </pic:spPr>
                </pic:pic>
              </a:graphicData>
            </a:graphic>
          </wp:anchor>
        </w:drawing>
        <w:drawing>
          <wp:anchor simplePos="0" relativeHeight="251657728" behindDoc="1" locked="0" layoutInCell="0" allowOverlap="1">
            <wp:simplePos x="0" y="0"/>
            <wp:positionH relativeFrom="column">
              <wp:posOffset>-335280</wp:posOffset>
            </wp:positionH>
            <wp:positionV relativeFrom="paragraph">
              <wp:posOffset>-136525</wp:posOffset>
            </wp:positionV>
            <wp:extent cx="33464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4645" cy="137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2"/>
        </w:trPr>
        <w:tc>
          <w:tcPr>
            <w:tcW w:w="260" w:type="dxa"/>
            <w:vAlign w:val="bottom"/>
            <w:gridSpan w:val="2"/>
          </w:tcPr>
          <w:p>
            <w:pPr>
              <w:jc w:val="right"/>
              <w:ind w:right="131"/>
              <w:spacing w:after="0"/>
              <w:rPr>
                <w:sz w:val="20"/>
                <w:szCs w:val="20"/>
                <w:color w:val="auto"/>
              </w:rPr>
            </w:pPr>
            <w:r>
              <w:rPr>
                <w:rFonts w:ascii="Arial" w:cs="Arial" w:eastAsia="Arial" w:hAnsi="Arial"/>
                <w:sz w:val="15"/>
                <w:szCs w:val="15"/>
                <w:b w:val="1"/>
                <w:bCs w:val="1"/>
                <w:color w:val="auto"/>
                <w:w w:val="71"/>
              </w:rPr>
              <w:t>$</w:t>
            </w:r>
          </w:p>
        </w:tc>
        <w:tc>
          <w:tcPr>
            <w:tcW w:w="42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21</w:t>
            </w:r>
          </w:p>
        </w:tc>
        <w:tc>
          <w:tcPr>
            <w:tcW w:w="780" w:type="dxa"/>
            <w:vAlign w:val="bottom"/>
            <w:gridSpan w:val="2"/>
          </w:tcPr>
          <w:p>
            <w:pPr>
              <w:jc w:val="right"/>
              <w:ind w:right="52"/>
              <w:spacing w:after="0" w:line="201" w:lineRule="exact"/>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62</w:t>
            </w:r>
          </w:p>
        </w:tc>
        <w:tc>
          <w:tcPr>
            <w:tcW w:w="1680" w:type="dxa"/>
            <w:vAlign w:val="bottom"/>
          </w:tcPr>
          <w:p>
            <w:pPr>
              <w:ind w:left="260"/>
              <w:spacing w:after="0" w:line="201" w:lineRule="exact"/>
              <w:rPr>
                <w:sz w:val="20"/>
                <w:szCs w:val="20"/>
                <w:color w:val="auto"/>
              </w:rPr>
            </w:pPr>
            <w:r>
              <w:rPr>
                <w:rFonts w:ascii="Arial" w:cs="Arial" w:eastAsia="Arial" w:hAnsi="Arial"/>
                <w:sz w:val="18"/>
                <w:szCs w:val="18"/>
                <w:i w:val="1"/>
                <w:iCs w:val="1"/>
                <w:color w:val="auto"/>
                <w:w w:val="85"/>
              </w:rPr>
              <w:t>Other current assets</w:t>
            </w: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188</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1680" w:type="dxa"/>
            <w:vAlign w:val="bottom"/>
          </w:tcPr>
          <w:p>
            <w:pPr>
              <w:ind w:left="260"/>
              <w:spacing w:after="0"/>
              <w:rPr>
                <w:sz w:val="20"/>
                <w:szCs w:val="20"/>
                <w:color w:val="auto"/>
              </w:rPr>
            </w:pPr>
            <w:r>
              <w:rPr>
                <w:rFonts w:ascii="Arial" w:cs="Arial" w:eastAsia="Arial" w:hAnsi="Arial"/>
                <w:sz w:val="18"/>
                <w:szCs w:val="18"/>
                <w:i w:val="1"/>
                <w:iCs w:val="1"/>
                <w:color w:val="auto"/>
              </w:rPr>
              <w:t>Other Assets</w:t>
            </w:r>
          </w:p>
        </w:tc>
      </w:tr>
      <w:tr>
        <w:trPr>
          <w:trHeight w:val="229"/>
        </w:trPr>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5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80" w:type="dxa"/>
            <w:vAlign w:val="bottom"/>
          </w:tcPr>
          <w:p>
            <w:pPr>
              <w:ind w:left="260"/>
              <w:spacing w:after="0"/>
              <w:rPr>
                <w:sz w:val="20"/>
                <w:szCs w:val="20"/>
                <w:color w:val="auto"/>
              </w:rPr>
            </w:pPr>
            <w:r>
              <w:rPr>
                <w:rFonts w:ascii="Arial" w:cs="Arial" w:eastAsia="Arial" w:hAnsi="Arial"/>
                <w:sz w:val="18"/>
                <w:szCs w:val="18"/>
                <w:i w:val="1"/>
                <w:iCs w:val="1"/>
                <w:color w:val="auto"/>
              </w:rPr>
              <w:t>Other Assets</w:t>
            </w:r>
          </w:p>
        </w:tc>
      </w:tr>
      <w:tr>
        <w:trPr>
          <w:trHeight w:val="224"/>
        </w:trPr>
        <w:tc>
          <w:tcPr>
            <w:tcW w:w="20" w:type="dxa"/>
            <w:vAlign w:val="bottom"/>
          </w:tcPr>
          <w:p>
            <w:pPr>
              <w:spacing w:after="0"/>
              <w:rPr>
                <w:sz w:val="19"/>
                <w:szCs w:val="19"/>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211</w:t>
            </w:r>
          </w:p>
        </w:tc>
        <w:tc>
          <w:tcPr>
            <w:tcW w:w="54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65</w:t>
            </w:r>
          </w:p>
        </w:tc>
        <w:tc>
          <w:tcPr>
            <w:tcW w:w="1680" w:type="dxa"/>
            <w:vAlign w:val="bottom"/>
          </w:tcPr>
          <w:p>
            <w:pPr>
              <w:spacing w:after="0"/>
              <w:rPr>
                <w:sz w:val="19"/>
                <w:szCs w:val="19"/>
                <w:color w:val="auto"/>
              </w:rPr>
            </w:pPr>
          </w:p>
        </w:tc>
      </w:tr>
      <w:tr>
        <w:trPr>
          <w:trHeight w:val="438"/>
        </w:trPr>
        <w:tc>
          <w:tcPr>
            <w:tcW w:w="260" w:type="dxa"/>
            <w:vAlign w:val="bottom"/>
            <w:tcBorders>
              <w:top w:val="single" w:sz="8" w:color="auto"/>
            </w:tcBorders>
            <w:gridSpan w:val="2"/>
          </w:tcPr>
          <w:p>
            <w:pPr>
              <w:jc w:val="right"/>
              <w:ind w:right="131"/>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540" w:type="dxa"/>
            <w:vAlign w:val="bottom"/>
          </w:tcPr>
          <w:p>
            <w:pPr>
              <w:spacing w:after="0"/>
              <w:rPr>
                <w:sz w:val="24"/>
                <w:szCs w:val="24"/>
                <w:color w:val="auto"/>
              </w:rPr>
            </w:pPr>
          </w:p>
        </w:tc>
        <w:tc>
          <w:tcPr>
            <w:tcW w:w="2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680" w:type="dxa"/>
            <w:vAlign w:val="bottom"/>
          </w:tcPr>
          <w:p>
            <w:pPr>
              <w:ind w:left="260"/>
              <w:spacing w:after="0"/>
              <w:rPr>
                <w:sz w:val="20"/>
                <w:szCs w:val="20"/>
                <w:color w:val="auto"/>
              </w:rPr>
            </w:pPr>
            <w:r>
              <w:rPr>
                <w:rFonts w:ascii="Arial" w:cs="Arial" w:eastAsia="Arial" w:hAnsi="Arial"/>
                <w:sz w:val="18"/>
                <w:szCs w:val="18"/>
                <w:i w:val="1"/>
                <w:iCs w:val="1"/>
                <w:color w:val="auto"/>
                <w:w w:val="85"/>
              </w:rPr>
              <w:t>Other current assets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-718185</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-426720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-135255</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720" w:hanging="1200"/>
        <w:spacing w:after="0"/>
        <w:tabs>
          <w:tab w:leader="none" w:pos="172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30</w:t>
      </w:r>
      <w:r>
        <w:rPr>
          <w:rFonts w:ascii="Arial" w:cs="Arial" w:eastAsia="Arial" w:hAnsi="Arial"/>
          <w:sz w:val="15"/>
          <w:szCs w:val="15"/>
          <w:i w:val="1"/>
          <w:iCs w:val="1"/>
          <w:color w:val="auto"/>
        </w:rPr>
        <w:t>Other current assets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3120" w:type="dxa"/>
            <w:vAlign w:val="bottom"/>
          </w:tcPr>
          <w:p>
            <w:pPr>
              <w:ind w:left="260"/>
              <w:spacing w:after="0"/>
              <w:rPr>
                <w:sz w:val="20"/>
                <w:szCs w:val="20"/>
                <w:color w:val="auto"/>
              </w:rPr>
            </w:pPr>
            <w:r>
              <w:rPr>
                <w:rFonts w:ascii="Arial" w:cs="Arial" w:eastAsia="Arial" w:hAnsi="Arial"/>
                <w:sz w:val="18"/>
                <w:szCs w:val="18"/>
                <w:i w:val="1"/>
                <w:iCs w:val="1"/>
                <w:color w:val="auto"/>
              </w:rPr>
              <w:t>Other Assets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54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38</w:t>
            </w:r>
          </w:p>
        </w:tc>
        <w:tc>
          <w:tcPr>
            <w:tcW w:w="3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 w:type="dxa"/>
            <w:vAlign w:val="bottom"/>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0" w:type="dxa"/>
            <w:vAlign w:val="bottom"/>
            <w:gridSpan w:val="2"/>
          </w:tcPr>
          <w:p>
            <w:pPr>
              <w:jc w:val="right"/>
              <w:ind w:right="131"/>
              <w:spacing w:after="0"/>
              <w:rPr>
                <w:sz w:val="20"/>
                <w:szCs w:val="20"/>
                <w:color w:val="auto"/>
              </w:rPr>
            </w:pPr>
            <w:r>
              <w:rPr>
                <w:rFonts w:ascii="Arial" w:cs="Arial" w:eastAsia="Arial" w:hAnsi="Arial"/>
                <w:sz w:val="15"/>
                <w:szCs w:val="15"/>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227</w:t>
            </w:r>
          </w:p>
        </w:tc>
        <w:tc>
          <w:tcPr>
            <w:tcW w:w="54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103</w:t>
            </w:r>
          </w:p>
        </w:tc>
        <w:tc>
          <w:tcPr>
            <w:tcW w:w="3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60" w:type="dxa"/>
            <w:vAlign w:val="bottom"/>
            <w:gridSpan w:val="2"/>
          </w:tcPr>
          <w:p>
            <w:pPr>
              <w:jc w:val="right"/>
              <w:ind w:right="131"/>
              <w:spacing w:after="0"/>
              <w:rPr>
                <w:sz w:val="20"/>
                <w:szCs w:val="20"/>
                <w:color w:val="auto"/>
              </w:rPr>
            </w:pPr>
            <w:r>
              <w:rPr>
                <w:rFonts w:ascii="Arial" w:cs="Arial" w:eastAsia="Arial" w:hAnsi="Arial"/>
                <w:sz w:val="15"/>
                <w:szCs w:val="15"/>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78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148</w:t>
            </w:r>
          </w:p>
        </w:tc>
        <w:tc>
          <w:tcPr>
            <w:tcW w:w="3120" w:type="dxa"/>
            <w:vAlign w:val="bottom"/>
          </w:tcPr>
          <w:p>
            <w:pPr>
              <w:ind w:left="260"/>
              <w:spacing w:after="0"/>
              <w:rPr>
                <w:sz w:val="20"/>
                <w:szCs w:val="20"/>
                <w:color w:val="auto"/>
              </w:rPr>
            </w:pPr>
            <w:r>
              <w:rPr>
                <w:rFonts w:ascii="Arial" w:cs="Arial" w:eastAsia="Arial" w:hAnsi="Arial"/>
                <w:sz w:val="18"/>
                <w:szCs w:val="18"/>
                <w:i w:val="1"/>
                <w:iCs w:val="1"/>
                <w:color w:val="auto"/>
                <w:w w:val="88"/>
              </w:rPr>
              <w:t>Accounts payable and accrued liabilities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53</w:t>
            </w:r>
          </w:p>
        </w:tc>
        <w:tc>
          <w:tcPr>
            <w:tcW w:w="3120" w:type="dxa"/>
            <w:vAlign w:val="bottom"/>
          </w:tcPr>
          <w:p>
            <w:pPr>
              <w:ind w:left="260"/>
              <w:spacing w:after="0"/>
              <w:rPr>
                <w:sz w:val="20"/>
                <w:szCs w:val="20"/>
                <w:color w:val="auto"/>
              </w:rPr>
            </w:pPr>
            <w:r>
              <w:rPr>
                <w:rFonts w:ascii="Arial" w:cs="Arial" w:eastAsia="Arial" w:hAnsi="Arial"/>
                <w:sz w:val="18"/>
                <w:szCs w:val="18"/>
                <w:i w:val="1"/>
                <w:iCs w:val="1"/>
                <w:color w:val="auto"/>
              </w:rPr>
              <w:t>Other Liabilities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continue"/>
          </w:tcPr>
          <w:p>
            <w:pPr>
              <w:spacing w:after="0"/>
              <w:rPr>
                <w:sz w:val="19"/>
                <w:szCs w:val="19"/>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54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201</w:t>
            </w:r>
          </w:p>
        </w:tc>
        <w:tc>
          <w:tcPr>
            <w:tcW w:w="3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 w:type="dxa"/>
            <w:vAlign w:val="bottom"/>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60" w:type="dxa"/>
            <w:vAlign w:val="bottom"/>
            <w:gridSpan w:val="2"/>
          </w:tcPr>
          <w:p>
            <w:pPr>
              <w:jc w:val="right"/>
              <w:ind w:right="131"/>
              <w:spacing w:after="0"/>
              <w:rPr>
                <w:sz w:val="20"/>
                <w:szCs w:val="20"/>
                <w:color w:val="auto"/>
              </w:rPr>
            </w:pPr>
            <w:r>
              <w:rPr>
                <w:rFonts w:ascii="Arial" w:cs="Arial" w:eastAsia="Arial" w:hAnsi="Arial"/>
                <w:sz w:val="15"/>
                <w:szCs w:val="15"/>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3120" w:type="dxa"/>
            <w:vAlign w:val="bottom"/>
          </w:tcPr>
          <w:p>
            <w:pPr>
              <w:ind w:left="260"/>
              <w:spacing w:after="0"/>
              <w:rPr>
                <w:sz w:val="20"/>
                <w:szCs w:val="20"/>
                <w:color w:val="auto"/>
              </w:rPr>
            </w:pPr>
            <w:r>
              <w:rPr>
                <w:rFonts w:ascii="Arial" w:cs="Arial" w:eastAsia="Arial" w:hAnsi="Arial"/>
                <w:sz w:val="18"/>
                <w:szCs w:val="18"/>
                <w:i w:val="1"/>
                <w:iCs w:val="1"/>
                <w:color w:val="auto"/>
                <w:w w:val="88"/>
              </w:rPr>
              <w:t>Accounts payable and accrued liabilities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-1473200</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-1164590</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-855980</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-581025</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-272415</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4</w:t>
      </w:r>
      <w:r>
        <w:rPr>
          <w:rFonts w:ascii="Arial" w:cs="Arial" w:eastAsia="Arial" w:hAnsi="Arial"/>
          <w:sz w:val="16"/>
          <w:szCs w:val="16"/>
          <w:i w:val="1"/>
          <w:iCs w:val="1"/>
          <w:color w:val="auto"/>
        </w:rPr>
        <w:t>Accounts payable and accrued liabilities</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1</w:t>
      </w:r>
      <w:r>
        <w:rPr>
          <w:rFonts w:ascii="Arial" w:cs="Arial" w:eastAsia="Arial" w:hAnsi="Arial"/>
          <w:sz w:val="18"/>
          <w:szCs w:val="18"/>
          <w:color w:val="auto"/>
        </w:rPr>
        <w:t>—</w:t>
      </w:r>
      <w:r>
        <w:rPr>
          <w:rFonts w:ascii="Arial" w:cs="Arial" w:eastAsia="Arial" w:hAnsi="Arial"/>
          <w:sz w:val="16"/>
          <w:szCs w:val="16"/>
          <w:i w:val="1"/>
          <w:iCs w:val="1"/>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-266700</wp:posOffset>
            </wp:positionV>
            <wp:extent cx="72466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6985</wp:posOffset>
            </wp:positionV>
            <wp:extent cx="4375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37515" cy="8890"/>
                    </a:xfrm>
                    <a:prstGeom prst="rect">
                      <a:avLst/>
                    </a:prstGeom>
                    <a:noFill/>
                  </pic:spPr>
                </pic:pic>
              </a:graphicData>
            </a:graphic>
          </wp:anchor>
        </w:drawing>
        <w:drawing>
          <wp:anchor simplePos="0" relativeHeight="251657728" behindDoc="1" locked="0" layoutInCell="0" allowOverlap="1">
            <wp:simplePos x="0" y="0"/>
            <wp:positionH relativeFrom="column">
              <wp:posOffset>778510</wp:posOffset>
            </wp:positionH>
            <wp:positionV relativeFrom="paragraph">
              <wp:posOffset>6985</wp:posOffset>
            </wp:positionV>
            <wp:extent cx="4203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20370" cy="8890"/>
                    </a:xfrm>
                    <a:prstGeom prst="rect">
                      <a:avLst/>
                    </a:prstGeom>
                    <a:noFill/>
                  </pic:spPr>
                </pic:pic>
              </a:graphicData>
            </a:graphic>
          </wp:anchor>
        </w:drawing>
      </w:r>
    </w:p>
    <w:p>
      <w:pPr>
        <w:spacing w:after="0" w:line="4" w:lineRule="exact"/>
        <w:rPr>
          <w:sz w:val="20"/>
          <w:szCs w:val="20"/>
          <w:color w:val="auto"/>
        </w:rPr>
      </w:pPr>
    </w:p>
    <w:p>
      <w:pPr>
        <w:spacing w:after="0"/>
        <w:tabs>
          <w:tab w:leader="none" w:pos="580" w:val="left"/>
          <w:tab w:leader="none" w:pos="1200" w:val="left"/>
          <w:tab w:leader="none" w:pos="178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-121920</wp:posOffset>
            </wp:positionV>
            <wp:extent cx="7246620"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43" w:lineRule="exact"/>
        <w:rPr>
          <w:sz w:val="20"/>
          <w:szCs w:val="20"/>
          <w:color w:val="auto"/>
        </w:rPr>
      </w:pPr>
    </w:p>
    <w:p>
      <w:pPr>
        <w:spacing w:after="0"/>
        <w:tabs>
          <w:tab w:leader="none" w:pos="500" w:val="left"/>
          <w:tab w:leader="none" w:pos="1200" w:val="left"/>
          <w:tab w:leader="none" w:pos="160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29</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43751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3751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31750</wp:posOffset>
            </wp:positionV>
            <wp:extent cx="43751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37515" cy="8890"/>
                    </a:xfrm>
                    <a:prstGeom prst="rect">
                      <a:avLst/>
                    </a:prstGeom>
                    <a:noFill/>
                  </pic:spPr>
                </pic:pic>
              </a:graphicData>
            </a:graphic>
          </wp:anchor>
        </w:drawing>
        <w:drawing>
          <wp:anchor simplePos="0" relativeHeight="251657728" behindDoc="1" locked="0" layoutInCell="0" allowOverlap="1">
            <wp:simplePos x="0" y="0"/>
            <wp:positionH relativeFrom="column">
              <wp:posOffset>778510</wp:posOffset>
            </wp:positionH>
            <wp:positionV relativeFrom="paragraph">
              <wp:posOffset>14605</wp:posOffset>
            </wp:positionV>
            <wp:extent cx="4203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20370" cy="8890"/>
                    </a:xfrm>
                    <a:prstGeom prst="rect">
                      <a:avLst/>
                    </a:prstGeom>
                    <a:noFill/>
                  </pic:spPr>
                </pic:pic>
              </a:graphicData>
            </a:graphic>
          </wp:anchor>
        </w:drawing>
        <w:drawing>
          <wp:anchor simplePos="0" relativeHeight="251657728" behindDoc="1" locked="0" layoutInCell="0" allowOverlap="1">
            <wp:simplePos x="0" y="0"/>
            <wp:positionH relativeFrom="column">
              <wp:posOffset>778510</wp:posOffset>
            </wp:positionH>
            <wp:positionV relativeFrom="paragraph">
              <wp:posOffset>31750</wp:posOffset>
            </wp:positionV>
            <wp:extent cx="4203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2037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20" w:space="720"/>
            <w:col w:w="6480"/>
          </w:cols>
          <w:pgMar w:left="240" w:top="459" w:right="239" w:bottom="1440" w:gutter="0" w:footer="0" w:header="0"/>
          <w:type w:val="continuous"/>
        </w:sectPr>
      </w:pPr>
    </w:p>
    <w:p>
      <w:pPr>
        <w:spacing w:after="0" w:line="3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fair value of all outstanding derivatives is determined using a model with inputs that are observable in the market or can be derived from or corroborated by observable data.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effect of derivative instruments designated as fair value hedges and not designated as hedges on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600" w:type="dxa"/>
            <w:vAlign w:val="bottom"/>
          </w:tcPr>
          <w:p>
            <w:pPr>
              <w:spacing w:after="0"/>
              <w:rPr>
                <w:sz w:val="20"/>
                <w:szCs w:val="20"/>
                <w:color w:val="auto"/>
              </w:rPr>
            </w:pPr>
            <w:r>
              <w:rPr>
                <w:rFonts w:ascii="Arial" w:cs="Arial" w:eastAsia="Arial" w:hAnsi="Arial"/>
                <w:sz w:val="14"/>
                <w:szCs w:val="14"/>
                <w:i w:val="1"/>
                <w:iCs w:val="1"/>
                <w:color w:val="auto"/>
              </w:rPr>
              <w:t>(Stated in millions)</w:t>
            </w:r>
          </w:p>
        </w:tc>
        <w:tc>
          <w:tcPr>
            <w:tcW w:w="200" w:type="dxa"/>
            <w:vAlign w:val="bottom"/>
          </w:tcPr>
          <w:p>
            <w:pPr>
              <w:spacing w:after="0"/>
              <w:rPr>
                <w:sz w:val="14"/>
                <w:szCs w:val="14"/>
                <w:color w:val="auto"/>
              </w:rPr>
            </w:pPr>
          </w:p>
        </w:tc>
        <w:tc>
          <w:tcPr>
            <w:tcW w:w="2420" w:type="dxa"/>
            <w:vAlign w:val="bottom"/>
            <w:gridSpan w:val="4"/>
            <w:vMerge w:val="restart"/>
          </w:tcPr>
          <w:p>
            <w:pPr>
              <w:jc w:val="center"/>
              <w:ind w:right="115"/>
              <w:spacing w:after="0"/>
              <w:rPr>
                <w:sz w:val="20"/>
                <w:szCs w:val="20"/>
                <w:color w:val="auto"/>
              </w:rPr>
            </w:pPr>
            <w:r>
              <w:rPr>
                <w:rFonts w:ascii="Arial" w:cs="Arial" w:eastAsia="Arial" w:hAnsi="Arial"/>
                <w:sz w:val="14"/>
                <w:szCs w:val="14"/>
                <w:b w:val="1"/>
                <w:bCs w:val="1"/>
                <w:color w:val="auto"/>
                <w:w w:val="86"/>
              </w:rPr>
              <w:t>Gain/(Loss) Recognized in Income</w:t>
            </w: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6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420" w:type="dxa"/>
            <w:vAlign w:val="bottom"/>
            <w:tcBorders>
              <w:bottom w:val="single" w:sz="8" w:color="auto"/>
            </w:tcBorders>
            <w:gridSpan w:val="4"/>
            <w:vMerge w:val="continue"/>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6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200" w:type="dxa"/>
            <w:vAlign w:val="bottom"/>
            <w:gridSpan w:val="3"/>
            <w:vMerge w:val="restart"/>
          </w:tcPr>
          <w:p>
            <w:pPr>
              <w:ind w:left="680"/>
              <w:spacing w:after="0"/>
              <w:rPr>
                <w:sz w:val="20"/>
                <w:szCs w:val="20"/>
                <w:color w:val="auto"/>
              </w:rPr>
            </w:pPr>
            <w:r>
              <w:rPr>
                <w:rFonts w:ascii="Arial" w:cs="Arial" w:eastAsia="Arial" w:hAnsi="Arial"/>
                <w:sz w:val="14"/>
                <w:szCs w:val="14"/>
                <w:b w:val="1"/>
                <w:bCs w:val="1"/>
                <w:color w:val="auto"/>
              </w:rPr>
              <w:t>Classification</w:t>
            </w:r>
          </w:p>
        </w:tc>
        <w:tc>
          <w:tcPr>
            <w:tcW w:w="0" w:type="dxa"/>
            <w:vAlign w:val="bottom"/>
          </w:tcPr>
          <w:p>
            <w:pPr>
              <w:spacing w:after="0"/>
              <w:rPr>
                <w:sz w:val="1"/>
                <w:szCs w:val="1"/>
                <w:color w:val="auto"/>
              </w:rPr>
            </w:pPr>
          </w:p>
        </w:tc>
      </w:tr>
      <w:tr>
        <w:trPr>
          <w:trHeight w:val="142"/>
        </w:trPr>
        <w:tc>
          <w:tcPr>
            <w:tcW w:w="6600" w:type="dxa"/>
            <w:vAlign w:val="bottom"/>
          </w:tcPr>
          <w:p>
            <w:pPr>
              <w:spacing w:after="0"/>
              <w:rPr>
                <w:sz w:val="12"/>
                <w:szCs w:val="12"/>
                <w:color w:val="auto"/>
              </w:rPr>
            </w:pPr>
          </w:p>
        </w:tc>
        <w:tc>
          <w:tcPr>
            <w:tcW w:w="1020" w:type="dxa"/>
            <w:vAlign w:val="bottom"/>
            <w:gridSpan w:val="2"/>
          </w:tcPr>
          <w:p>
            <w:pPr>
              <w:jc w:val="right"/>
              <w:ind w:right="15"/>
              <w:spacing w:after="0" w:line="142" w:lineRule="exact"/>
              <w:rPr>
                <w:sz w:val="20"/>
                <w:szCs w:val="20"/>
                <w:color w:val="auto"/>
              </w:rPr>
            </w:pPr>
            <w:r>
              <w:rPr>
                <w:rFonts w:ascii="Arial" w:cs="Arial" w:eastAsia="Arial" w:hAnsi="Arial"/>
                <w:sz w:val="14"/>
                <w:szCs w:val="14"/>
                <w:b w:val="1"/>
                <w:bCs w:val="1"/>
                <w:color w:val="auto"/>
              </w:rPr>
              <w:t>Third Quarter</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15"/>
              <w:spacing w:after="0" w:line="142" w:lineRule="exact"/>
              <w:rPr>
                <w:sz w:val="20"/>
                <w:szCs w:val="20"/>
                <w:color w:val="auto"/>
              </w:rPr>
            </w:pPr>
            <w:r>
              <w:rPr>
                <w:rFonts w:ascii="Arial" w:cs="Arial" w:eastAsia="Arial" w:hAnsi="Arial"/>
                <w:sz w:val="14"/>
                <w:szCs w:val="14"/>
                <w:b w:val="1"/>
                <w:bCs w:val="1"/>
                <w:color w:val="auto"/>
                <w:w w:val="85"/>
              </w:rPr>
              <w:t>Nine Months</w:t>
            </w:r>
          </w:p>
        </w:tc>
        <w:tc>
          <w:tcPr>
            <w:tcW w:w="22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Derivatives designated as fair value hedges:</w:t>
            </w: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440"/>
              <w:spacing w:after="0"/>
              <w:rPr>
                <w:sz w:val="20"/>
                <w:szCs w:val="20"/>
                <w:color w:val="auto"/>
              </w:rPr>
            </w:pPr>
            <w:r>
              <w:rPr>
                <w:rFonts w:ascii="Arial" w:cs="Arial" w:eastAsia="Arial" w:hAnsi="Arial"/>
                <w:sz w:val="18"/>
                <w:szCs w:val="18"/>
                <w:color w:val="auto"/>
              </w:rPr>
              <w:t>Foreign exchange contracts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106</w:t>
            </w:r>
          </w:p>
        </w:tc>
        <w:tc>
          <w:tcPr>
            <w:tcW w:w="2200" w:type="dxa"/>
            <w:vAlign w:val="bottom"/>
            <w:gridSpan w:val="3"/>
          </w:tcPr>
          <w:p>
            <w:pPr>
              <w:ind w:left="680"/>
              <w:spacing w:after="0"/>
              <w:rPr>
                <w:sz w:val="20"/>
                <w:szCs w:val="20"/>
                <w:color w:val="auto"/>
              </w:rPr>
            </w:pPr>
            <w:r>
              <w:rPr>
                <w:rFonts w:ascii="Arial" w:cs="Arial" w:eastAsia="Arial" w:hAnsi="Arial"/>
                <w:sz w:val="18"/>
                <w:szCs w:val="18"/>
                <w:i w:val="1"/>
                <w:iCs w:val="1"/>
                <w:color w:val="auto"/>
              </w:rPr>
              <w:t>Cost of revenue</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swaps</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0" w:type="dxa"/>
            <w:vAlign w:val="bottom"/>
            <w:gridSpan w:val="3"/>
            <w:shd w:val="clear" w:color="auto" w:fill="CCEEFF"/>
          </w:tcPr>
          <w:p>
            <w:pPr>
              <w:ind w:left="680"/>
              <w:spacing w:after="0"/>
              <w:rPr>
                <w:sz w:val="20"/>
                <w:szCs w:val="20"/>
                <w:color w:val="auto"/>
              </w:rPr>
            </w:pPr>
            <w:r>
              <w:rPr>
                <w:rFonts w:ascii="Arial" w:cs="Arial" w:eastAsia="Arial" w:hAnsi="Arial"/>
                <w:sz w:val="18"/>
                <w:szCs w:val="18"/>
                <w:i w:val="1"/>
                <w:iCs w:val="1"/>
                <w:color w:val="auto"/>
              </w:rPr>
              <w:t>Interest expense</w:t>
            </w:r>
          </w:p>
        </w:tc>
        <w:tc>
          <w:tcPr>
            <w:tcW w:w="0" w:type="dxa"/>
            <w:vAlign w:val="bottom"/>
          </w:tcPr>
          <w:p>
            <w:pPr>
              <w:spacing w:after="0"/>
              <w:rPr>
                <w:sz w:val="1"/>
                <w:szCs w:val="1"/>
                <w:color w:val="auto"/>
              </w:rPr>
            </w:pPr>
          </w:p>
        </w:tc>
      </w:tr>
      <w:tr>
        <w:trPr>
          <w:trHeight w:val="222"/>
        </w:trPr>
        <w:tc>
          <w:tcPr>
            <w:tcW w:w="660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107</w:t>
            </w: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Derivatives not designated as hedges: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440"/>
              <w:spacing w:after="0"/>
              <w:rPr>
                <w:sz w:val="20"/>
                <w:szCs w:val="20"/>
                <w:color w:val="auto"/>
              </w:rPr>
            </w:pPr>
            <w:r>
              <w:rPr>
                <w:rFonts w:ascii="Arial" w:cs="Arial" w:eastAsia="Arial" w:hAnsi="Arial"/>
                <w:sz w:val="18"/>
                <w:szCs w:val="18"/>
                <w:color w:val="auto"/>
              </w:rPr>
              <w:t>Foreign exchange contracts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2200" w:type="dxa"/>
            <w:vAlign w:val="bottom"/>
            <w:gridSpan w:val="3"/>
          </w:tcPr>
          <w:p>
            <w:pPr>
              <w:ind w:left="680"/>
              <w:spacing w:after="0"/>
              <w:rPr>
                <w:sz w:val="20"/>
                <w:szCs w:val="20"/>
                <w:color w:val="auto"/>
              </w:rPr>
            </w:pPr>
            <w:r>
              <w:rPr>
                <w:rFonts w:ascii="Arial" w:cs="Arial" w:eastAsia="Arial" w:hAnsi="Arial"/>
                <w:sz w:val="18"/>
                <w:szCs w:val="18"/>
                <w:i w:val="1"/>
                <w:iCs w:val="1"/>
                <w:color w:val="auto"/>
              </w:rPr>
              <w:t>Cost of revenue</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Commodity contracts</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0" w:type="dxa"/>
            <w:vAlign w:val="bottom"/>
            <w:gridSpan w:val="3"/>
            <w:shd w:val="clear" w:color="auto" w:fill="CCEEFF"/>
          </w:tcPr>
          <w:p>
            <w:pPr>
              <w:ind w:left="680"/>
              <w:spacing w:after="0"/>
              <w:rPr>
                <w:sz w:val="20"/>
                <w:szCs w:val="20"/>
                <w:color w:val="auto"/>
              </w:rPr>
            </w:pPr>
            <w:r>
              <w:rPr>
                <w:rFonts w:ascii="Arial" w:cs="Arial" w:eastAsia="Arial" w:hAnsi="Arial"/>
                <w:sz w:val="18"/>
                <w:szCs w:val="18"/>
                <w:i w:val="1"/>
                <w:iCs w:val="1"/>
                <w:color w:val="auto"/>
              </w:rPr>
              <w:t>Cost of revenue</w:t>
            </w:r>
          </w:p>
        </w:tc>
        <w:tc>
          <w:tcPr>
            <w:tcW w:w="0" w:type="dxa"/>
            <w:vAlign w:val="bottom"/>
          </w:tcPr>
          <w:p>
            <w:pPr>
              <w:spacing w:after="0"/>
              <w:rPr>
                <w:sz w:val="1"/>
                <w:szCs w:val="1"/>
                <w:color w:val="auto"/>
              </w:rPr>
            </w:pPr>
          </w:p>
        </w:tc>
      </w:tr>
      <w:tr>
        <w:trPr>
          <w:trHeight w:val="222"/>
        </w:trPr>
        <w:tc>
          <w:tcPr>
            <w:tcW w:w="660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effect of derivative instruments in cash flow hedging relationships on income and other comprehensive income (OCI) was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60" w:type="dxa"/>
            <w:vAlign w:val="bottom"/>
          </w:tcPr>
          <w:p>
            <w:pPr>
              <w:spacing w:after="0"/>
              <w:rPr>
                <w:sz w:val="20"/>
                <w:szCs w:val="20"/>
                <w:color w:val="auto"/>
              </w:rPr>
            </w:pPr>
            <w:r>
              <w:rPr>
                <w:rFonts w:ascii="Arial" w:cs="Arial" w:eastAsia="Arial" w:hAnsi="Arial"/>
                <w:sz w:val="14"/>
                <w:szCs w:val="14"/>
                <w:i w:val="1"/>
                <w:iCs w:val="1"/>
                <w:color w:val="auto"/>
              </w:rPr>
              <w:t>(Stated in millions)</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6"/>
            <w:vMerge w:val="restart"/>
          </w:tcPr>
          <w:p>
            <w:pPr>
              <w:jc w:val="center"/>
              <w:ind w:right="400"/>
              <w:spacing w:after="0"/>
              <w:rPr>
                <w:sz w:val="20"/>
                <w:szCs w:val="20"/>
                <w:color w:val="auto"/>
              </w:rPr>
            </w:pPr>
            <w:r>
              <w:rPr>
                <w:rFonts w:ascii="Arial" w:cs="Arial" w:eastAsia="Arial" w:hAnsi="Arial"/>
                <w:sz w:val="14"/>
                <w:szCs w:val="14"/>
                <w:b w:val="1"/>
                <w:bCs w:val="1"/>
                <w:color w:val="auto"/>
                <w:w w:val="84"/>
              </w:rPr>
              <w:t>Gain (Loss) Reclassified</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9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00" w:type="dxa"/>
            <w:vAlign w:val="bottom"/>
            <w:gridSpan w:val="6"/>
            <w:vMerge w:val="continue"/>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5"/>
          </w:tcPr>
          <w:p>
            <w:pPr>
              <w:jc w:val="center"/>
              <w:ind w:right="22"/>
              <w:spacing w:after="0" w:line="149" w:lineRule="exact"/>
              <w:rPr>
                <w:sz w:val="20"/>
                <w:szCs w:val="20"/>
                <w:color w:val="auto"/>
              </w:rPr>
            </w:pPr>
            <w:r>
              <w:rPr>
                <w:rFonts w:ascii="Arial" w:cs="Arial" w:eastAsia="Arial" w:hAnsi="Arial"/>
                <w:sz w:val="14"/>
                <w:szCs w:val="14"/>
                <w:b w:val="1"/>
                <w:bCs w:val="1"/>
                <w:color w:val="auto"/>
                <w:w w:val="88"/>
              </w:rPr>
              <w:t>Gain/(Loss)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6"/>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from Accumulated OCI</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5"/>
          </w:tcPr>
          <w:p>
            <w:pPr>
              <w:jc w:val="center"/>
              <w:ind w:right="22"/>
              <w:spacing w:after="0"/>
              <w:rPr>
                <w:sz w:val="20"/>
                <w:szCs w:val="20"/>
                <w:color w:val="auto"/>
              </w:rPr>
            </w:pPr>
            <w:r>
              <w:rPr>
                <w:rFonts w:ascii="Arial" w:cs="Arial" w:eastAsia="Arial" w:hAnsi="Arial"/>
                <w:sz w:val="14"/>
                <w:szCs w:val="14"/>
                <w:b w:val="1"/>
                <w:bCs w:val="1"/>
                <w:color w:val="auto"/>
                <w:w w:val="87"/>
              </w:rPr>
              <w:t>Recognized in OCI</w:t>
            </w:r>
          </w:p>
        </w:tc>
        <w:tc>
          <w:tcPr>
            <w:tcW w:w="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center"/>
              <w:ind w:left="284"/>
              <w:spacing w:after="0"/>
              <w:rPr>
                <w:sz w:val="20"/>
                <w:szCs w:val="20"/>
                <w:color w:val="auto"/>
              </w:rPr>
            </w:pPr>
            <w:r>
              <w:rPr>
                <w:rFonts w:ascii="Arial" w:cs="Arial" w:eastAsia="Arial" w:hAnsi="Arial"/>
                <w:sz w:val="14"/>
                <w:szCs w:val="14"/>
                <w:b w:val="1"/>
                <w:bCs w:val="1"/>
                <w:color w:val="auto"/>
                <w:w w:val="89"/>
              </w:rPr>
              <w:t>into Income</w:t>
            </w: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center"/>
              <w:ind w:right="22"/>
              <w:spacing w:after="0" w:line="142" w:lineRule="exact"/>
              <w:rPr>
                <w:sz w:val="20"/>
                <w:szCs w:val="20"/>
                <w:color w:val="auto"/>
              </w:rPr>
            </w:pPr>
            <w:r>
              <w:rPr>
                <w:rFonts w:ascii="Arial" w:cs="Arial" w:eastAsia="Arial" w:hAnsi="Arial"/>
                <w:sz w:val="14"/>
                <w:szCs w:val="14"/>
                <w:b w:val="1"/>
                <w:bCs w:val="1"/>
                <w:color w:val="auto"/>
                <w:w w:val="83"/>
              </w:rPr>
              <w:t>2009</w:t>
            </w: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9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97"/>
              </w:rPr>
              <w:t>Third</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center"/>
              <w:ind w:right="22"/>
              <w:spacing w:after="0" w:line="129" w:lineRule="exact"/>
              <w:rPr>
                <w:sz w:val="20"/>
                <w:szCs w:val="20"/>
                <w:color w:val="auto"/>
              </w:rPr>
            </w:pPr>
            <w:r>
              <w:rPr>
                <w:rFonts w:ascii="Arial" w:cs="Arial" w:eastAsia="Arial" w:hAnsi="Arial"/>
                <w:sz w:val="14"/>
                <w:szCs w:val="14"/>
                <w:b w:val="1"/>
                <w:bCs w:val="1"/>
                <w:color w:val="auto"/>
                <w:w w:val="92"/>
              </w:rPr>
              <w:t>Nine</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right"/>
              <w:ind w:right="220"/>
              <w:spacing w:after="0" w:line="129" w:lineRule="exact"/>
              <w:rPr>
                <w:sz w:val="20"/>
                <w:szCs w:val="20"/>
                <w:color w:val="auto"/>
              </w:rPr>
            </w:pPr>
            <w:r>
              <w:rPr>
                <w:rFonts w:ascii="Arial" w:cs="Arial" w:eastAsia="Arial" w:hAnsi="Arial"/>
                <w:sz w:val="14"/>
                <w:szCs w:val="14"/>
                <w:b w:val="1"/>
                <w:bCs w:val="1"/>
                <w:color w:val="auto"/>
                <w:w w:val="97"/>
              </w:rPr>
              <w:t>Third</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77"/>
              <w:spacing w:after="0" w:line="129" w:lineRule="exact"/>
              <w:rPr>
                <w:sz w:val="20"/>
                <w:szCs w:val="20"/>
                <w:color w:val="auto"/>
              </w:rPr>
            </w:pPr>
            <w:r>
              <w:rPr>
                <w:rFonts w:ascii="Arial" w:cs="Arial" w:eastAsia="Arial" w:hAnsi="Arial"/>
                <w:sz w:val="14"/>
                <w:szCs w:val="14"/>
                <w:b w:val="1"/>
                <w:bCs w:val="1"/>
                <w:color w:val="auto"/>
                <w:w w:val="98"/>
              </w:rPr>
              <w:t>Nine</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Quarter</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Months</w:t>
            </w:r>
          </w:p>
        </w:tc>
        <w:tc>
          <w:tcPr>
            <w:tcW w:w="380" w:type="dxa"/>
            <w:vAlign w:val="bottom"/>
          </w:tcPr>
          <w:p>
            <w:pPr>
              <w:spacing w:after="0"/>
              <w:rPr>
                <w:sz w:val="14"/>
                <w:szCs w:val="14"/>
                <w:color w:val="auto"/>
              </w:rPr>
            </w:pPr>
          </w:p>
        </w:tc>
        <w:tc>
          <w:tcPr>
            <w:tcW w:w="620" w:type="dxa"/>
            <w:vAlign w:val="bottom"/>
            <w:gridSpan w:val="2"/>
          </w:tcPr>
          <w:p>
            <w:pPr>
              <w:jc w:val="right"/>
              <w:ind w:right="4"/>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Months</w:t>
            </w:r>
          </w:p>
        </w:tc>
        <w:tc>
          <w:tcPr>
            <w:tcW w:w="280" w:type="dxa"/>
            <w:vAlign w:val="bottom"/>
          </w:tcPr>
          <w:p>
            <w:pPr>
              <w:spacing w:after="0"/>
              <w:rPr>
                <w:sz w:val="14"/>
                <w:szCs w:val="14"/>
                <w:color w:val="auto"/>
              </w:rPr>
            </w:pPr>
          </w:p>
        </w:tc>
        <w:tc>
          <w:tcPr>
            <w:tcW w:w="3620" w:type="dxa"/>
            <w:vAlign w:val="bottom"/>
            <w:gridSpan w:val="3"/>
          </w:tcPr>
          <w:p>
            <w:pPr>
              <w:ind w:left="220"/>
              <w:spacing w:after="0"/>
              <w:rPr>
                <w:sz w:val="20"/>
                <w:szCs w:val="20"/>
                <w:color w:val="auto"/>
              </w:rPr>
            </w:pPr>
            <w:r>
              <w:rPr>
                <w:rFonts w:ascii="Arial" w:cs="Arial" w:eastAsia="Arial" w:hAnsi="Arial"/>
                <w:sz w:val="14"/>
                <w:szCs w:val="14"/>
                <w:b w:val="1"/>
                <w:bCs w:val="1"/>
                <w:color w:val="auto"/>
              </w:rPr>
              <w:t>Classification</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80" w:type="dxa"/>
            <w:vAlign w:val="bottom"/>
            <w:shd w:val="clear" w:color="auto" w:fill="CCEEFF"/>
          </w:tcPr>
          <w:p>
            <w:pPr>
              <w:spacing w:after="0"/>
              <w:rPr>
                <w:sz w:val="18"/>
                <w:szCs w:val="18"/>
                <w:color w:val="auto"/>
              </w:rPr>
            </w:pPr>
          </w:p>
        </w:tc>
        <w:tc>
          <w:tcPr>
            <w:tcW w:w="3620" w:type="dxa"/>
            <w:vAlign w:val="bottom"/>
            <w:gridSpan w:val="3"/>
            <w:shd w:val="clear" w:color="auto" w:fill="CCEEFF"/>
          </w:tcPr>
          <w:p>
            <w:pPr>
              <w:ind w:left="220"/>
              <w:spacing w:after="0"/>
              <w:rPr>
                <w:sz w:val="20"/>
                <w:szCs w:val="20"/>
                <w:color w:val="auto"/>
              </w:rPr>
            </w:pPr>
            <w:r>
              <w:rPr>
                <w:rFonts w:ascii="Arial" w:cs="Arial" w:eastAsia="Arial" w:hAnsi="Arial"/>
                <w:sz w:val="18"/>
                <w:szCs w:val="18"/>
                <w:i w:val="1"/>
                <w:iCs w:val="1"/>
                <w:color w:val="auto"/>
              </w:rPr>
              <w:t>Cost of revenue</w:t>
            </w:r>
          </w:p>
        </w:tc>
        <w:tc>
          <w:tcPr>
            <w:tcW w:w="0" w:type="dxa"/>
            <w:vAlign w:val="bottom"/>
          </w:tcPr>
          <w:p>
            <w:pPr>
              <w:spacing w:after="0"/>
              <w:rPr>
                <w:sz w:val="1"/>
                <w:szCs w:val="1"/>
                <w:color w:val="auto"/>
              </w:rPr>
            </w:pPr>
          </w:p>
        </w:tc>
      </w:tr>
      <w:tr>
        <w:trPr>
          <w:trHeight w:val="222"/>
        </w:trPr>
        <w:tc>
          <w:tcPr>
            <w:tcW w:w="29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3620" w:type="dxa"/>
            <w:vAlign w:val="bottom"/>
            <w:gridSpan w:val="3"/>
          </w:tcPr>
          <w:p>
            <w:pPr>
              <w:ind w:left="220"/>
              <w:spacing w:after="0"/>
              <w:rPr>
                <w:sz w:val="20"/>
                <w:szCs w:val="20"/>
                <w:color w:val="auto"/>
              </w:rPr>
            </w:pPr>
            <w:r>
              <w:rPr>
                <w:rFonts w:ascii="Arial" w:cs="Arial" w:eastAsia="Arial" w:hAnsi="Arial"/>
                <w:sz w:val="18"/>
                <w:szCs w:val="18"/>
                <w:i w:val="1"/>
                <w:iCs w:val="1"/>
                <w:color w:val="auto"/>
              </w:rPr>
              <w:t>Research &amp; engineering</w:t>
            </w:r>
          </w:p>
        </w:tc>
        <w:tc>
          <w:tcPr>
            <w:tcW w:w="0" w:type="dxa"/>
            <w:vAlign w:val="bottom"/>
          </w:tcPr>
          <w:p>
            <w:pPr>
              <w:spacing w:after="0"/>
              <w:rPr>
                <w:sz w:val="1"/>
                <w:szCs w:val="1"/>
                <w:color w:val="auto"/>
              </w:rPr>
            </w:pPr>
          </w:p>
        </w:tc>
      </w:tr>
      <w:tr>
        <w:trPr>
          <w:trHeight w:val="21"/>
        </w:trPr>
        <w:tc>
          <w:tcPr>
            <w:tcW w:w="2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9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Financial Instruments</w:t>
      </w:r>
    </w:p>
    <w:p>
      <w:pPr>
        <w:spacing w:after="0" w:line="96"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 xml:space="preserve">Both </w:t>
      </w:r>
      <w:r>
        <w:rPr>
          <w:rFonts w:ascii="Arial" w:cs="Arial" w:eastAsia="Arial" w:hAnsi="Arial"/>
          <w:sz w:val="16"/>
          <w:szCs w:val="16"/>
          <w:i w:val="1"/>
          <w:iCs w:val="1"/>
          <w:color w:val="auto"/>
        </w:rPr>
        <w:t>Short-term investments</w:t>
      </w:r>
      <w:r>
        <w:rPr>
          <w:rFonts w:ascii="Arial" w:cs="Arial" w:eastAsia="Arial" w:hAnsi="Arial"/>
          <w:sz w:val="16"/>
          <w:szCs w:val="16"/>
          <w:color w:val="auto"/>
        </w:rPr>
        <w:t xml:space="preserve"> and </w:t>
      </w:r>
      <w:r>
        <w:rPr>
          <w:rFonts w:ascii="Arial" w:cs="Arial" w:eastAsia="Arial" w:hAnsi="Arial"/>
          <w:sz w:val="16"/>
          <w:szCs w:val="16"/>
          <w:i w:val="1"/>
          <w:iCs w:val="1"/>
          <w:color w:val="auto"/>
        </w:rPr>
        <w:t>Fixed Income Investments, held to maturity</w:t>
      </w:r>
      <w:r>
        <w:rPr>
          <w:rFonts w:ascii="Arial" w:cs="Arial" w:eastAsia="Arial" w:hAnsi="Arial"/>
          <w:sz w:val="16"/>
          <w:szCs w:val="16"/>
          <w:color w:val="auto"/>
        </w:rPr>
        <w:t xml:space="preserve"> are comprised primarily of money market funds, eurodollar time deposits, certificates of deposits, commercial paper, euro notes and Eurobonds, and are substantially denominated in US dollars. The carrying value of these investments approximates fair value, which was estimated using quoted market prices for those or similar investments.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summary of </w:t>
      </w:r>
      <w:r>
        <w:rPr>
          <w:rFonts w:ascii="Arial" w:cs="Arial" w:eastAsia="Arial" w:hAnsi="Arial"/>
          <w:sz w:val="18"/>
          <w:szCs w:val="18"/>
          <w:i w:val="1"/>
          <w:iCs w:val="1"/>
          <w:color w:val="auto"/>
        </w:rPr>
        <w:t>Other Long-Term Debt</w:t>
      </w:r>
      <w:r>
        <w:rPr>
          <w:rFonts w:ascii="Arial" w:cs="Arial" w:eastAsia="Arial" w:hAnsi="Arial"/>
          <w:sz w:val="18"/>
          <w:szCs w:val="18"/>
          <w:color w:val="auto"/>
        </w:rPr>
        <w:t xml:space="preserve">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5"/>
          </w:tcPr>
          <w:p>
            <w:pPr>
              <w:jc w:val="right"/>
              <w:ind w:right="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61"/>
        </w:trPr>
        <w:tc>
          <w:tcPr>
            <w:tcW w:w="41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Sept. 30, 2009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5"/>
          </w:tcPr>
          <w:p>
            <w:pPr>
              <w:ind w:left="200"/>
              <w:spacing w:after="0"/>
              <w:rPr>
                <w:sz w:val="20"/>
                <w:szCs w:val="20"/>
                <w:color w:val="auto"/>
              </w:rPr>
            </w:pPr>
            <w:r>
              <w:rPr>
                <w:rFonts w:ascii="Arial" w:cs="Arial" w:eastAsia="Arial" w:hAnsi="Arial"/>
                <w:sz w:val="14"/>
                <w:szCs w:val="14"/>
                <w:b w:val="1"/>
                <w:bCs w:val="1"/>
                <w:color w:val="auto"/>
              </w:rPr>
              <w:t>Dec. 31, 2008</w:t>
            </w:r>
          </w:p>
        </w:tc>
        <w:tc>
          <w:tcPr>
            <w:tcW w:w="0" w:type="dxa"/>
            <w:vAlign w:val="bottom"/>
          </w:tcPr>
          <w:p>
            <w:pPr>
              <w:spacing w:after="0"/>
              <w:rPr>
                <w:sz w:val="1"/>
                <w:szCs w:val="1"/>
                <w:color w:val="auto"/>
              </w:rPr>
            </w:pPr>
          </w:p>
        </w:tc>
      </w:tr>
      <w:tr>
        <w:trPr>
          <w:trHeight w:val="129"/>
        </w:trPr>
        <w:tc>
          <w:tcPr>
            <w:tcW w:w="410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54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Carrying</w:t>
            </w:r>
          </w:p>
        </w:tc>
        <w:tc>
          <w:tcPr>
            <w:tcW w:w="3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ind w:right="35"/>
              <w:spacing w:after="0" w:line="129" w:lineRule="exact"/>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90"/>
              </w:rPr>
              <w:t>Carrying</w:t>
            </w:r>
          </w:p>
        </w:tc>
        <w:tc>
          <w:tcPr>
            <w:tcW w:w="3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ind w:left="40"/>
              <w:spacing w:after="0" w:line="129" w:lineRule="exact"/>
              <w:rPr>
                <w:sz w:val="20"/>
                <w:szCs w:val="20"/>
                <w:color w:val="auto"/>
              </w:rPr>
            </w:pPr>
            <w:r>
              <w:rPr>
                <w:rFonts w:ascii="Arial" w:cs="Arial" w:eastAsia="Arial" w:hAnsi="Arial"/>
                <w:sz w:val="14"/>
                <w:szCs w:val="14"/>
                <w:b w:val="1"/>
                <w:bCs w:val="1"/>
                <w:color w:val="auto"/>
              </w:rPr>
              <w:t>Fair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1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0"/>
              </w:rPr>
              <w:t>Value</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0"/>
              </w:rPr>
              <w:t>Amount</w:t>
            </w: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5.25% Guaranteed Notes due 2013</w:t>
            </w:r>
          </w:p>
        </w:tc>
        <w:tc>
          <w:tcPr>
            <w:tcW w:w="4340" w:type="dxa"/>
            <w:vAlign w:val="bottom"/>
            <w:gridSpan w:val="2"/>
            <w:shd w:val="clear" w:color="auto" w:fill="CCEEFF"/>
          </w:tcPr>
          <w:p>
            <w:pPr>
              <w:ind w:left="4220"/>
              <w:spacing w:after="0"/>
              <w:rPr>
                <w:sz w:val="20"/>
                <w:szCs w:val="20"/>
                <w:color w:val="auto"/>
              </w:rPr>
            </w:pPr>
            <w:r>
              <w:rPr>
                <w:rFonts w:ascii="Arial" w:cs="Arial" w:eastAsia="Arial" w:hAnsi="Arial"/>
                <w:sz w:val="18"/>
                <w:szCs w:val="18"/>
                <w:b w:val="1"/>
                <w:bCs w:val="1"/>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779</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714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731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6.50% Notes due 2012</w:t>
            </w: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648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w w:val="79"/>
              </w:rPr>
              <w:t>647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w w:val="79"/>
              </w:rPr>
              <w:t>651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3.00% Guaranteed Notes due 2013</w:t>
            </w:r>
          </w:p>
        </w:tc>
        <w:tc>
          <w:tcPr>
            <w:tcW w:w="4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5.875% Guaranteed Bonds due 2011</w:t>
            </w: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369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w w:val="79"/>
              </w:rPr>
              <w:t>355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w w:val="79"/>
              </w:rPr>
              <w:t>390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5.14% Guaranteed Notes due 2010</w:t>
            </w:r>
          </w:p>
        </w:tc>
        <w:tc>
          <w:tcPr>
            <w:tcW w:w="4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203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209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4.50% Guaranteed Notes due 2014</w:t>
            </w: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1,457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4"/>
              </w:rPr>
              <w:t>1,530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 borrowings</w:t>
            </w:r>
          </w:p>
        </w:tc>
        <w:tc>
          <w:tcPr>
            <w:tcW w:w="4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771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771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Other variable rate debt</w:t>
            </w: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364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w w:val="79"/>
              </w:rPr>
              <w:t>682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w w:val="79"/>
              </w:rPr>
              <w:t>682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0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4,310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4"/>
              </w:rPr>
              <w:t>4,525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3,372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Fair value adjustment—hedging</w:t>
            </w: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0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4,312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4"/>
              </w:rPr>
              <w:t>4,527</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3,372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4220" w:type="dxa"/>
            <w:vAlign w:val="bottom"/>
            <w:vMerge w:val="restart"/>
          </w:tcPr>
          <w:p>
            <w:pPr>
              <w:jc w:val="right"/>
              <w:ind w:right="2432"/>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10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At both September 30, 2009 and December 31, 2008, there were $321 million outstanding of 2.125% Series B Convertible Debentures due June 1, 2023. On June 1, 2010, holders may require Schlumberger to repurchase their Series B debentures for cash. Accordingly, these debentures are classified within </w:t>
      </w:r>
      <w:r>
        <w:rPr>
          <w:rFonts w:ascii="Arial" w:cs="Arial" w:eastAsia="Arial" w:hAnsi="Arial"/>
          <w:sz w:val="16"/>
          <w:szCs w:val="16"/>
          <w:i w:val="1"/>
          <w:iCs w:val="1"/>
          <w:color w:val="auto"/>
        </w:rPr>
        <w:t>Current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Liabilities </w:t>
      </w:r>
      <w:r>
        <w:rPr>
          <w:rFonts w:ascii="Arial" w:cs="Arial" w:eastAsia="Arial" w:hAnsi="Arial"/>
          <w:sz w:val="16"/>
          <w:szCs w:val="16"/>
          <w:color w:val="auto"/>
        </w:rPr>
        <w:t>on the</w:t>
      </w:r>
      <w:r>
        <w:rPr>
          <w:rFonts w:ascii="Arial" w:cs="Arial" w:eastAsia="Arial" w:hAnsi="Arial"/>
          <w:sz w:val="16"/>
          <w:szCs w:val="16"/>
          <w:i w:val="1"/>
          <w:iCs w:val="1"/>
          <w:color w:val="auto"/>
        </w:rPr>
        <w:t xml:space="preserve"> Consolidated Balance Sheet </w:t>
      </w:r>
      <w:r>
        <w:rPr>
          <w:rFonts w:ascii="Arial" w:cs="Arial" w:eastAsia="Arial" w:hAnsi="Arial"/>
          <w:sz w:val="16"/>
          <w:szCs w:val="16"/>
          <w:color w:val="auto"/>
        </w:rPr>
        <w:t>at September 30, 2009. The fair value of these Series B debentures at September 30, 2009 and December 31, 2008</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was $510 million and $398 million, respectively. For further information regarding the debentures refer to Note 11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xml:space="preserve"> included in the Schlumberger Annual Report on Form 10-K for the year ended December 31, 2008.</w:t>
      </w:r>
    </w:p>
    <w:p>
      <w:pPr>
        <w:spacing w:after="0" w:line="1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fair value adjustment presented above represents changes in the fair value of the portion of Schlumberger’s fixed rate debt that is hedged through the use of interest rate swaps.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During the third quarter of 2009, Schlumberger issued $450 million of 3.00% Guaranteed Notes due 2013.</w:t>
      </w:r>
    </w:p>
    <w:p>
      <w:pPr>
        <w:spacing w:after="0" w:line="17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During the first quarter of 2009, Schlumberger entered into a €3.0 billion Euro Medium Term Note program. This program provides for the issuance of various types of debt instruments such as fixed or floating rate notes in Euro, US dollar or other currencies. Schlumberger issued €1.0 billion 4.50% Guaranteed Notes due 2014 in the first quarter of 2009 under this program. Schlumberger entered into agreements to swap these euro notes for US dollars on the date of issue until maturity, effectively making this a US dollar denominated debt on which Schlumberger will pay interest in US dollars at a rate of 4.95%.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Schlumberger’s fixed rate long-term debt was estimated based on quoted market prices.</w:t>
      </w:r>
    </w:p>
    <w:p>
      <w:pPr>
        <w:spacing w:after="0" w:line="246" w:lineRule="exact"/>
        <w:rPr>
          <w:sz w:val="20"/>
          <w:szCs w:val="20"/>
          <w:color w:val="auto"/>
        </w:rPr>
      </w:pPr>
    </w:p>
    <w:p>
      <w:pPr>
        <w:ind w:left="280" w:hanging="272"/>
        <w:spacing w:after="0"/>
        <w:tabs>
          <w:tab w:leader="none" w:pos="2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Income from Continuing Operations before taxes </w:t>
      </w:r>
      <w:r>
        <w:rPr>
          <w:rFonts w:ascii="Arial" w:cs="Arial" w:eastAsia="Arial" w:hAnsi="Arial"/>
          <w:sz w:val="18"/>
          <w:szCs w:val="18"/>
          <w:color w:val="auto"/>
        </w:rPr>
        <w:t>which were subject to US and non-US income taxes was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5"/>
          </w:tcPr>
          <w:p>
            <w:pPr>
              <w:ind w:left="380"/>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161"/>
        </w:trPr>
        <w:tc>
          <w:tcPr>
            <w:tcW w:w="42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4"/>
          </w:tcPr>
          <w:p>
            <w:pPr>
              <w:jc w:val="right"/>
              <w:ind w:right="257"/>
              <w:spacing w:after="0"/>
              <w:rPr>
                <w:sz w:val="20"/>
                <w:szCs w:val="20"/>
                <w:color w:val="auto"/>
              </w:rPr>
            </w:pPr>
            <w:r>
              <w:rPr>
                <w:rFonts w:ascii="Arial" w:cs="Arial" w:eastAsia="Arial" w:hAnsi="Arial"/>
                <w:sz w:val="14"/>
                <w:szCs w:val="14"/>
                <w:b w:val="1"/>
                <w:bCs w:val="1"/>
                <w:color w:val="auto"/>
              </w:rPr>
              <w:t>Third Quarter</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5"/>
          </w:tcPr>
          <w:p>
            <w:pPr>
              <w:ind w:left="30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42"/>
        </w:trPr>
        <w:tc>
          <w:tcPr>
            <w:tcW w:w="42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20"/>
              <w:spacing w:after="0" w:line="142" w:lineRule="exact"/>
              <w:rPr>
                <w:sz w:val="20"/>
                <w:szCs w:val="20"/>
                <w:color w:val="auto"/>
              </w:rPr>
            </w:pPr>
            <w:r>
              <w:rPr>
                <w:rFonts w:ascii="Arial" w:cs="Arial" w:eastAsia="Arial" w:hAnsi="Arial"/>
                <w:sz w:val="14"/>
                <w:szCs w:val="14"/>
                <w:b w:val="1"/>
                <w:bCs w:val="1"/>
                <w:color w:val="auto"/>
                <w:w w:val="89"/>
              </w:rPr>
              <w:t>2009</w:t>
            </w: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2008</w:t>
            </w:r>
          </w:p>
        </w:tc>
        <w:tc>
          <w:tcPr>
            <w:tcW w:w="4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(21)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Outside United States</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84"/>
              </w:rPr>
              <w:t>1,041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1,574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79"/>
              </w:rPr>
              <w:t>2,960</w:t>
            </w:r>
          </w:p>
        </w:tc>
        <w:tc>
          <w:tcPr>
            <w:tcW w:w="3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4,259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980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1,957</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79"/>
              </w:rPr>
              <w:t>2,939</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 xml:space="preserve">During the second quarter of 2009, Schlumberger recorded pretax charges of $73 million in the US and $165 million outside of the US. These charges are included in the above table and are more fully described in Note 2 – </w:t>
      </w:r>
      <w:r>
        <w:rPr>
          <w:rFonts w:ascii="Arial" w:cs="Arial" w:eastAsia="Arial" w:hAnsi="Arial"/>
          <w:sz w:val="18"/>
          <w:szCs w:val="18"/>
          <w:i w:val="1"/>
          <w:iCs w:val="1"/>
          <w:color w:val="auto"/>
        </w:rPr>
        <w:t>Charges</w:t>
      </w:r>
      <w:r>
        <w:rPr>
          <w:rFonts w:ascii="Arial" w:cs="Arial" w:eastAsia="Arial" w:hAnsi="Arial"/>
          <w:sz w:val="18"/>
          <w:szCs w:val="18"/>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deferred tax assets were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w w:val="92"/>
              </w:rPr>
              <w:t>(Stated in millions)</w:t>
            </w:r>
          </w:p>
        </w:tc>
      </w:tr>
      <w:tr>
        <w:trPr>
          <w:trHeight w:val="149"/>
        </w:trPr>
        <w:tc>
          <w:tcPr>
            <w:tcW w:w="794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 30</w:t>
            </w:r>
          </w:p>
        </w:tc>
        <w:tc>
          <w:tcPr>
            <w:tcW w:w="5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 31</w:t>
            </w:r>
          </w:p>
        </w:tc>
      </w:tr>
      <w:tr>
        <w:trPr>
          <w:trHeight w:val="161"/>
        </w:trPr>
        <w:tc>
          <w:tcPr>
            <w:tcW w:w="79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3"/>
              </w:rPr>
              <w:t>2009</w:t>
            </w:r>
          </w:p>
        </w:tc>
        <w:tc>
          <w:tcPr>
            <w:tcW w:w="640" w:type="dxa"/>
            <w:vAlign w:val="bottom"/>
          </w:tcPr>
          <w:p>
            <w:pPr>
              <w:spacing w:after="0"/>
              <w:rPr>
                <w:sz w:val="14"/>
                <w:szCs w:val="14"/>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Postretirement benefits, net</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b w:val="1"/>
                <w:bCs w:val="1"/>
                <w:color w:val="auto"/>
              </w:rPr>
              <w:t>363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w:t>
            </w: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Multiclient seismic data</w:t>
            </w:r>
          </w:p>
        </w:tc>
        <w:tc>
          <w:tcPr>
            <w:tcW w:w="80" w:type="dxa"/>
            <w:vAlign w:val="bottom"/>
          </w:tcPr>
          <w:p>
            <w:pPr>
              <w:spacing w:after="0"/>
              <w:rPr>
                <w:sz w:val="18"/>
                <w:szCs w:val="18"/>
                <w:color w:val="auto"/>
              </w:rPr>
            </w:pPr>
          </w:p>
        </w:tc>
        <w:tc>
          <w:tcPr>
            <w:tcW w:w="1020" w:type="dxa"/>
            <w:vAlign w:val="bottom"/>
            <w:gridSpan w:val="2"/>
          </w:tcPr>
          <w:p>
            <w:pPr>
              <w:jc w:val="right"/>
              <w:ind w:right="572"/>
              <w:spacing w:after="0"/>
              <w:rPr>
                <w:sz w:val="20"/>
                <w:szCs w:val="20"/>
                <w:color w:val="auto"/>
              </w:rPr>
            </w:pPr>
            <w:r>
              <w:rPr>
                <w:rFonts w:ascii="Arial" w:cs="Arial" w:eastAsia="Arial" w:hAnsi="Arial"/>
                <w:sz w:val="18"/>
                <w:szCs w:val="18"/>
                <w:b w:val="1"/>
                <w:bCs w:val="1"/>
                <w:color w:val="auto"/>
              </w:rPr>
              <w:t>110</w:t>
            </w:r>
          </w:p>
        </w:tc>
        <w:tc>
          <w:tcPr>
            <w:tcW w:w="1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b w:val="1"/>
                <w:bCs w:val="1"/>
                <w:color w:val="auto"/>
                <w:w w:val="99"/>
              </w:rPr>
              <w:t>(117)</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(106)</w:t>
            </w:r>
          </w:p>
        </w:tc>
      </w:tr>
      <w:tr>
        <w:trPr>
          <w:trHeight w:val="223"/>
        </w:trPr>
        <w:tc>
          <w:tcPr>
            <w:tcW w:w="7940" w:type="dxa"/>
            <w:vAlign w:val="bottom"/>
          </w:tcPr>
          <w:p>
            <w:pPr>
              <w:spacing w:after="0"/>
              <w:rPr>
                <w:sz w:val="20"/>
                <w:szCs w:val="20"/>
                <w:color w:val="auto"/>
              </w:rPr>
            </w:pPr>
            <w:r>
              <w:rPr>
                <w:rFonts w:ascii="Arial" w:cs="Arial" w:eastAsia="Arial" w:hAnsi="Arial"/>
                <w:sz w:val="18"/>
                <w:szCs w:val="18"/>
                <w:color w:val="auto"/>
              </w:rPr>
              <w:t>Other, net</w:t>
            </w: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r>
      <w:tr>
        <w:trPr>
          <w:trHeight w:val="216"/>
        </w:trPr>
        <w:tc>
          <w:tcPr>
            <w:tcW w:w="7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b w:val="1"/>
                <w:bCs w:val="1"/>
                <w:color w:val="auto"/>
              </w:rPr>
              <w:t>475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w:t>
            </w:r>
          </w:p>
        </w:tc>
      </w:tr>
      <w:tr>
        <w:trPr>
          <w:trHeight w:val="20"/>
        </w:trPr>
        <w:tc>
          <w:tcPr>
            <w:tcW w:w="7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above deferred tax assets at September 30, 2009 and December 31, 2008 are net of valuation allowances relating to net operating losses in certain countries of $245 million and $197 million, respectively. The deferred</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00"/>
          </w:cols>
          <w:pgMar w:left="240" w:top="459" w:right="3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tax assets are also net of valuation allowances relating to a capital loss carryforward of $136 million at September 30, 2009 ($140 million at December 31, 2008), of which $120 million expires in 2009 and $16 million expires in 2010, and a foreign tax credit carryforward of $30 million at September 30, 2009 ($49 million at December 31, 2008) which expires in 2012.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components of consolidated </w:t>
      </w:r>
      <w:r>
        <w:rPr>
          <w:rFonts w:ascii="Arial" w:cs="Arial" w:eastAsia="Arial" w:hAnsi="Arial"/>
          <w:sz w:val="18"/>
          <w:szCs w:val="18"/>
          <w:i w:val="1"/>
          <w:iCs w:val="1"/>
          <w:color w:val="auto"/>
        </w:rPr>
        <w:t>Taxes on income</w:t>
      </w:r>
      <w:r>
        <w:rPr>
          <w:rFonts w:ascii="Arial" w:cs="Arial" w:eastAsia="Arial" w:hAnsi="Arial"/>
          <w:sz w:val="18"/>
          <w:szCs w:val="18"/>
          <w:color w:val="auto"/>
        </w:rPr>
        <w:t xml:space="preserve"> were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gridSpan w:val="5"/>
          </w:tcPr>
          <w:p>
            <w:pPr>
              <w:jc w:val="right"/>
              <w:ind w:right="100"/>
              <w:spacing w:after="0"/>
              <w:rPr>
                <w:sz w:val="20"/>
                <w:szCs w:val="20"/>
                <w:color w:val="auto"/>
              </w:rPr>
            </w:pPr>
            <w:r>
              <w:rPr>
                <w:rFonts w:ascii="Arial" w:cs="Arial" w:eastAsia="Arial" w:hAnsi="Arial"/>
                <w:sz w:val="14"/>
                <w:szCs w:val="14"/>
                <w:i w:val="1"/>
                <w:iCs w:val="1"/>
                <w:color w:val="auto"/>
                <w:w w:val="92"/>
              </w:rPr>
              <w:t>(Stated in millions)</w:t>
            </w:r>
          </w:p>
        </w:tc>
        <w:tc>
          <w:tcPr>
            <w:tcW w:w="0" w:type="dxa"/>
            <w:vAlign w:val="bottom"/>
          </w:tcPr>
          <w:p>
            <w:pPr>
              <w:spacing w:after="0"/>
              <w:rPr>
                <w:sz w:val="1"/>
                <w:szCs w:val="1"/>
                <w:color w:val="auto"/>
              </w:rPr>
            </w:pPr>
          </w:p>
        </w:tc>
      </w:tr>
      <w:tr>
        <w:trPr>
          <w:trHeight w:val="161"/>
        </w:trPr>
        <w:tc>
          <w:tcPr>
            <w:tcW w:w="7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Third Quarter</w:t>
            </w:r>
          </w:p>
        </w:tc>
        <w:tc>
          <w:tcPr>
            <w:tcW w:w="260" w:type="dxa"/>
            <w:vAlign w:val="bottom"/>
          </w:tcPr>
          <w:p>
            <w:pPr>
              <w:spacing w:after="0"/>
              <w:rPr>
                <w:sz w:val="14"/>
                <w:szCs w:val="14"/>
                <w:color w:val="auto"/>
              </w:rPr>
            </w:pPr>
          </w:p>
        </w:tc>
        <w:tc>
          <w:tcPr>
            <w:tcW w:w="16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42"/>
        </w:trPr>
        <w:tc>
          <w:tcPr>
            <w:tcW w:w="7020" w:type="dxa"/>
            <w:vAlign w:val="bottom"/>
          </w:tcPr>
          <w:p>
            <w:pPr>
              <w:spacing w:after="0"/>
              <w:rPr>
                <w:sz w:val="12"/>
                <w:szCs w:val="12"/>
                <w:color w:val="auto"/>
              </w:rPr>
            </w:pPr>
          </w:p>
        </w:tc>
        <w:tc>
          <w:tcPr>
            <w:tcW w:w="3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440"/>
              <w:spacing w:after="0"/>
              <w:rPr>
                <w:sz w:val="20"/>
                <w:szCs w:val="20"/>
                <w:color w:val="auto"/>
              </w:rPr>
            </w:pPr>
            <w:r>
              <w:rPr>
                <w:rFonts w:ascii="Arial" w:cs="Arial" w:eastAsia="Arial" w:hAnsi="Arial"/>
                <w:sz w:val="18"/>
                <w:szCs w:val="18"/>
                <w:color w:val="auto"/>
              </w:rPr>
              <w:t>United States - Federal</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w w:val="99"/>
              </w:rPr>
              <w:t>(67)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120</w:t>
            </w:r>
          </w:p>
        </w:tc>
        <w:tc>
          <w:tcPr>
            <w:tcW w:w="320" w:type="dxa"/>
            <w:vAlign w:val="bottom"/>
          </w:tcPr>
          <w:p>
            <w:pPr>
              <w:spacing w:after="0"/>
              <w:rPr>
                <w:sz w:val="18"/>
                <w:szCs w:val="18"/>
                <w:color w:val="auto"/>
              </w:rPr>
            </w:pPr>
          </w:p>
        </w:tc>
        <w:tc>
          <w:tcPr>
            <w:tcW w:w="1000" w:type="dxa"/>
            <w:vAlign w:val="bottom"/>
            <w:gridSpan w:val="3"/>
          </w:tcPr>
          <w:p>
            <w:pPr>
              <w:jc w:val="right"/>
              <w:ind w:right="192"/>
              <w:spacing w:after="0"/>
              <w:rPr>
                <w:sz w:val="20"/>
                <w:szCs w:val="20"/>
                <w:color w:val="auto"/>
              </w:rPr>
            </w:pPr>
            <w:r>
              <w:rPr>
                <w:rFonts w:ascii="Arial" w:cs="Arial" w:eastAsia="Arial" w:hAnsi="Arial"/>
                <w:sz w:val="18"/>
                <w:szCs w:val="18"/>
                <w:b w:val="1"/>
                <w:bCs w:val="1"/>
                <w:color w:val="auto"/>
              </w:rPr>
              <w:t>$(122)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United States - State</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7020" w:type="dxa"/>
            <w:vAlign w:val="bottom"/>
          </w:tcPr>
          <w:p>
            <w:pPr>
              <w:ind w:left="440"/>
              <w:spacing w:after="0"/>
              <w:rPr>
                <w:sz w:val="20"/>
                <w:szCs w:val="20"/>
                <w:color w:val="auto"/>
              </w:rPr>
            </w:pPr>
            <w:r>
              <w:rPr>
                <w:rFonts w:ascii="Arial" w:cs="Arial" w:eastAsia="Arial" w:hAnsi="Arial"/>
                <w:sz w:val="18"/>
                <w:szCs w:val="18"/>
                <w:color w:val="auto"/>
              </w:rPr>
              <w:t>Outside United States</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280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414</w:t>
            </w:r>
          </w:p>
        </w:tc>
        <w:tc>
          <w:tcPr>
            <w:tcW w:w="3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$ 337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1,105</w:t>
            </w:r>
          </w:p>
        </w:tc>
        <w:tc>
          <w:tcPr>
            <w:tcW w:w="0" w:type="dxa"/>
            <w:vAlign w:val="bottom"/>
          </w:tcPr>
          <w:p>
            <w:pPr>
              <w:spacing w:after="0"/>
              <w:rPr>
                <w:sz w:val="1"/>
                <w:szCs w:val="1"/>
                <w:color w:val="auto"/>
              </w:rPr>
            </w:pPr>
          </w:p>
        </w:tc>
      </w:tr>
      <w:tr>
        <w:trPr>
          <w:trHeight w:val="222"/>
        </w:trPr>
        <w:tc>
          <w:tcPr>
            <w:tcW w:w="7020" w:type="dxa"/>
            <w:vAlign w:val="bottom"/>
          </w:tcPr>
          <w:p>
            <w:pPr>
              <w:spacing w:after="0"/>
              <w:rPr>
                <w:sz w:val="20"/>
                <w:szCs w:val="20"/>
                <w:color w:val="auto"/>
              </w:rPr>
            </w:pPr>
            <w:r>
              <w:rPr>
                <w:rFonts w:ascii="Arial" w:cs="Arial" w:eastAsia="Arial" w:hAnsi="Arial"/>
                <w:sz w:val="18"/>
                <w:szCs w:val="18"/>
                <w:color w:val="auto"/>
              </w:rPr>
              <w:t>Deferred:</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United States - Federal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$ 147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7020" w:type="dxa"/>
            <w:vAlign w:val="bottom"/>
          </w:tcPr>
          <w:p>
            <w:pPr>
              <w:ind w:left="440"/>
              <w:spacing w:after="0"/>
              <w:rPr>
                <w:sz w:val="20"/>
                <w:szCs w:val="20"/>
                <w:color w:val="auto"/>
              </w:rPr>
            </w:pPr>
            <w:r>
              <w:rPr>
                <w:rFonts w:ascii="Arial" w:cs="Arial" w:eastAsia="Arial" w:hAnsi="Arial"/>
                <w:sz w:val="18"/>
                <w:szCs w:val="18"/>
                <w:color w:val="auto"/>
              </w:rPr>
              <w:t>United States - State</w:t>
            </w:r>
          </w:p>
        </w:tc>
        <w:tc>
          <w:tcPr>
            <w:tcW w:w="10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w:t>
            </w:r>
          </w:p>
        </w:tc>
        <w:tc>
          <w:tcPr>
            <w:tcW w:w="1000" w:type="dxa"/>
            <w:vAlign w:val="bottom"/>
            <w:gridSpan w:val="3"/>
          </w:tcPr>
          <w:p>
            <w:pPr>
              <w:jc w:val="right"/>
              <w:ind w:right="252"/>
              <w:spacing w:after="0"/>
              <w:rPr>
                <w:sz w:val="20"/>
                <w:szCs w:val="20"/>
                <w:color w:val="auto"/>
              </w:rPr>
            </w:pPr>
            <w:r>
              <w:rPr>
                <w:rFonts w:ascii="Arial" w:cs="Arial" w:eastAsia="Arial" w:hAnsi="Arial"/>
                <w:sz w:val="18"/>
                <w:szCs w:val="18"/>
                <w:b w:val="1"/>
                <w:bCs w:val="1"/>
                <w:color w:val="auto"/>
              </w:rPr>
              <w:t>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Outside United States</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(14)</w:t>
            </w:r>
          </w:p>
        </w:tc>
        <w:tc>
          <w:tcPr>
            <w:tcW w:w="100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88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7020" w:type="dxa"/>
            <w:vAlign w:val="bottom"/>
          </w:tcPr>
          <w:p>
            <w:pPr>
              <w:ind w:left="440"/>
              <w:spacing w:after="0"/>
              <w:rPr>
                <w:sz w:val="20"/>
                <w:szCs w:val="20"/>
                <w:color w:val="auto"/>
              </w:rPr>
            </w:pPr>
            <w:r>
              <w:rPr>
                <w:rFonts w:ascii="Arial" w:cs="Arial" w:eastAsia="Arial" w:hAnsi="Arial"/>
                <w:sz w:val="18"/>
                <w:szCs w:val="18"/>
                <w:color w:val="auto"/>
              </w:rPr>
              <w:t>Valuation allowance</w:t>
            </w: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1000" w:type="dxa"/>
            <w:vAlign w:val="bottom"/>
            <w:gridSpan w:val="3"/>
          </w:tcPr>
          <w:p>
            <w:pPr>
              <w:jc w:val="right"/>
              <w:ind w:right="252"/>
              <w:spacing w:after="0"/>
              <w:rPr>
                <w:sz w:val="20"/>
                <w:szCs w:val="20"/>
                <w:color w:val="auto"/>
              </w:rPr>
            </w:pPr>
            <w:r>
              <w:rPr>
                <w:rFonts w:ascii="Arial" w:cs="Arial" w:eastAsia="Arial" w:hAnsi="Arial"/>
                <w:sz w:val="18"/>
                <w:szCs w:val="18"/>
                <w:b w:val="1"/>
                <w:bCs w:val="1"/>
                <w:color w:val="auto"/>
              </w:rPr>
              <w:t>16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177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$ 258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Arial" w:cs="Arial" w:eastAsia="Arial" w:hAnsi="Arial"/>
                <w:sz w:val="18"/>
                <w:szCs w:val="18"/>
                <w:color w:val="auto"/>
              </w:rPr>
              <w:t>Consolidated taxes on income</w:t>
            </w: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86"/>
              </w:rPr>
              <w:t>191</w:t>
            </w:r>
          </w:p>
        </w:tc>
        <w:tc>
          <w:tcPr>
            <w:tcW w:w="20" w:type="dxa"/>
            <w:vAlign w:val="bottom"/>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418</w:t>
            </w:r>
          </w:p>
        </w:tc>
        <w:tc>
          <w:tcPr>
            <w:tcW w:w="32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$ 595</w:t>
            </w:r>
          </w:p>
        </w:tc>
        <w:tc>
          <w:tcPr>
            <w:tcW w:w="320" w:type="dxa"/>
            <w:vAlign w:val="bottom"/>
            <w:vMerge w:val="continue"/>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1,104</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US statutory federal tax rate of 35% to the consolidated effective income tax rate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180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Third Quarter</w:t>
            </w:r>
          </w:p>
        </w:tc>
        <w:tc>
          <w:tcPr>
            <w:tcW w:w="13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4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62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2008</w:t>
            </w:r>
          </w:p>
        </w:tc>
        <w:tc>
          <w:tcPr>
            <w:tcW w:w="60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2009</w:t>
            </w:r>
          </w:p>
        </w:tc>
        <w:tc>
          <w:tcPr>
            <w:tcW w:w="4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US federal statutory rate</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35%</w:t>
            </w: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35%</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US state income taxes</w:t>
            </w:r>
          </w:p>
        </w:tc>
        <w:tc>
          <w:tcPr>
            <w:tcW w:w="90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600" w:type="dxa"/>
            <w:vAlign w:val="bottom"/>
          </w:tcPr>
          <w:p>
            <w:pPr>
              <w:spacing w:after="0"/>
              <w:rPr>
                <w:sz w:val="18"/>
                <w:szCs w:val="18"/>
                <w:color w:val="auto"/>
              </w:rPr>
            </w:pPr>
          </w:p>
        </w:tc>
        <w:tc>
          <w:tcPr>
            <w:tcW w:w="6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88"/>
              </w:rPr>
              <w:t>—</w:t>
            </w:r>
          </w:p>
        </w:tc>
        <w:tc>
          <w:tcPr>
            <w:tcW w:w="220" w:type="dxa"/>
            <w:vAlign w:val="bottom"/>
          </w:tcPr>
          <w:p>
            <w:pPr>
              <w:spacing w:after="0"/>
              <w:rPr>
                <w:sz w:val="18"/>
                <w:szCs w:val="18"/>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Non-US income taxed at different rates</w:t>
            </w:r>
          </w:p>
        </w:tc>
        <w:tc>
          <w:tcPr>
            <w:tcW w:w="9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w w:val="99"/>
              </w:rPr>
              <w:t>(14)</w:t>
            </w: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w:t>
            </w: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3"/>
              </w:rPr>
              <w:t>(14)</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Effect of equity method investment</w:t>
            </w:r>
          </w:p>
        </w:tc>
        <w:tc>
          <w:tcPr>
            <w:tcW w:w="90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w w:val="99"/>
              </w:rPr>
              <w:t>—</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color w:val="auto"/>
              </w:rPr>
              <w:t>(1)</w:t>
            </w:r>
          </w:p>
        </w:tc>
        <w:tc>
          <w:tcPr>
            <w:tcW w:w="6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88"/>
              </w:rPr>
              <w:t>—</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Charges</w:t>
            </w:r>
          </w:p>
        </w:tc>
        <w:tc>
          <w:tcPr>
            <w:tcW w:w="9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w w:val="99"/>
              </w:rPr>
              <w:t>—</w:t>
            </w:r>
          </w:p>
        </w:tc>
        <w:tc>
          <w:tcPr>
            <w:tcW w:w="9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Other</w:t>
            </w:r>
          </w:p>
        </w:tc>
        <w:tc>
          <w:tcPr>
            <w:tcW w:w="9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(2)</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color w:val="auto"/>
              </w:rPr>
              <w:t>(2)</w:t>
            </w:r>
          </w:p>
        </w:tc>
        <w:tc>
          <w:tcPr>
            <w:tcW w:w="6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19%</w:t>
            </w: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80" w:hanging="272"/>
        <w:spacing w:after="0"/>
        <w:tabs>
          <w:tab w:leader="none" w:pos="2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Contingencies</w:t>
      </w:r>
    </w:p>
    <w:p>
      <w:pPr>
        <w:spacing w:after="0" w:line="96"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In 2007, Schlumberger received an inquiry from the United States Department of Justice (“DOJ”) related to the DOJ’s investigation of whether certain freight forwarding and customs clearance services of Panalpina, Inc., and other companies provided to oil and oilfield service companies, including Schlumberger, violated the Foreign Corrupt Practices Act. Schlumberger is cooperating with the DOJ and is currently continuing its own investigation with respect to these services.</w:t>
      </w:r>
    </w:p>
    <w:p>
      <w:pPr>
        <w:spacing w:after="0" w:line="143"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2009, Schlumberger learned that United States officials are currently conducting a grand jury investigation and an associated inquiry, both related to certain Schlumberger operations in specified countries that are subject to United States trade and economic sanctions. Schlumberger is cooperating with the governmental authorities and is currently unable to predict the outcome of these matters.</w:t>
      </w:r>
    </w:p>
    <w:p>
      <w:pPr>
        <w:spacing w:after="0" w:line="14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During 1999, Schlumberger completed the spin-off of its offshore contract drilling business, Sedco Forex, to its stockholders and the subsequent merger of Sedco Forex and Transocean. Following the merger of Sedco Forex</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and Transocean, Brazilian subsidiaries of Transocean and Schlumberger became involved in legal proceedings regarding import duties related to a Transocean rig previously owned by Schlumberger. In 2004, the Brazilian customs authorities issued an assessment against Transocean’s subsidiary. During the third quarter of 2009, Transocean received an unfavorable ruling from the appellate court in Brazil. The appellate court further found Schlumberger to be jointly and severally liable with Transocean for the import duties.</w:t>
      </w:r>
    </w:p>
    <w:p>
      <w:pPr>
        <w:spacing w:after="0" w:line="14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At September 30, 2009, the US dollar equivalent of the customs assessment was approximately $200 million. Transocean has stated that it considers any assessment to be solely the responsibility of Schlumberger and has initiated proceedings against Schlumberger in the United States seeking a declaratory judgment to this effect. Schlumberger is currently evaluating its potential options. Any liability that might ensue from this matter is not expected to be material in relation to Schlumberger’s consolidated liquidity or financial position. Furthermore, any liability that may result would be recorded within Discontinued Operations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14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Schlumberger and its subsidiaries are party to various other legal proceedings from time to time. A liability is accrued when a loss is both probable and can be reasonably estimated. At this time the ultimate disposition of these proceedings is not determinable and therefore, it is not possible to estimate the amount of loss or range of possible losses that might result from an adverse judgment or settlement in any of these matters. However, in the opinion of management, any liability that might ensue would not be material in relation to Schlumberger’s consolidated liquidity, financial position or future results of operations.</w:t>
      </w:r>
    </w:p>
    <w:p>
      <w:pPr>
        <w:spacing w:after="0" w:line="188" w:lineRule="exact"/>
        <w:rPr>
          <w:sz w:val="20"/>
          <w:szCs w:val="20"/>
          <w:color w:val="auto"/>
        </w:rPr>
      </w:pPr>
    </w:p>
    <w:p>
      <w:pPr>
        <w:ind w:left="280" w:hanging="272"/>
        <w:spacing w:after="0"/>
        <w:tabs>
          <w:tab w:leader="none" w:pos="2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Schlumberger operates two business segments: Oilfield Services and WesternGeco.</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6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Third Quarter 2009</w:t>
            </w:r>
          </w:p>
        </w:tc>
        <w:tc>
          <w:tcPr>
            <w:tcW w:w="19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Third Quarter 2008</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54"/>
              <w:spacing w:after="0" w:line="129" w:lineRule="exact"/>
              <w:rPr>
                <w:sz w:val="20"/>
                <w:szCs w:val="20"/>
                <w:color w:val="auto"/>
              </w:rPr>
            </w:pPr>
            <w:r>
              <w:rPr>
                <w:rFonts w:ascii="Arial" w:cs="Arial" w:eastAsia="Arial" w:hAnsi="Arial"/>
                <w:sz w:val="14"/>
                <w:szCs w:val="14"/>
                <w:b w:val="1"/>
                <w:bCs w:val="1"/>
                <w:color w:val="auto"/>
                <w:w w:val="85"/>
              </w:rPr>
              <w:t>Income</w:t>
            </w:r>
          </w:p>
        </w:tc>
        <w:tc>
          <w:tcPr>
            <w:tcW w:w="66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54"/>
              <w:spacing w:after="0" w:line="129" w:lineRule="exact"/>
              <w:rPr>
                <w:sz w:val="20"/>
                <w:szCs w:val="20"/>
                <w:color w:val="auto"/>
              </w:rPr>
            </w:pPr>
            <w:r>
              <w:rPr>
                <w:rFonts w:ascii="Arial" w:cs="Arial" w:eastAsia="Arial" w:hAnsi="Arial"/>
                <w:sz w:val="14"/>
                <w:szCs w:val="14"/>
                <w:b w:val="1"/>
                <w:bCs w:val="1"/>
                <w:color w:val="auto"/>
                <w:w w:val="89"/>
              </w:rPr>
              <w:t>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82"/>
              </w:rPr>
              <w:t>Revenue</w:t>
            </w:r>
          </w:p>
        </w:tc>
        <w:tc>
          <w:tcPr>
            <w:tcW w:w="64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before taxes</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2"/>
              </w:rPr>
              <w:t>Revenue</w:t>
            </w:r>
          </w:p>
        </w:tc>
        <w:tc>
          <w:tcPr>
            <w:tcW w:w="66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94"/>
              </w:rPr>
              <w:t>before taxes</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40" w:type="dxa"/>
            <w:vAlign w:val="bottom"/>
            <w:gridSpan w:val="2"/>
          </w:tcPr>
          <w:p>
            <w:pPr>
              <w:ind w:left="440"/>
              <w:spacing w:after="0"/>
              <w:rPr>
                <w:sz w:val="20"/>
                <w:szCs w:val="20"/>
                <w:color w:val="auto"/>
              </w:rPr>
            </w:pPr>
            <w:r>
              <w:rPr>
                <w:rFonts w:ascii="Arial" w:cs="Arial" w:eastAsia="Arial" w:hAnsi="Arial"/>
                <w:sz w:val="18"/>
                <w:szCs w:val="18"/>
                <w:color w:val="auto"/>
              </w:rPr>
              <w:t>North America</w:t>
            </w:r>
          </w:p>
        </w:tc>
        <w:tc>
          <w:tcPr>
            <w:tcW w:w="80" w:type="dxa"/>
            <w:vAlign w:val="bottom"/>
          </w:tcPr>
          <w:p>
            <w:pPr>
              <w:spacing w:after="0"/>
              <w:rPr>
                <w:sz w:val="20"/>
                <w:szCs w:val="20"/>
                <w:color w:val="auto"/>
              </w:rPr>
            </w:pPr>
            <w:r>
              <w:rPr>
                <w:rFonts w:ascii="Arial" w:cs="Arial" w:eastAsia="Arial" w:hAnsi="Arial"/>
                <w:sz w:val="15"/>
                <w:szCs w:val="15"/>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823</w:t>
            </w:r>
          </w:p>
        </w:tc>
        <w:tc>
          <w:tcPr>
            <w:tcW w:w="760" w:type="dxa"/>
            <w:vAlign w:val="bottom"/>
            <w:gridSpan w:val="2"/>
          </w:tcPr>
          <w:p>
            <w:pPr>
              <w:ind w:left="640"/>
              <w:spacing w:after="0"/>
              <w:rPr>
                <w:sz w:val="20"/>
                <w:szCs w:val="20"/>
                <w:color w:val="auto"/>
              </w:rPr>
            </w:pPr>
            <w:r>
              <w:rPr>
                <w:rFonts w:ascii="Arial" w:cs="Arial" w:eastAsia="Arial" w:hAnsi="Arial"/>
                <w:sz w:val="18"/>
                <w:szCs w:val="18"/>
                <w:b w:val="1"/>
                <w:bCs w:val="1"/>
                <w:color w:val="auto"/>
                <w:w w:val="99"/>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28</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$1,500</w:t>
            </w:r>
          </w:p>
        </w:tc>
        <w:tc>
          <w:tcPr>
            <w:tcW w:w="760" w:type="dxa"/>
            <w:vAlign w:val="bottom"/>
            <w:gridSpan w:val="2"/>
          </w:tcPr>
          <w:p>
            <w:pPr>
              <w:ind w:left="66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Latin America</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1,071</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197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40" w:type="dxa"/>
            <w:vAlign w:val="bottom"/>
            <w:gridSpan w:val="2"/>
          </w:tcPr>
          <w:p>
            <w:pPr>
              <w:ind w:left="440"/>
              <w:spacing w:after="0"/>
              <w:rPr>
                <w:sz w:val="20"/>
                <w:szCs w:val="20"/>
                <w:color w:val="auto"/>
              </w:rPr>
            </w:pPr>
            <w:r>
              <w:rPr>
                <w:rFonts w:ascii="Arial" w:cs="Arial" w:eastAsia="Arial" w:hAnsi="Arial"/>
                <w:sz w:val="18"/>
                <w:szCs w:val="18"/>
                <w:color w:val="auto"/>
              </w:rPr>
              <w:t>Europe/CIS/Africa</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1,782</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422</w:t>
            </w:r>
          </w:p>
        </w:tc>
        <w:tc>
          <w:tcPr>
            <w:tcW w:w="500" w:type="dxa"/>
            <w:vAlign w:val="bottom"/>
          </w:tcPr>
          <w:p>
            <w:pPr>
              <w:jc w:val="right"/>
              <w:spacing w:after="0"/>
              <w:rPr>
                <w:sz w:val="20"/>
                <w:szCs w:val="20"/>
                <w:color w:val="auto"/>
              </w:rPr>
            </w:pPr>
            <w:r>
              <w:rPr>
                <w:rFonts w:ascii="Arial" w:cs="Arial" w:eastAsia="Arial" w:hAnsi="Arial"/>
                <w:sz w:val="18"/>
                <w:szCs w:val="18"/>
                <w:color w:val="auto"/>
              </w:rPr>
              <w:t>2,165</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Middle East &amp; Asia</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1,233</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391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4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4</w:t>
            </w:r>
          </w:p>
        </w:tc>
        <w:tc>
          <w:tcPr>
            <w:tcW w:w="500" w:type="dxa"/>
            <w:vAlign w:val="bottom"/>
          </w:tcPr>
          <w:p>
            <w:pPr>
              <w:jc w:val="right"/>
              <w:spacing w:after="0"/>
              <w:rPr>
                <w:sz w:val="20"/>
                <w:szCs w:val="20"/>
                <w:color w:val="auto"/>
              </w:rPr>
            </w:pPr>
            <w:r>
              <w:rPr>
                <w:rFonts w:ascii="Arial" w:cs="Arial" w:eastAsia="Arial" w:hAnsi="Arial"/>
                <w:sz w:val="18"/>
                <w:szCs w:val="18"/>
                <w:color w:val="auto"/>
              </w:rPr>
              <w:t>55</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4,953</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1,042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1,699</w:t>
            </w:r>
          </w:p>
        </w:tc>
        <w:tc>
          <w:tcPr>
            <w:tcW w:w="0" w:type="dxa"/>
            <w:vAlign w:val="bottom"/>
          </w:tcPr>
          <w:p>
            <w:pPr>
              <w:spacing w:after="0"/>
              <w:rPr>
                <w:sz w:val="1"/>
                <w:szCs w:val="1"/>
                <w:color w:val="auto"/>
              </w:rPr>
            </w:pPr>
          </w:p>
        </w:tc>
      </w:tr>
      <w:tr>
        <w:trPr>
          <w:trHeight w:val="228"/>
        </w:trPr>
        <w:tc>
          <w:tcPr>
            <w:tcW w:w="46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WesternGeco</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463</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61</w:t>
            </w:r>
          </w:p>
        </w:tc>
        <w:tc>
          <w:tcPr>
            <w:tcW w:w="500" w:type="dxa"/>
            <w:vAlign w:val="bottom"/>
          </w:tcPr>
          <w:p>
            <w:pPr>
              <w:jc w:val="right"/>
              <w:spacing w:after="0"/>
              <w:rPr>
                <w:sz w:val="20"/>
                <w:szCs w:val="20"/>
                <w:color w:val="auto"/>
              </w:rPr>
            </w:pPr>
            <w:r>
              <w:rPr>
                <w:rFonts w:ascii="Arial" w:cs="Arial" w:eastAsia="Arial" w:hAnsi="Arial"/>
                <w:sz w:val="18"/>
                <w:szCs w:val="18"/>
                <w:color w:val="auto"/>
              </w:rPr>
              <w:t>892</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96"/>
        </w:trPr>
        <w:tc>
          <w:tcPr>
            <w:tcW w:w="46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5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Corporate &amp; Other</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(87)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11"/>
                <w:szCs w:val="11"/>
                <w:b w:val="1"/>
                <w:bCs w:val="1"/>
                <w:color w:val="auto"/>
              </w:rPr>
              <w:t>(1)</w:t>
            </w:r>
          </w:p>
        </w:tc>
        <w:tc>
          <w:tcPr>
            <w:tcW w:w="80" w:type="dxa"/>
            <w:vAlign w:val="bottom"/>
          </w:tcPr>
          <w:p>
            <w:pPr>
              <w:spacing w:after="0"/>
              <w:rPr>
                <w:sz w:val="18"/>
                <w:szCs w:val="18"/>
                <w:color w:val="auto"/>
              </w:rPr>
            </w:pPr>
          </w:p>
        </w:tc>
        <w:tc>
          <w:tcPr>
            <w:tcW w:w="420" w:type="dxa"/>
            <w:vAlign w:val="bottom"/>
          </w:tcPr>
          <w:p>
            <w:pPr>
              <w:jc w:val="right"/>
              <w:ind w:right="14"/>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13</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1"/>
                <w:szCs w:val="11"/>
                <w:b w:val="1"/>
                <w:bCs w:val="1"/>
                <w:color w:val="auto"/>
              </w:rPr>
              <w:t>(2)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(49)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b w:val="1"/>
                <w:bCs w:val="1"/>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5,430</w:t>
            </w:r>
          </w:p>
        </w:tc>
        <w:tc>
          <w:tcPr>
            <w:tcW w:w="64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980</w:t>
            </w:r>
          </w:p>
        </w:tc>
        <w:tc>
          <w:tcPr>
            <w:tcW w:w="66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7,259</w:t>
            </w:r>
          </w:p>
        </w:tc>
        <w:tc>
          <w:tcPr>
            <w:tcW w:w="760" w:type="dxa"/>
            <w:vAlign w:val="bottom"/>
            <w:gridSpan w:val="2"/>
          </w:tcPr>
          <w:p>
            <w:pPr>
              <w:ind w:left="66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1,957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Excludes interest income included in the segment results ($2 million in 2009; $3 million in 2008).</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Excludes interest expense included in the segment results ($5 million in 2009; $9 million in 2008).</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Nine Months 2009</w:t>
            </w:r>
          </w:p>
        </w:tc>
        <w:tc>
          <w:tcPr>
            <w:tcW w:w="100" w:type="dxa"/>
            <w:vAlign w:val="bottom"/>
          </w:tcPr>
          <w:p>
            <w:pPr>
              <w:spacing w:after="0"/>
              <w:rPr>
                <w:sz w:val="14"/>
                <w:szCs w:val="14"/>
                <w:color w:val="auto"/>
              </w:rPr>
            </w:pPr>
          </w:p>
        </w:tc>
        <w:tc>
          <w:tcPr>
            <w:tcW w:w="18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Nine Months 2008</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54"/>
              <w:spacing w:after="0" w:line="129" w:lineRule="exact"/>
              <w:rPr>
                <w:sz w:val="20"/>
                <w:szCs w:val="20"/>
                <w:color w:val="auto"/>
              </w:rPr>
            </w:pPr>
            <w:r>
              <w:rPr>
                <w:rFonts w:ascii="Arial" w:cs="Arial" w:eastAsia="Arial" w:hAnsi="Arial"/>
                <w:sz w:val="14"/>
                <w:szCs w:val="14"/>
                <w:b w:val="1"/>
                <w:bCs w:val="1"/>
                <w:color w:val="auto"/>
                <w:w w:val="85"/>
              </w:rPr>
              <w:t>Income</w:t>
            </w:r>
          </w:p>
        </w:tc>
        <w:tc>
          <w:tcPr>
            <w:tcW w:w="5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54"/>
              <w:spacing w:after="0" w:line="129" w:lineRule="exact"/>
              <w:rPr>
                <w:sz w:val="20"/>
                <w:szCs w:val="20"/>
                <w:color w:val="auto"/>
              </w:rPr>
            </w:pPr>
            <w:r>
              <w:rPr>
                <w:rFonts w:ascii="Arial" w:cs="Arial" w:eastAsia="Arial" w:hAnsi="Arial"/>
                <w:sz w:val="14"/>
                <w:szCs w:val="14"/>
                <w:b w:val="1"/>
                <w:bCs w:val="1"/>
                <w:color w:val="auto"/>
                <w:w w:val="89"/>
              </w:rPr>
              <w:t>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Revenue</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before taxes</w:t>
            </w: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Revenue</w:t>
            </w:r>
          </w:p>
        </w:tc>
        <w:tc>
          <w:tcPr>
            <w:tcW w:w="58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94"/>
              </w:rPr>
              <w:t>before taxes</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20" w:type="dxa"/>
            <w:vAlign w:val="bottom"/>
            <w:gridSpan w:val="2"/>
          </w:tcPr>
          <w:p>
            <w:pPr>
              <w:ind w:left="440"/>
              <w:spacing w:after="0"/>
              <w:rPr>
                <w:sz w:val="20"/>
                <w:szCs w:val="20"/>
                <w:color w:val="auto"/>
              </w:rPr>
            </w:pPr>
            <w:r>
              <w:rPr>
                <w:rFonts w:ascii="Arial" w:cs="Arial" w:eastAsia="Arial" w:hAnsi="Arial"/>
                <w:sz w:val="18"/>
                <w:szCs w:val="18"/>
                <w:color w:val="auto"/>
              </w:rPr>
              <w:t>North America</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2,833</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198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4,357</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Latin America</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3,095</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575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20" w:type="dxa"/>
            <w:vAlign w:val="bottom"/>
            <w:gridSpan w:val="2"/>
          </w:tcPr>
          <w:p>
            <w:pPr>
              <w:ind w:left="440"/>
              <w:spacing w:after="0"/>
              <w:rPr>
                <w:sz w:val="20"/>
                <w:szCs w:val="20"/>
                <w:color w:val="auto"/>
              </w:rPr>
            </w:pPr>
            <w:r>
              <w:rPr>
                <w:rFonts w:ascii="Arial" w:cs="Arial" w:eastAsia="Arial" w:hAnsi="Arial"/>
                <w:sz w:val="18"/>
                <w:szCs w:val="18"/>
                <w:color w:val="auto"/>
              </w:rPr>
              <w:t>Europe/CIS/Africa</w:t>
            </w:r>
          </w:p>
        </w:tc>
        <w:tc>
          <w:tcPr>
            <w:tcW w:w="8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5,367</w:t>
            </w:r>
          </w:p>
        </w:tc>
        <w:tc>
          <w:tcPr>
            <w:tcW w:w="12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1,321</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6,132</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Middle East &amp; Asia</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3,920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1,268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2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134</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(42)</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15,349</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3,320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18,027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4,905</w:t>
            </w:r>
          </w:p>
        </w:tc>
        <w:tc>
          <w:tcPr>
            <w:tcW w:w="0" w:type="dxa"/>
            <w:vAlign w:val="bottom"/>
          </w:tcPr>
          <w:p>
            <w:pPr>
              <w:spacing w:after="0"/>
              <w:rPr>
                <w:sz w:val="1"/>
                <w:szCs w:val="1"/>
                <w:color w:val="auto"/>
              </w:rPr>
            </w:pPr>
          </w:p>
        </w:tc>
      </w:tr>
      <w:tr>
        <w:trPr>
          <w:trHeight w:val="228"/>
        </w:trPr>
        <w:tc>
          <w:tcPr>
            <w:tcW w:w="460" w:type="dxa"/>
            <w:vAlign w:val="bottom"/>
          </w:tcPr>
          <w:p>
            <w:pPr>
              <w:spacing w:after="0"/>
              <w:rPr>
                <w:sz w:val="19"/>
                <w:szCs w:val="19"/>
                <w:color w:val="auto"/>
              </w:rPr>
            </w:pPr>
          </w:p>
        </w:tc>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WesternGeco</w:t>
            </w:r>
          </w:p>
        </w:tc>
        <w:tc>
          <w:tcPr>
            <w:tcW w:w="80" w:type="dxa"/>
            <w:vAlign w:val="bottom"/>
          </w:tcPr>
          <w:p>
            <w:pPr>
              <w:spacing w:after="0"/>
              <w:rPr>
                <w:sz w:val="19"/>
                <w:szCs w:val="19"/>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1,573</w:t>
            </w:r>
          </w:p>
        </w:tc>
        <w:tc>
          <w:tcPr>
            <w:tcW w:w="120" w:type="dxa"/>
            <w:vAlign w:val="bottom"/>
          </w:tcPr>
          <w:p>
            <w:pPr>
              <w:spacing w:after="0"/>
              <w:rPr>
                <w:sz w:val="19"/>
                <w:szCs w:val="19"/>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212</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2,239</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96"/>
        </w:trPr>
        <w:tc>
          <w:tcPr>
            <w:tcW w:w="46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5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Corporate &amp; Other</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36</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(254)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11"/>
                <w:szCs w:val="11"/>
                <w:b w:val="1"/>
                <w:bCs w:val="1"/>
                <w:color w:val="auto"/>
              </w:rPr>
              <w:t>(1)</w:t>
            </w:r>
          </w:p>
        </w:tc>
        <w:tc>
          <w:tcPr>
            <w:tcW w:w="80" w:type="dxa"/>
            <w:vAlign w:val="bottom"/>
          </w:tcPr>
          <w:p>
            <w:pPr>
              <w:spacing w:after="0"/>
              <w:rPr>
                <w:sz w:val="18"/>
                <w:szCs w:val="18"/>
                <w:color w:val="auto"/>
              </w:rPr>
            </w:pPr>
          </w:p>
        </w:tc>
        <w:tc>
          <w:tcPr>
            <w:tcW w:w="1060" w:type="dxa"/>
            <w:vAlign w:val="bottom"/>
            <w:gridSpan w:val="2"/>
          </w:tcPr>
          <w:p>
            <w:pPr>
              <w:ind w:lef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40</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1"/>
                <w:szCs w:val="11"/>
                <w:b w:val="1"/>
                <w:bCs w:val="1"/>
                <w:color w:val="auto"/>
              </w:rPr>
              <w:t>(2)</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(141)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Charges</w:t>
            </w:r>
          </w:p>
        </w:tc>
        <w:tc>
          <w:tcPr>
            <w:tcW w:w="8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(238)</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16,958</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2,939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20,295</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Excludes interest income included in the segment results ($10 million in 2009; $6 million in 2008).</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Excludes interest expense included in the segment results ($29 million in 2009; $23 million in 2008).</w:t>
      </w:r>
    </w:p>
    <w:p>
      <w:pPr>
        <w:spacing w:after="0" w:line="240" w:lineRule="exact"/>
        <w:rPr>
          <w:sz w:val="20"/>
          <w:szCs w:val="20"/>
          <w:color w:val="auto"/>
        </w:rPr>
      </w:pPr>
    </w:p>
    <w:p>
      <w:pPr>
        <w:ind w:left="280" w:hanging="272"/>
        <w:spacing w:after="0"/>
        <w:tabs>
          <w:tab w:leader="none" w:pos="2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Pension and Other Postretirement Benefits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Net pension cost for the Schlumberger pension plans included the following components: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7"/>
          </w:tcPr>
          <w:p>
            <w:pPr>
              <w:jc w:val="right"/>
              <w:ind w:right="100"/>
              <w:spacing w:after="0"/>
              <w:rPr>
                <w:sz w:val="20"/>
                <w:szCs w:val="20"/>
                <w:color w:val="auto"/>
              </w:rPr>
            </w:pPr>
            <w:r>
              <w:rPr>
                <w:rFonts w:ascii="Arial" w:cs="Arial" w:eastAsia="Arial" w:hAnsi="Arial"/>
                <w:sz w:val="14"/>
                <w:szCs w:val="14"/>
                <w:i w:val="1"/>
                <w:iCs w:val="1"/>
                <w:color w:val="auto"/>
                <w:w w:val="92"/>
              </w:rPr>
              <w:t>(Stated in millions)</w:t>
            </w:r>
          </w:p>
        </w:tc>
      </w:tr>
      <w:tr>
        <w:trPr>
          <w:trHeight w:val="161"/>
        </w:trPr>
        <w:tc>
          <w:tcPr>
            <w:tcW w:w="6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6"/>
          </w:tcPr>
          <w:p>
            <w:pPr>
              <w:jc w:val="right"/>
              <w:ind w:right="312"/>
              <w:spacing w:after="0"/>
              <w:rPr>
                <w:sz w:val="20"/>
                <w:szCs w:val="20"/>
                <w:color w:val="auto"/>
              </w:rPr>
            </w:pPr>
            <w:r>
              <w:rPr>
                <w:rFonts w:ascii="Arial" w:cs="Arial" w:eastAsia="Arial" w:hAnsi="Arial"/>
                <w:sz w:val="14"/>
                <w:szCs w:val="14"/>
                <w:b w:val="1"/>
                <w:bCs w:val="1"/>
                <w:color w:val="auto"/>
                <w:w w:val="93"/>
              </w:rPr>
              <w:t>Third Quarter</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4"/>
                <w:szCs w:val="14"/>
                <w:b w:val="1"/>
                <w:bCs w:val="1"/>
                <w:color w:val="auto"/>
                <w:w w:val="95"/>
              </w:rPr>
              <w:t>Nine Months</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US</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Int'l</w:t>
            </w: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US</w:t>
            </w: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Int'l</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6160" w:type="dxa"/>
            <w:vAlign w:val="bottom"/>
          </w:tcPr>
          <w:p>
            <w:pPr>
              <w:spacing w:after="0"/>
              <w:rPr>
                <w:sz w:val="12"/>
                <w:szCs w:val="12"/>
                <w:color w:val="auto"/>
              </w:rPr>
            </w:pPr>
          </w:p>
        </w:tc>
        <w:tc>
          <w:tcPr>
            <w:tcW w:w="3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300" w:type="dxa"/>
            <w:vAlign w:val="bottom"/>
          </w:tcPr>
          <w:p>
            <w:pPr>
              <w:spacing w:after="0"/>
              <w:rPr>
                <w:sz w:val="12"/>
                <w:szCs w:val="12"/>
                <w:color w:val="auto"/>
              </w:rPr>
            </w:pPr>
          </w:p>
        </w:tc>
        <w:tc>
          <w:tcPr>
            <w:tcW w:w="3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300" w:type="dxa"/>
            <w:vAlign w:val="bottom"/>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2"/>
                <w:szCs w:val="12"/>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Service cost—benefits earned during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w:t>
            </w:r>
          </w:p>
        </w:tc>
        <w:tc>
          <w:tcPr>
            <w:tcW w:w="2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8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27</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w w:val="99"/>
              </w:rPr>
              <w:t>104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141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99"/>
              </w:rPr>
              <w:t>(33)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b w:val="1"/>
                <w:bCs w:val="1"/>
                <w:color w:val="auto"/>
                <w:w w:val="93"/>
              </w:rPr>
              <w:t>(55)</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(20)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b w:val="1"/>
                <w:bCs w:val="1"/>
                <w:color w:val="auto"/>
                <w:w w:val="85"/>
              </w:rPr>
              <w:t>(121)</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(121)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5"/>
              </w:rPr>
              <w:t>(135)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(60)</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8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loss</w:t>
            </w: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r>
      <w:tr>
        <w:trPr>
          <w:trHeight w:val="222"/>
        </w:trPr>
        <w:tc>
          <w:tcPr>
            <w:tcW w:w="6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143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r>
      <w:tr>
        <w:trPr>
          <w:trHeight w:val="217"/>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Curtailment charge</w:t>
            </w: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88"/>
              </w:rPr>
              <w:t>—</w:t>
            </w:r>
          </w:p>
        </w:tc>
        <w:tc>
          <w:tcPr>
            <w:tcW w:w="26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r>
      <w:tr>
        <w:trPr>
          <w:trHeight w:val="223"/>
        </w:trPr>
        <w:tc>
          <w:tcPr>
            <w:tcW w:w="61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84</w:t>
            </w:r>
          </w:p>
        </w:tc>
        <w:tc>
          <w:tcPr>
            <w:tcW w:w="3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241</w:t>
            </w:r>
          </w:p>
        </w:tc>
        <w:tc>
          <w:tcPr>
            <w:tcW w:w="26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r>
      <w:tr>
        <w:trPr>
          <w:trHeight w:val="20"/>
        </w:trPr>
        <w:tc>
          <w:tcPr>
            <w:tcW w:w="6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During the first nine months of 2009, Schlumberger made contributions to its US and international defined benefit pension plans of $314 million and $551 million,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net periodic benefit cost for the Schlumberger US postretirement medical plan included the following components: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6"/>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r>
      <w:tr>
        <w:trPr>
          <w:trHeight w:val="161"/>
        </w:trPr>
        <w:tc>
          <w:tcPr>
            <w:tcW w:w="7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Third Quarter</w:t>
            </w:r>
          </w:p>
        </w:tc>
        <w:tc>
          <w:tcPr>
            <w:tcW w:w="260" w:type="dxa"/>
            <w:vAlign w:val="bottom"/>
          </w:tcPr>
          <w:p>
            <w:pPr>
              <w:spacing w:after="0"/>
              <w:rPr>
                <w:sz w:val="14"/>
                <w:szCs w:val="14"/>
                <w:color w:val="auto"/>
              </w:rPr>
            </w:pPr>
          </w:p>
        </w:tc>
        <w:tc>
          <w:tcPr>
            <w:tcW w:w="102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260" w:type="dxa"/>
            <w:vAlign w:val="bottom"/>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2008</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2009</w:t>
            </w:r>
          </w:p>
        </w:tc>
        <w:tc>
          <w:tcPr>
            <w:tcW w:w="3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2"/>
                <w:szCs w:val="12"/>
                <w:color w:val="auto"/>
              </w:rPr>
            </w:pP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Service cost—benefits earned during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$ 15</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Interest cost on accumulated postretirement benefit obligation</w:t>
            </w:r>
          </w:p>
        </w:tc>
        <w:tc>
          <w:tcPr>
            <w:tcW w:w="10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15</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41</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b w:val="1"/>
                <w:bCs w:val="1"/>
                <w:color w:val="auto"/>
                <w:w w:val="88"/>
              </w:rPr>
              <w:t>—</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100" w:type="dxa"/>
            <w:vAlign w:val="bottom"/>
          </w:tcPr>
          <w:p>
            <w:pPr>
              <w:spacing w:after="0"/>
              <w:rPr>
                <w:sz w:val="18"/>
                <w:szCs w:val="18"/>
                <w:color w:val="auto"/>
              </w:rPr>
            </w:pPr>
          </w:p>
        </w:tc>
        <w:tc>
          <w:tcPr>
            <w:tcW w:w="84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(5)</w:t>
            </w:r>
          </w:p>
        </w:tc>
        <w:tc>
          <w:tcPr>
            <w:tcW w:w="8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(19)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(21)</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loss</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r>
      <w:tr>
        <w:trPr>
          <w:trHeight w:val="222"/>
        </w:trPr>
        <w:tc>
          <w:tcPr>
            <w:tcW w:w="7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40</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r>
      <w:tr>
        <w:trPr>
          <w:trHeight w:val="217"/>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Curtailment charge</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w:t>
            </w:r>
          </w:p>
        </w:tc>
        <w:tc>
          <w:tcPr>
            <w:tcW w:w="580" w:type="dxa"/>
            <w:vAlign w:val="bottom"/>
            <w:gridSpan w:val="2"/>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88"/>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7"/>
              </w:rPr>
              <w:t>—</w:t>
            </w:r>
          </w:p>
        </w:tc>
        <w:tc>
          <w:tcPr>
            <w:tcW w:w="100" w:type="dxa"/>
            <w:vAlign w:val="bottom"/>
            <w:shd w:val="clear" w:color="auto" w:fill="CCEEFF"/>
          </w:tcPr>
          <w:p>
            <w:pPr>
              <w:spacing w:after="0"/>
              <w:rPr>
                <w:sz w:val="18"/>
                <w:szCs w:val="18"/>
                <w:color w:val="auto"/>
              </w:rPr>
            </w:pPr>
          </w:p>
        </w:tc>
      </w:tr>
      <w:tr>
        <w:trPr>
          <w:trHeight w:val="223"/>
        </w:trPr>
        <w:tc>
          <w:tcPr>
            <w:tcW w:w="7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w w:val="91"/>
              </w:rPr>
              <w:t>$ 46</w:t>
            </w:r>
          </w:p>
        </w:tc>
        <w:tc>
          <w:tcPr>
            <w:tcW w:w="32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r>
      <w:tr>
        <w:trPr>
          <w:trHeight w:val="20"/>
        </w:trPr>
        <w:tc>
          <w:tcPr>
            <w:tcW w:w="7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Due to the actions Schlumberger has taken to reduce its global workforce (see Note 2 – </w:t>
      </w:r>
      <w:r>
        <w:rPr>
          <w:rFonts w:ascii="Arial" w:cs="Arial" w:eastAsia="Arial" w:hAnsi="Arial"/>
          <w:sz w:val="16"/>
          <w:szCs w:val="16"/>
          <w:i w:val="1"/>
          <w:iCs w:val="1"/>
          <w:color w:val="auto"/>
        </w:rPr>
        <w:t>Charges</w:t>
      </w:r>
      <w:r>
        <w:rPr>
          <w:rFonts w:ascii="Arial" w:cs="Arial" w:eastAsia="Arial" w:hAnsi="Arial"/>
          <w:sz w:val="16"/>
          <w:szCs w:val="16"/>
          <w:color w:val="auto"/>
        </w:rPr>
        <w:t>), Schlumberger experienced a significant reduction in the expected aggregate years of future service of its employees in certain of its pension plans and its postretirement medical plan. Accordingly, Schlumberger recorded a curtailment charge of $136 million during the second quarter of 2009. The curtailment charge includes recognition of the change in benefit obligations as well as a portion of the previously unrecognized prior service costs, reflecting the reduction in expected future service for the impacted plans.</w:t>
      </w:r>
    </w:p>
    <w:p>
      <w:pPr>
        <w:spacing w:after="0" w:line="11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 xml:space="preserve">As a result of the curtailment, Schlumberger performed a remeasurement of the impacted plans using a discount rate of 7.25% (as compared to 6.50% at December 31, 2008). All other significant assumptions remained unchanged from the December 31, 2008 measurement date. The curtailment and remeasurement during the second quarter of 2009 resulted in a net decrease in Schlumberger’s liability for </w:t>
      </w:r>
      <w:r>
        <w:rPr>
          <w:rFonts w:ascii="Arial" w:cs="Arial" w:eastAsia="Arial" w:hAnsi="Arial"/>
          <w:sz w:val="16"/>
          <w:szCs w:val="16"/>
          <w:i w:val="1"/>
          <w:iCs w:val="1"/>
          <w:color w:val="auto"/>
        </w:rPr>
        <w:t>Postretirement Benefits</w:t>
      </w:r>
      <w:r>
        <w:rPr>
          <w:rFonts w:ascii="Arial" w:cs="Arial" w:eastAsia="Arial" w:hAnsi="Arial"/>
          <w:sz w:val="16"/>
          <w:szCs w:val="16"/>
          <w:color w:val="auto"/>
        </w:rPr>
        <w:t xml:space="preserve"> of $361 million.</w:t>
      </w:r>
    </w:p>
    <w:p>
      <w:pPr>
        <w:spacing w:after="0" w:line="182" w:lineRule="exact"/>
        <w:rPr>
          <w:sz w:val="20"/>
          <w:szCs w:val="20"/>
          <w:color w:val="auto"/>
        </w:rPr>
      </w:pPr>
    </w:p>
    <w:p>
      <w:pPr>
        <w:ind w:left="280" w:hanging="272"/>
        <w:spacing w:after="0"/>
        <w:tabs>
          <w:tab w:leader="none" w:pos="2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Discontinued Operations</w:t>
      </w:r>
    </w:p>
    <w:p>
      <w:pPr>
        <w:spacing w:after="0" w:line="17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During the first quarter of 2008, Schlumberger recorded an after-tax gain of $38 million relating to a previously disposed of business that was accounted for as a discontinued operation.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2.</w:t>
      </w:r>
      <w:r>
        <w:rPr>
          <w:sz w:val="20"/>
          <w:szCs w:val="20"/>
          <w:color w:val="auto"/>
        </w:rPr>
        <w:tab/>
      </w:r>
      <w:r>
        <w:rPr>
          <w:rFonts w:ascii="Arial" w:cs="Arial" w:eastAsia="Arial" w:hAnsi="Arial"/>
          <w:sz w:val="15"/>
          <w:szCs w:val="15"/>
          <w:b w:val="1"/>
          <w:bCs w:val="1"/>
          <w:u w:val="single" w:color="auto"/>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REVIEW</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Third Quarter 2009 Compared to Second Quarter 2009</w:t>
      </w:r>
    </w:p>
    <w:p>
      <w:pPr>
        <w:spacing w:after="0" w:line="215"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6440" w:type="dxa"/>
            <w:vAlign w:val="bottom"/>
          </w:tcPr>
          <w:p>
            <w:pPr>
              <w:spacing w:after="0"/>
              <w:rPr>
                <w:sz w:val="14"/>
                <w:szCs w:val="14"/>
                <w:color w:val="auto"/>
              </w:rPr>
            </w:pP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Third Quarter</w:t>
            </w:r>
          </w:p>
        </w:tc>
        <w:tc>
          <w:tcPr>
            <w:tcW w:w="400" w:type="dxa"/>
            <w:vAlign w:val="bottom"/>
          </w:tcPr>
          <w:p>
            <w:pPr>
              <w:spacing w:after="0"/>
              <w:rPr>
                <w:sz w:val="14"/>
                <w:szCs w:val="14"/>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5"/>
              </w:rPr>
              <w:t>Second Quarter</w:t>
            </w:r>
          </w:p>
        </w:tc>
        <w:tc>
          <w:tcPr>
            <w:tcW w:w="1380" w:type="dxa"/>
            <w:vAlign w:val="bottom"/>
            <w:gridSpan w:val="3"/>
          </w:tcPr>
          <w:p>
            <w:pPr>
              <w:jc w:val="right"/>
              <w:ind w:right="260"/>
              <w:spacing w:after="0"/>
              <w:rPr>
                <w:sz w:val="20"/>
                <w:szCs w:val="20"/>
                <w:color w:val="auto"/>
              </w:rPr>
            </w:pPr>
            <w:r>
              <w:rPr>
                <w:rFonts w:ascii="Arial" w:cs="Arial" w:eastAsia="Arial" w:hAnsi="Arial"/>
                <w:sz w:val="14"/>
                <w:szCs w:val="14"/>
                <w:i w:val="1"/>
                <w:iCs w:val="1"/>
                <w:color w:val="auto"/>
                <w:w w:val="95"/>
              </w:rPr>
              <w:t>(Stated in millions)</w:t>
            </w:r>
          </w:p>
        </w:tc>
        <w:tc>
          <w:tcPr>
            <w:tcW w:w="0" w:type="dxa"/>
            <w:vAlign w:val="bottom"/>
          </w:tcPr>
          <w:p>
            <w:pPr>
              <w:spacing w:after="0"/>
              <w:rPr>
                <w:sz w:val="1"/>
                <w:szCs w:val="1"/>
                <w:color w:val="auto"/>
              </w:rPr>
            </w:pPr>
          </w:p>
        </w:tc>
      </w:tr>
      <w:tr>
        <w:trPr>
          <w:trHeight w:val="123"/>
        </w:trPr>
        <w:tc>
          <w:tcPr>
            <w:tcW w:w="644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40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6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6"/>
              <w:spacing w:after="0"/>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36"/>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7"/>
              </w:rPr>
              <w:t>% chg</w:t>
            </w: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Revenue</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4,953</w:t>
            </w:r>
          </w:p>
        </w:tc>
        <w:tc>
          <w:tcPr>
            <w:tcW w:w="6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4,956</w:t>
            </w:r>
          </w:p>
        </w:tc>
        <w:tc>
          <w:tcPr>
            <w:tcW w:w="7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Income</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1,042</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2"/>
        </w:trPr>
        <w:tc>
          <w:tcPr>
            <w:tcW w:w="6440" w:type="dxa"/>
            <w:vAlign w:val="bottom"/>
          </w:tcPr>
          <w:p>
            <w:pPr>
              <w:spacing w:after="0"/>
              <w:rPr>
                <w:sz w:val="20"/>
                <w:szCs w:val="20"/>
                <w:color w:val="auto"/>
              </w:rPr>
            </w:pPr>
            <w:r>
              <w:rPr>
                <w:rFonts w:ascii="Arial" w:cs="Arial" w:eastAsia="Arial" w:hAnsi="Arial"/>
                <w:sz w:val="18"/>
                <w:szCs w:val="18"/>
                <w:b w:val="1"/>
                <w:bCs w:val="1"/>
                <w:color w:val="auto"/>
              </w:rPr>
              <w:t>WesternGeco</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463</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8"/>
        </w:trPr>
        <w:tc>
          <w:tcPr>
            <w:tcW w:w="644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61</w:t>
            </w:r>
          </w:p>
        </w:tc>
        <w:tc>
          <w:tcPr>
            <w:tcW w:w="6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pacing w:after="0" w:line="141"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 xml:space="preserve">Pretax operating income represents the segments’ income before taxes and noncontrolling interest. The pretax operating income excludes such items as corporate expenses and interest income and interest expense not allocated to the segments as well as the charges described in detail in Note 2 to the </w:t>
      </w:r>
      <w:r>
        <w:rPr>
          <w:rFonts w:ascii="Arial" w:cs="Arial" w:eastAsia="Arial" w:hAnsi="Arial"/>
          <w:sz w:val="16"/>
          <w:szCs w:val="16"/>
          <w:i w:val="1"/>
          <w:iCs w:val="1"/>
          <w:color w:val="auto"/>
        </w:rPr>
        <w:t>Consolidated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Statements</w:t>
      </w:r>
      <w:r>
        <w:rPr>
          <w:rFonts w:ascii="Arial" w:cs="Arial" w:eastAsia="Arial" w:hAnsi="Arial"/>
          <w:sz w:val="16"/>
          <w:szCs w:val="16"/>
          <w:color w:val="auto"/>
        </w:rPr>
        <w:t>, amortization of certain intangible assets, interest on postretirement medical benefits and stock-based compensation costs.</w:t>
      </w:r>
    </w:p>
    <w:p>
      <w:pPr>
        <w:spacing w:after="0" w:line="10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Third quarter 2009 revenue was $5.43 billion versus $5.53 billion in the second quarter of 2009. Income from continuing operations attributable to Schlumberger for the third quarter of 2009 was $787 million compared to $613 million in the second quarter of 2009. The second quarter 2009 results included after-tax charges of $207 million related to workforce reductions and postretirement benefits curtailment.</w:t>
      </w:r>
    </w:p>
    <w:p>
      <w:pPr>
        <w:spacing w:after="0" w:line="140" w:lineRule="exact"/>
        <w:rPr>
          <w:sz w:val="20"/>
          <w:szCs w:val="20"/>
          <w:color w:val="auto"/>
        </w:rPr>
      </w:pPr>
    </w:p>
    <w:p>
      <w:pPr>
        <w:jc w:val="both"/>
        <w:ind w:right="40"/>
        <w:spacing w:after="0" w:line="332" w:lineRule="auto"/>
        <w:rPr>
          <w:sz w:val="20"/>
          <w:szCs w:val="20"/>
          <w:color w:val="auto"/>
        </w:rPr>
      </w:pPr>
      <w:r>
        <w:rPr>
          <w:rFonts w:ascii="Arial" w:cs="Arial" w:eastAsia="Arial" w:hAnsi="Arial"/>
          <w:sz w:val="16"/>
          <w:szCs w:val="16"/>
          <w:color w:val="auto"/>
        </w:rPr>
        <w:t>Oilfield Services revenue was flat with the second quarter as increases in both North and South America offset a further decline in the Middle East and Asia. As a result of this, coupled with the implementation of cost-cutting programs earlier in the year, overall margins slightly increased.</w:t>
      </w:r>
    </w:p>
    <w:p>
      <w:pPr>
        <w:spacing w:after="0" w:line="8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At WesternGeco, sequential revenue declines were due to lower Multiclient revenues in the quarter and the rollover of Marine contracts from higher-priced legacy backlog into new lower-priced activity. These factors resulted in lower margins.</w:t>
      </w:r>
    </w:p>
    <w:p>
      <w:pPr>
        <w:spacing w:after="0" w:line="132"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Schlumberger’s outlook for the remainder of 2009 assumes a continued modest recovery in North American gas drilling but no significant improvement in service pricing. Overseas, while rig activity is stabilizing, seasonal factors and pricing concessions made in the first half year that are still being implemented leave some risk of further small revenue declines. At WesternGeco, improvement will depend on the level of fourth-quarter multiclient sales.</w:t>
      </w:r>
    </w:p>
    <w:p>
      <w:pPr>
        <w:spacing w:after="0" w:line="10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Looking further ahead, Schlumberger’s second-quarter outlook indicated that the shape of the economic recovery beyond 2009 and the subsequent recovery in oil and gas demand remained the determining factors for future activity increases. Since then, indications of inventory rebuilding across many industries together with help from government stimuli have helped to strengthen demand for both oil and gas. While uncertainties remain, notably the transition from current stimuli to industrial and consumer demand and the extent to which the recovery is expected to be limited by high unemployment, the demand for oil and gas will increase somewhat over the coming months.</w:t>
      </w:r>
    </w:p>
    <w:p>
      <w:pPr>
        <w:spacing w:after="0" w:line="14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As a result, Schlumberger sees continuing stabilization of activity around the world. However, this will not be uniform across either geographies or for services by commodity type.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color w:val="auto"/>
        </w:rPr>
        <w:t>Schlumberger considers that world gas markets are oversupplied and will remain so for some time absent any strong recovery in industrial demand. Both new Liquefied Natural Gas (LNG) capacity coming on stream, as well as ample storage and pent-up supply in North America, will serve to keep prices and activity low. In North America the current slight recovery in drilling is fragile and not likely to significantly improve service activity and pricing until late 2010.</w:t>
      </w:r>
    </w:p>
    <w:p>
      <w:pPr>
        <w:spacing w:after="0" w:line="107"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For oil, the current robust price is expected to lead to operators maintaining their spending levels, and this, coupled with the lowering of their cost structures may produce some modest increases in activity. Schlumberger anticipates continued strength in deepwater areas and some increases in selected land markets. In addition, a more robust commodity price is expected to lead to some increase in seismic activity, although new marine capacity will continue to depress pricing.</w:t>
      </w: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OILFIELD SERVICES</w:t>
      </w:r>
    </w:p>
    <w:p>
      <w:pPr>
        <w:spacing w:after="0" w:line="17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Third quarter revenue of $4.95 billion was flat sequentially as certain geographic strengths were balanced by weaker pricing. In North America, the positive impact of a recovery in rig count in Canada following the spring break-up was offset primarily by a slowdown in the US Gulf of Mexico GeoMarket* due to operator caution during the hurricane season and by continuing pricing erosion in the US Land GeoMarket. Internationally, Latin America revenue increased with the finalization of certain contracts in Venezuela/Trinidad &amp; Tobago and higher Integrated Project Management (IPM) activity in Mexico/Central America, but these increases were offset by lower Middle East &amp; Asia revenue due to reduced overall activity and the effects of weaker pricing. Europe/CIS/Africa revenue was flat as the positive effects of the strengthening of local currencies against the US dollar and high product sales in North Africa were offset by reductions in activity in the West &amp; South Africa, North Sea and Libya GeoMarkets. Across the Areas, revenue increases in IPM, Testing Services and Well Services were primarily offset by revenue declines in Completions, Drilling &amp; Measurements and Wireline Technologies.</w:t>
      </w:r>
    </w:p>
    <w:p>
      <w:pPr>
        <w:spacing w:after="0" w:line="118" w:lineRule="exact"/>
        <w:rPr>
          <w:sz w:val="20"/>
          <w:szCs w:val="20"/>
          <w:color w:val="auto"/>
        </w:rPr>
      </w:pPr>
    </w:p>
    <w:p>
      <w:pPr>
        <w:ind w:right="740"/>
        <w:spacing w:after="0" w:line="332" w:lineRule="auto"/>
        <w:rPr>
          <w:sz w:val="20"/>
          <w:szCs w:val="20"/>
          <w:color w:val="auto"/>
        </w:rPr>
      </w:pPr>
      <w:r>
        <w:rPr>
          <w:rFonts w:ascii="Arial" w:cs="Arial" w:eastAsia="Arial" w:hAnsi="Arial"/>
          <w:sz w:val="16"/>
          <w:szCs w:val="16"/>
          <w:color w:val="auto"/>
        </w:rPr>
        <w:t>Third quarter pretax operating income of $1.04 billion was 2% higher sequentially. Pretax operating margin increased 41 basis points (bps) to 21.0% as improvements in North America and Latin America were offset by modest declines in Europe/CIS/Africa and Middle East &amp; Asia.</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Revenue of $823 million was essentially unchanged sequentially. Pretax operating income of $27.6 million was up 253% sequentially.</w:t>
      </w:r>
    </w:p>
    <w:p>
      <w:pPr>
        <w:spacing w:after="0" w:line="17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Sequentially, revenue in Canada increased on a muted post spring break-up recovery in rig count but this was offset by decreased revenue in the US GeoMarkets. In the US Gulf of Mexico GeoMarket revenue was impacted by a slowdown in activity due to operator caution during the hurricane season and by a further decrease in shelf drilling activity as a result of continued uneconomic natural gas prices. US Land GeoMarket revenue decreased as an improvement in oil-related activity was more than offset by pricing erosion in the early part of the quarter. The Alaska GeoMarket also recorded lower sequential revenue due to a slowdown in activity for seasonal rig maintenance and operator budget constraints.</w:t>
      </w:r>
    </w:p>
    <w:p>
      <w:pPr>
        <w:spacing w:after="0" w:line="1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Pretax operating margin increased 240 bps sequentially to 3.4% primarily due to the increased activity in Canada, which was partially offset by weaker activity in the US Gulf of Mexico and Alaska GeoMarkets.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Revenue of $1.07 billion was 8% higher versus the second quarter of 2009. Pretax operating income of $197 million was 12% higher sequentially.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Sequentially, Venezuela/Trinidad &amp; Tobago GeoMarket revenue increased as finalization of certain contracts resulted in the recognition of deferred revenue in addition to revenue from current-quarter activities related to these contracts. Mexico/Central America GeoMarket revenue was also higher due to the start-up of the ATG III contract and increased activity on other IPM projects.</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Pretax operating margin improved 70 bps sequentially to 18.3% primarily due to the positive impact of cost management in the Venezuela/Trinidad &amp; Tobago GeoMarket and increased IPM activity in Mexico/Central America. These increases were partially offset by a decrease in Brazil due primarily to start-up costs for new contracts.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Europe/CIS/Africa</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Revenue of $1.78 billion was flat sequentially. Pretax operating income of $422 million was 2% lower than the previous quarter.</w:t>
      </w:r>
    </w:p>
    <w:p>
      <w:pPr>
        <w:spacing w:after="0" w:line="17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Sequentially, the strengthening of local currencies against the US dollar increased Area revenue by 2%. In addition, North Africa GeoMarket revenue increased on high Testing Services product sales and stronger IPM activity while the Nigeria &amp; Gulf of Guinea GeoMarket grew primarily on strong demand for Well Services technologies. However, these increases were partially offset by lower revenue in the West &amp; South Africa GeoMarket from reduced activity that primarily affected Well Services operations and by a decrease in the North Sea GeoMarket resulting from lower rig count and pricing that mostly impacted Drilling &amp; Measurements services. Libya GeoMarket revenue fell on reduced demand for Testing Services and Well Services technologies as well as for Completion products.</w:t>
      </w:r>
    </w:p>
    <w:p>
      <w:pPr>
        <w:spacing w:after="0" w:line="144"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Pretax operating margin slipped 53 bps sequentially to 23.7% as increased North Africa GeoMarket revenue and a more favorable revenue mix in Russia were insufficient to offset lower activity and a less favorable revenue mix in the North Sea and West &amp; South Africa GeoMarkets.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Revenue of $1.23 billion decreased 6% compared to the second quarter of 2009. Pretax operating income of $391 million decreased 7% sequentially.</w:t>
      </w:r>
    </w:p>
    <w:p>
      <w:pPr>
        <w:spacing w:after="0" w:line="194"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Sequentially, revenue in the East Asia GeoMarket fell from completion of several exploration-related campaigns with consequent lower demand for Wireline, Testing Services and Well Services technologies. Qatar GeoMarket revenue decreased primarily due to the completion of offshore projects that resulted in reduced demand for all Technologies. Gulf GeoMarket revenue fell on lower rig count that led to a decrease in Drilling &amp; Measurements and Wireline services. The East Mediterranean revenue dropped as the result of lower land activity that reduced demand primarily for Well Services technologies. These decreases however were partially offset by an increase in the Arabian GeoMarket revenue on strong gas-related activity that resulted in higher demand for Well Services and Testing Services technologies. Weaker pricing also contributed to lower revenue.</w:t>
      </w:r>
    </w:p>
    <w:p>
      <w:pPr>
        <w:spacing w:after="0" w:line="12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Pretax operating margin decreased by just 32 bps sequentially to 31.7% as the impact of the stronger activity in the Arabian GeoMarket and a more favorable revenue mix in the Indonesia GeoMarket almost offset the lower activity in the East Asia, Qatar, Gulf and East Mediterranean GeoMarkets as well as the effects of weaker pricing across the Area.</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WESTERNGECO</w:t>
      </w:r>
    </w:p>
    <w:p>
      <w:pPr>
        <w:spacing w:after="0" w:line="17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Third quarter revenue of $463 million decreased 17% sequentially. Pretax operating income of $61 million decreased 37% compared to the second quarter of 2009.</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Sequentially, Multiclient revenue decreased mostly on reduced sales in North America and the North Sea. Marine revenue fell primarily as the result of weaker pricing and the completion of two large contracts. Land revenue was also lower due to project delays in the Middle East and Africa. Data Processing revenue was flat versus the previous quarter.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Pretax operating margin fell 421 bps sequentially to 13.1%, primarily as a result of the lower Multiclient sales and Land project delays.</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Third Quarter 2009 Compared to Third Quarter 2008</w:t>
      </w:r>
    </w:p>
    <w:p>
      <w:pPr>
        <w:spacing w:after="0" w:line="21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4"/>
          </w:tcPr>
          <w:p>
            <w:pPr>
              <w:jc w:val="right"/>
              <w:ind w:right="260"/>
              <w:spacing w:after="0"/>
              <w:rPr>
                <w:sz w:val="20"/>
                <w:szCs w:val="20"/>
                <w:color w:val="auto"/>
              </w:rPr>
            </w:pPr>
            <w:r>
              <w:rPr>
                <w:rFonts w:ascii="Arial" w:cs="Arial" w:eastAsia="Arial" w:hAnsi="Arial"/>
                <w:sz w:val="14"/>
                <w:szCs w:val="14"/>
                <w:i w:val="1"/>
                <w:iCs w:val="1"/>
                <w:color w:val="auto"/>
              </w:rPr>
              <w:t>(Stated in millions)</w:t>
            </w:r>
          </w:p>
        </w:tc>
      </w:tr>
      <w:tr>
        <w:trPr>
          <w:trHeight w:val="161"/>
        </w:trPr>
        <w:tc>
          <w:tcPr>
            <w:tcW w:w="6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Third Quarter</w:t>
            </w:r>
          </w:p>
        </w:tc>
        <w:tc>
          <w:tcPr>
            <w:tcW w:w="4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68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2009</w:t>
            </w:r>
          </w:p>
        </w:tc>
        <w:tc>
          <w:tcPr>
            <w:tcW w:w="5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9"/>
              </w:rPr>
              <w:t>2008</w:t>
            </w:r>
          </w:p>
        </w:tc>
        <w:tc>
          <w:tcPr>
            <w:tcW w:w="540" w:type="dxa"/>
            <w:vAlign w:val="bottom"/>
          </w:tcPr>
          <w:p>
            <w:pPr>
              <w:spacing w:after="0"/>
              <w:rPr>
                <w:sz w:val="12"/>
                <w:szCs w:val="12"/>
                <w:color w:val="auto"/>
              </w:rPr>
            </w:pPr>
          </w:p>
        </w:tc>
        <w:tc>
          <w:tcPr>
            <w:tcW w:w="4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2"/>
              </w:rPr>
              <w:t>% chg</w:t>
            </w:r>
          </w:p>
        </w:tc>
        <w:tc>
          <w:tcPr>
            <w:tcW w:w="260" w:type="dxa"/>
            <w:vAlign w:val="bottom"/>
          </w:tcPr>
          <w:p>
            <w:pPr>
              <w:spacing w:after="0"/>
              <w:rPr>
                <w:sz w:val="12"/>
                <w:szCs w:val="12"/>
                <w:color w:val="auto"/>
              </w:rPr>
            </w:pP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4,953</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w w:val="88"/>
              </w:rPr>
              <w:t>6,356</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1,042</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8"/>
              </w:rPr>
              <w:t>1,699</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r>
      <w:tr>
        <w:trPr>
          <w:trHeight w:val="323"/>
        </w:trPr>
        <w:tc>
          <w:tcPr>
            <w:tcW w:w="6800" w:type="dxa"/>
            <w:vAlign w:val="bottom"/>
          </w:tcPr>
          <w:p>
            <w:pPr>
              <w:spacing w:after="0"/>
              <w:rPr>
                <w:sz w:val="20"/>
                <w:szCs w:val="20"/>
                <w:color w:val="auto"/>
              </w:rPr>
            </w:pPr>
            <w:r>
              <w:rPr>
                <w:rFonts w:ascii="Arial" w:cs="Arial" w:eastAsia="Arial" w:hAnsi="Arial"/>
                <w:sz w:val="18"/>
                <w:szCs w:val="18"/>
                <w:b w:val="1"/>
                <w:bCs w:val="1"/>
                <w:color w:val="auto"/>
              </w:rPr>
              <w:t>WesternGeco</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17"/>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463</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892</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r>
      <w:tr>
        <w:trPr>
          <w:trHeight w:val="228"/>
        </w:trPr>
        <w:tc>
          <w:tcPr>
            <w:tcW w:w="680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61</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rPr>
              <w:t>355</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r>
    </w:tbl>
    <w:p>
      <w:pPr>
        <w:spacing w:after="0" w:line="14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Third quarter 2009 revenue was $5.43 billion versus $7.26 billion in the third quarter of 2008. Income from continuing operations attributable to Schlumberger was $787 million in the third quarter of 2009 as compared to $1.53 billion in the third quarter of 2008.</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OILFIELD SERVICES</w:t>
      </w:r>
    </w:p>
    <w:p>
      <w:pPr>
        <w:spacing w:after="0" w:line="1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Third quarter 2009 revenue of $4.95 billion was 22% lower compared to the same period last year with reductions across all of the Areas. North America revenue was down as low natural gas prices resulted in a significant drop in activity and associated pricing pressure. Europe/CIS/Africa revenue decreased primarily due to the weakening of local currencies against the US dollar as well as lower activity in the North Sea, Russia, West &amp; South Africa and Caspian GeoMarkets partially offset by increased activity in the North Africa GeoMarket. Middle East &amp; Asia revenue was lower due to reduced activity throughout most of the Area. Latin America revenue was down mostly as the result of a sharp drop in activity in Venezuela/Trinidad &amp; Tobago and the weakening of local currencies against the US dollar but partially offset by increased activity in Mexico and Brazil. Across the Areas, revenue declines were heaviest in Well Services, Wireline and Drilling &amp; Measurements activities.</w:t>
      </w:r>
    </w:p>
    <w:p>
      <w:pPr>
        <w:spacing w:after="0" w:line="11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Third quarter 2009 pretax operating income of $1.04 billion was 39% lower year-on-year. Pretax operating margin declined 5.7 percentage points to 21.0% as a result of the significant drop in activity and pricing pressure in North America.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9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Third quarter 2009 revenue of $823 million was 45% lower year-on-year. US Land and Canada revenue decreased significantly as lower natural gas prices resulted in a sharp decrease in activity coupled with heavy pricing pressure. Canada revenue was also down due to the weakening of the Canadian dollar against the US dollar. The US Gulf of Mexico revenue decreased on weaker shelf drilling activity and lower pricing but was partially offset by stronger deepwater activity and better weather.</w:t>
      </w:r>
    </w:p>
    <w:p>
      <w:pPr>
        <w:spacing w:after="0" w:line="14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Year-on-year, pretax operating margin decreased 17.8 percentage points to 3.4% primarily due to the impact of the lower activity and the related pricing erosion across the Area.</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Third quarter 2009 revenue of $1.07 billion was 6% below the same period last year primarily as the result of the weakening of local currencies against the US dollar and significantly lower activity in Venezuela/Trinidad &amp; Tobago. Peru/Colombia/Ecuador revenue also decreased on reduced gain share in IPM projects and pricing erosion while Argentina/Bolivia/Chile decreased on a sharp drop in rig count that resulted in lower demand for Well Services, Wireline and Drilling &amp; Measurements technologies. These decreases were partially offset by increases in Mexico/Central America on higher IPM project activity and in Brazil due to stronger exploration related activities that resulted in increased demand for Wireline, Testing Services and Drilling &amp; Measurement technologies.</w:t>
      </w:r>
    </w:p>
    <w:p>
      <w:pPr>
        <w:spacing w:after="0" w:line="116"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Year-on-year, pretax operating margin was down 179 bps to 18.3% primarily due to the reduced gain share and pricing erosion in Peru/Colombia/Ecuador; the impact of the severe drop in activity in Venezuela/Trinidad &amp; Tobago; and higher costs in Brazil. These decreases were partially offset by the impact of the increased volume of activity and stronger performance in the IPM projects in Mexico/Central America.</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Europe/CIS/Africa</w:t>
      </w:r>
    </w:p>
    <w:p>
      <w:pPr>
        <w:spacing w:after="0" w:line="96"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Third quarter 2009 revenue of $1.78 billion was 18% lower year-on-year primarily as the result of the weakening of local currencies against the US dollar. Additionally, revenue decreased in Russia and the North Sea on lower activity resulting from reduced customer spending and from associated pricing pressure. Revenues in the West &amp; South Africa and Caspian GeoMarkets were lower due to a decrease in activity that led to reduced demand primarily for Drilling &amp; Measurements, Wireline and Well Services technologies. The Nigeria &amp; Gulf of Guinea revenue decreased on lower rig count that resulted in lower demand for Wireline, Drilling &amp; Measurements and Testing Services technologies. Framo revenue was also lower. These decreases were partially offset by an increase in North Africa revenue on high Testing Services product sales and stronger IPM activity.</w:t>
      </w:r>
    </w:p>
    <w:p>
      <w:pPr>
        <w:spacing w:after="0" w:line="12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Year-on-year, pretax operating margin decreased 5.3 percentage points to 23.7% primarily as the result of the lower overall activity and pricing concessions in the North Sea and Russia as well as from a combination of lower activity and a less favorable revenue mix in the Nigeria &amp; Gulf of Guinea and West &amp; South Africa GeoMarkets.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9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Third quarter 2009 revenue of $1.23 billion was 17% below the same period last year primarily due to reduced activity across most of the Area and the impact of pricing pressure. Revenue decreases were most notable in the East Asia, Qatar, Australia/Papua New Guinea and Arabian GeoMarkets as lower exploration-related client spending resulted in reduced demand for Wireline, Drilling &amp; Measurements and Testing Services technologies. Revenue also fell in the East Mediterranean GeoMarket on reduced demand for Well Services, Drilling &amp; Measurements and Wireline technologies.</w:t>
      </w:r>
    </w:p>
    <w:p>
      <w:pPr>
        <w:spacing w:after="0" w:line="113"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color w:val="auto"/>
        </w:rPr>
        <w:t>Year-on-year, pretax operating margin decreased 371 bps to 31.7% primarily due to the lower overall activity along with a reduced mix of high margin exploration-related services and the impact of the pricing pressure.</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WESTERNGECO</w:t>
      </w:r>
    </w:p>
    <w:p>
      <w:pPr>
        <w:spacing w:after="0" w:line="17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Third quarter 2009 revenue of $463 million was 48% lower year-on-year primarily in Marine as the result of reduced activity and lower pricing and in Multiclient due to reduced activity across all Areas, but most notably in North America.</w:t>
      </w:r>
    </w:p>
    <w:p>
      <w:pPr>
        <w:spacing w:after="0" w:line="132"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Year-on-year, pretax operating margin decreased 26.7 percentage points to 13.1% primarily due to the impact of the reduced activity in Marine and lower Multiclient sales.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Nine Months 2009 Compared to Nine Months 2008</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4"/>
          </w:tcPr>
          <w:p>
            <w:pPr>
              <w:jc w:val="right"/>
              <w:ind w:right="260"/>
              <w:spacing w:after="0"/>
              <w:rPr>
                <w:sz w:val="20"/>
                <w:szCs w:val="20"/>
                <w:color w:val="auto"/>
              </w:rPr>
            </w:pPr>
            <w:r>
              <w:rPr>
                <w:rFonts w:ascii="Arial" w:cs="Arial" w:eastAsia="Arial" w:hAnsi="Arial"/>
                <w:sz w:val="14"/>
                <w:szCs w:val="14"/>
                <w:i w:val="1"/>
                <w:iCs w:val="1"/>
                <w:color w:val="auto"/>
              </w:rPr>
              <w:t>(Stated in millions)</w:t>
            </w:r>
          </w:p>
        </w:tc>
      </w:tr>
      <w:tr>
        <w:trPr>
          <w:trHeight w:val="161"/>
        </w:trPr>
        <w:tc>
          <w:tcPr>
            <w:tcW w:w="47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w:t>
            </w:r>
          </w:p>
        </w:tc>
        <w:tc>
          <w:tcPr>
            <w:tcW w:w="5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47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2008</w:t>
            </w:r>
          </w:p>
        </w:tc>
        <w:tc>
          <w:tcPr>
            <w:tcW w:w="50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 chg</w:t>
            </w:r>
          </w:p>
        </w:tc>
        <w:tc>
          <w:tcPr>
            <w:tcW w:w="260" w:type="dxa"/>
            <w:vAlign w:val="bottom"/>
          </w:tcPr>
          <w:p>
            <w:pPr>
              <w:spacing w:after="0"/>
              <w:rPr>
                <w:sz w:val="12"/>
                <w:szCs w:val="12"/>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2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Revenue</w:t>
            </w:r>
          </w:p>
        </w:tc>
        <w:tc>
          <w:tcPr>
            <w:tcW w:w="30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15,349</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18,027</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Income</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3,320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4,905</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r>
      <w:tr>
        <w:trPr>
          <w:trHeight w:val="322"/>
        </w:trPr>
        <w:tc>
          <w:tcPr>
            <w:tcW w:w="4740" w:type="dxa"/>
            <w:vAlign w:val="bottom"/>
          </w:tcPr>
          <w:p>
            <w:pPr>
              <w:spacing w:after="0"/>
              <w:rPr>
                <w:sz w:val="20"/>
                <w:szCs w:val="20"/>
                <w:color w:val="auto"/>
              </w:rPr>
            </w:pPr>
            <w:r>
              <w:rPr>
                <w:rFonts w:ascii="Arial" w:cs="Arial" w:eastAsia="Arial" w:hAnsi="Arial"/>
                <w:sz w:val="18"/>
                <w:szCs w:val="18"/>
                <w:b w:val="1"/>
                <w:bCs w:val="1"/>
                <w:color w:val="auto"/>
              </w:rPr>
              <w:t>WesternGeco</w:t>
            </w:r>
          </w:p>
        </w:tc>
        <w:tc>
          <w:tcPr>
            <w:tcW w:w="2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18"/>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r>
      <w:tr>
        <w:trPr>
          <w:trHeight w:val="228"/>
        </w:trPr>
        <w:tc>
          <w:tcPr>
            <w:tcW w:w="474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30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212</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748</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(72)%</w:t>
            </w:r>
          </w:p>
        </w:tc>
      </w:tr>
    </w:tbl>
    <w:p>
      <w:pPr>
        <w:spacing w:after="0" w:line="141"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Nine month revenue for the period ended September 30, 2009 was $16.96 billion versus $20.29 billion for the same period last year. Income from continuing operations attributable to Schlumberger was $2.34 billion in the first nine months of 2009 as compared to $4.29 billion for the same period in 2008. Results for the first nine months of 2009 included after-tax charges of $207 million related to workforce reductions and postretirement benefits curtailment.</w:t>
      </w: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OILFIELD SERVICES</w:t>
      </w:r>
    </w:p>
    <w:p>
      <w:pPr>
        <w:spacing w:after="0" w:line="177"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Nine month revenue of $15.35 billion declined 15% compared to the same period last year. Lower natural gas prices and unfavorable market fundamentals resulted in a severe decline in North America revenue, primarily in the US Land and Canada GeoMarkets. Europe/CIS/Africa revenue decreased mainly due to the weakening of local currencies against the US dollar and reduced activity in the North Sea, Russia and in Framo. Middle East &amp; Asia revenue also fell primarily due to decreases in the Australia/Papua New Guinea, East Asia and Arabian GeoMarkets as a result of lower exploration activity. Latin America revenue was down modestly from the same period last year as increases in activity in Mexico/Central America and Brazil were offset by the weakening of local currencies against the US dollar and very low activity in Venezuela/Trinidad &amp; Tobago. Across the Areas, all of the Technologies recorded revenue declines except Testing Services. Integrated Project Management also recorded revenue growth compared to the same period last year.</w:t>
      </w:r>
    </w:p>
    <w:p>
      <w:pPr>
        <w:spacing w:after="0" w:line="11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Year-to-date pretax operating margin decreased 5.6 percentage points to 21.6%, on the significant drop in activity across all Areas and pricing pressure that was strongest in North America.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Revenue of $2.83 billion was 35% lower than the same period last year with decreases across all GeoMarkets. The decreases were highest in US Land and Canada where lower natural gas prices and limited access to credit for some customers resulted in a steep drop in activity and consequent pressure on pricing. Canada revenue was also hampered by the weakening of the Canadian dollar against the US dollar. The US Gulf Coast of Mexico revenue was severely impacted by weaker shelf drilling activity and strong pricing pressure.</w:t>
      </w:r>
    </w:p>
    <w:p>
      <w:pPr>
        <w:spacing w:after="0" w:line="143"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Pretax operating margin fell 16.5 percentage points to 7.0% due to the significant decline in activity levels across the Area, combined with the severe pricing erosion.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Revenue of $3.10 billion declined 1% compared to the same period last year. The weakening of local currencies against the US dollar reduced revenue by 5%. In addition, Venezuela/Trinidad &amp; Tobago revenue fell due to significantly reduced customer spending while Peru/Colombia/Ecuador revenue was lower due to reduced gain share in IPM projects. These decreases were mostly offset by significantly higher Integrated Project Management activity in Mexico/Central America and increased offshore activity in Brazil.</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Pretax operating margin decreased 251 bps to 18.6% primarily as a result of the sharp activity decline in Venezuela/Trinidad &amp; Tobago and the lower gain share in Peru/Colombia/Ecuador.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Europe/CIS/Africa</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Revenue of $5.37 billion was 12% lower than the same period last year largely due to the weakening of local currencies against the US dollar. In addition, revenue was negatively impacted by reduced customer spending that resulted in significantly lower activity and pricing erosion in Russia and the North Sea. Revenues in the Nigeria &amp; Gulf of Guinea and West &amp; South Africa GeoMarkets as well as Framo were also negatively impacted by lower activity. These decreases were partially offset by revenue increases in North Africa due to strong Testing Services product sales, and in Libya on higher demand for Artificial Lift and Completion Systems equipment as well as strong drilling activity.</w:t>
      </w:r>
    </w:p>
    <w:p>
      <w:pPr>
        <w:spacing w:after="0" w:line="14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Pretax operating margins declined 328 bps to 24.6% on a combination of the overall lower activity in the Area and heavy pricing pressure in Russia and the North Sea.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9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Revenue of $3.92 billion was 8% below the same period last year primarily due to a sharp decline in offshore exploration activity in the Australia/Papua New Guinea GeoMarket that reduced demand for Wireline, Testing Services and Well Services technologies and in the East Asia GeoMarkets which led to lower demand for Wireline, Testing Services and Drilling &amp; Measurements technologies as well as Completion Systems products. Revenue in the Qatar, Arabian and East Mediterranean GeoMarkets also fell due to reduced activity.</w:t>
      </w:r>
    </w:p>
    <w:p>
      <w:pPr>
        <w:spacing w:after="0" w:line="14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Pretax operating margin decreased 324 bps to 32.3% primarily as a result of the lower overall activity and a less favorable revenue mix in the Arabian and Gulf GeoMarkets.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WESTERNGECO</w:t>
      </w:r>
    </w:p>
    <w:p>
      <w:pPr>
        <w:spacing w:after="0" w:line="17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Nine month revenue of $1.57 billion was 30% lower year-on-year. Revenue in all product lines declined, led by Multiclient primarily due to lower sales in North America. Marine revenue decreased due to lower activity and a rationalization of the fleet capacity as the result of weak market conditions. Land revenue fell due to contract completions in Latin America and Egypt, while Data Processing revenue was also down reflecting lower activity primarily in Europe/Africa and in North America.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Pretax margin decreased 19.9 percentage points to 13.5% primarily due to the weaker Marine activity and lower Multiclient sales.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&amp; Other Income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Interest &amp; other income consisted of the following for the third quarter and nine months ended September 30, 2009 and 2008:</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5"/>
          </w:tcPr>
          <w:p>
            <w:pPr>
              <w:ind w:left="220"/>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161"/>
        </w:trPr>
        <w:tc>
          <w:tcPr>
            <w:tcW w:w="41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5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Third Quarter</w:t>
            </w:r>
          </w:p>
        </w:tc>
        <w:tc>
          <w:tcPr>
            <w:tcW w:w="100" w:type="dxa"/>
            <w:vAlign w:val="bottom"/>
          </w:tcPr>
          <w:p>
            <w:pPr>
              <w:spacing w:after="0"/>
              <w:rPr>
                <w:sz w:val="14"/>
                <w:szCs w:val="14"/>
                <w:color w:val="auto"/>
              </w:rPr>
            </w:pPr>
          </w:p>
        </w:tc>
        <w:tc>
          <w:tcPr>
            <w:tcW w:w="1280" w:type="dxa"/>
            <w:vAlign w:val="bottom"/>
            <w:gridSpan w:val="5"/>
          </w:tcPr>
          <w:p>
            <w:pPr>
              <w:ind w:left="20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3"/>
              </w:rPr>
              <w:t>2008</w:t>
            </w:r>
          </w:p>
        </w:tc>
        <w:tc>
          <w:tcPr>
            <w:tcW w:w="4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w w:val="76"/>
              </w:rPr>
              <w:t>2009</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3"/>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$ 15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80" w:type="dxa"/>
            <w:vAlign w:val="bottom"/>
          </w:tcPr>
          <w:p>
            <w:pPr>
              <w:spacing w:after="0"/>
              <w:rPr>
                <w:sz w:val="20"/>
                <w:szCs w:val="20"/>
                <w:color w:val="auto"/>
              </w:rPr>
            </w:pPr>
            <w:r>
              <w:rPr>
                <w:rFonts w:ascii="Arial" w:cs="Arial" w:eastAsia="Arial" w:hAnsi="Arial"/>
                <w:sz w:val="18"/>
                <w:szCs w:val="18"/>
                <w:color w:val="auto"/>
              </w:rPr>
              <w:t>Equity in net earnings of affiliated companies</w:t>
            </w:r>
          </w:p>
        </w:tc>
        <w:tc>
          <w:tcPr>
            <w:tcW w:w="3380" w:type="dxa"/>
            <w:vAlign w:val="bottom"/>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$ 74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211</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3380" w:type="dxa"/>
            <w:vAlign w:val="bottom"/>
            <w:vMerge w:val="restart"/>
          </w:tcPr>
          <w:p>
            <w:pPr>
              <w:jc w:val="right"/>
              <w:ind w:right="2132"/>
              <w:spacing w:after="0"/>
              <w:rPr>
                <w:sz w:val="20"/>
                <w:szCs w:val="20"/>
                <w:color w:val="auto"/>
              </w:rPr>
            </w:pPr>
            <w:r>
              <w:rPr>
                <w:rFonts w:ascii="Arial" w:cs="Arial" w:eastAsia="Arial" w:hAnsi="Arial"/>
                <w:sz w:val="18"/>
                <w:szCs w:val="18"/>
                <w:color w:val="auto"/>
              </w:rPr>
              <w:t>26</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18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interest income is attributable to the significant decline in interest rates experienced during 2009 as compared to 2008.</w:t>
      </w:r>
    </w:p>
    <w:p>
      <w:pPr>
        <w:spacing w:after="0" w:line="171" w:lineRule="exact"/>
        <w:rPr>
          <w:sz w:val="20"/>
          <w:szCs w:val="20"/>
          <w:color w:val="auto"/>
        </w:rPr>
      </w:pPr>
    </w:p>
    <w:p>
      <w:pPr>
        <w:ind w:right="880"/>
        <w:spacing w:after="0" w:line="268" w:lineRule="auto"/>
        <w:rPr>
          <w:sz w:val="20"/>
          <w:szCs w:val="20"/>
          <w:color w:val="auto"/>
        </w:rPr>
      </w:pPr>
      <w:r>
        <w:rPr>
          <w:rFonts w:ascii="Arial" w:cs="Arial" w:eastAsia="Arial" w:hAnsi="Arial"/>
          <w:sz w:val="18"/>
          <w:szCs w:val="18"/>
          <w:color w:val="auto"/>
        </w:rPr>
        <w:t>The decrease in equity in net earnings of affiliated companies was primarily due to the results of the MI-SWACO drilling fluids joint venture between Schlumberger and Smith International,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96"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Gross margin was 24.1% and 31.6% in the third quarter of 2009 and 2008, respectively, and 23.2% and 31.3% in the nine month periods ended September 30, 2009 and 2008, respectively. The decreases in gross margin were primarily driven by the significant drop in activity and pricing pressure, particularly in North America for Oilfield Services.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Research &amp; engineering, Marketing and General &amp; administrative </w:t>
      </w:r>
      <w:r>
        <w:rPr>
          <w:rFonts w:ascii="Arial" w:cs="Arial" w:eastAsia="Arial" w:hAnsi="Arial"/>
          <w:sz w:val="16"/>
          <w:szCs w:val="16"/>
          <w:color w:val="auto"/>
        </w:rPr>
        <w:t>expenses, as a percentage of</w:t>
      </w:r>
      <w:r>
        <w:rPr>
          <w:rFonts w:ascii="Arial" w:cs="Arial" w:eastAsia="Arial" w:hAnsi="Arial"/>
          <w:sz w:val="16"/>
          <w:szCs w:val="16"/>
          <w:i w:val="1"/>
          <w:iCs w:val="1"/>
          <w:color w:val="auto"/>
        </w:rPr>
        <w:t xml:space="preserve"> Revenue</w:t>
      </w:r>
      <w:r>
        <w:rPr>
          <w:rFonts w:ascii="Arial" w:cs="Arial" w:eastAsia="Arial" w:hAnsi="Arial"/>
          <w:sz w:val="16"/>
          <w:szCs w:val="16"/>
          <w:color w:val="auto"/>
        </w:rPr>
        <w:t>, for the third quarter and nine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2009 and 2008 were as follows: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16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Third Quarter</w:t>
            </w:r>
          </w:p>
        </w:tc>
        <w:tc>
          <w:tcPr>
            <w:tcW w:w="240" w:type="dxa"/>
            <w:vAlign w:val="bottom"/>
          </w:tcPr>
          <w:p>
            <w:pPr>
              <w:spacing w:after="0"/>
              <w:rPr>
                <w:sz w:val="14"/>
                <w:szCs w:val="14"/>
                <w:color w:val="auto"/>
              </w:rPr>
            </w:pPr>
          </w:p>
        </w:tc>
        <w:tc>
          <w:tcPr>
            <w:tcW w:w="14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Nine Months</w:t>
            </w:r>
          </w:p>
        </w:tc>
      </w:tr>
      <w:tr>
        <w:trPr>
          <w:trHeight w:val="142"/>
        </w:trPr>
        <w:tc>
          <w:tcPr>
            <w:tcW w:w="7220" w:type="dxa"/>
            <w:vAlign w:val="bottom"/>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6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2008</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76"/>
              </w:rPr>
              <w:t>2009</w:t>
            </w:r>
          </w:p>
        </w:tc>
        <w:tc>
          <w:tcPr>
            <w:tcW w:w="5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r>
      <w:tr>
        <w:trPr>
          <w:trHeight w:val="20"/>
        </w:trPr>
        <w:tc>
          <w:tcPr>
            <w:tcW w:w="7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Research &amp; engineering</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3.7%</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3.4%</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Marketing</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0.4%</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9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0.4%</w:t>
            </w: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0.4%</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General &amp; administrative</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2.4%</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2.3%</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Research and engineering expenditures, by business segment, for the third quarter and nine months ended September 30, 2009 and 2008 were as follows: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4"/>
          </w:tcPr>
          <w:p>
            <w:pPr>
              <w:jc w:val="right"/>
              <w:ind w:right="20"/>
              <w:spacing w:after="0"/>
              <w:rPr>
                <w:sz w:val="20"/>
                <w:szCs w:val="20"/>
                <w:color w:val="auto"/>
              </w:rPr>
            </w:pPr>
            <w:r>
              <w:rPr>
                <w:rFonts w:ascii="Arial" w:cs="Arial" w:eastAsia="Arial" w:hAnsi="Arial"/>
                <w:sz w:val="14"/>
                <w:szCs w:val="14"/>
                <w:i w:val="1"/>
                <w:iCs w:val="1"/>
                <w:color w:val="auto"/>
                <w:w w:val="97"/>
              </w:rPr>
              <w:t>(Stated in millions)</w:t>
            </w:r>
          </w:p>
        </w:tc>
      </w:tr>
      <w:tr>
        <w:trPr>
          <w:trHeight w:val="161"/>
        </w:trPr>
        <w:tc>
          <w:tcPr>
            <w:tcW w:w="7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4"/>
          </w:tcPr>
          <w:p>
            <w:pPr>
              <w:ind w:left="140"/>
              <w:spacing w:after="0"/>
              <w:rPr>
                <w:sz w:val="20"/>
                <w:szCs w:val="20"/>
                <w:color w:val="auto"/>
              </w:rPr>
            </w:pPr>
            <w:r>
              <w:rPr>
                <w:rFonts w:ascii="Arial" w:cs="Arial" w:eastAsia="Arial" w:hAnsi="Arial"/>
                <w:sz w:val="14"/>
                <w:szCs w:val="14"/>
                <w:b w:val="1"/>
                <w:bCs w:val="1"/>
                <w:color w:val="auto"/>
              </w:rPr>
              <w:t>Third Quarter</w:t>
            </w:r>
          </w:p>
        </w:tc>
        <w:tc>
          <w:tcPr>
            <w:tcW w:w="220" w:type="dxa"/>
            <w:vAlign w:val="bottom"/>
          </w:tcPr>
          <w:p>
            <w:pPr>
              <w:spacing w:after="0"/>
              <w:rPr>
                <w:sz w:val="14"/>
                <w:szCs w:val="14"/>
                <w:color w:val="auto"/>
              </w:rPr>
            </w:pPr>
          </w:p>
        </w:tc>
        <w:tc>
          <w:tcPr>
            <w:tcW w:w="116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Nine Months</w:t>
            </w:r>
          </w:p>
        </w:tc>
      </w:tr>
      <w:tr>
        <w:trPr>
          <w:trHeight w:val="142"/>
        </w:trPr>
        <w:tc>
          <w:tcPr>
            <w:tcW w:w="7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2009</w:t>
            </w:r>
          </w:p>
        </w:tc>
        <w:tc>
          <w:tcPr>
            <w:tcW w:w="40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4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20" w:type="dxa"/>
            <w:vAlign w:val="bottom"/>
          </w:tcPr>
          <w:p>
            <w:pPr>
              <w:spacing w:after="0"/>
              <w:rPr>
                <w:sz w:val="12"/>
                <w:szCs w:val="12"/>
                <w:color w:val="auto"/>
              </w:rPr>
            </w:pPr>
          </w:p>
        </w:tc>
      </w:tr>
      <w:tr>
        <w:trPr>
          <w:trHeight w:val="21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Oilfield Services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$169</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$177</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$495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WesternGeco</w:t>
            </w: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26</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28</w:t>
            </w: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rPr>
              <w:t>79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4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4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r>
      <w:tr>
        <w:trPr>
          <w:trHeight w:val="223"/>
        </w:trPr>
        <w:tc>
          <w:tcPr>
            <w:tcW w:w="7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198</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208</w:t>
            </w:r>
          </w:p>
        </w:tc>
        <w:tc>
          <w:tcPr>
            <w:tcW w:w="2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585</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597</w:t>
            </w:r>
          </w:p>
        </w:tc>
      </w:tr>
      <w:tr>
        <w:trPr>
          <w:trHeight w:val="20"/>
        </w:trPr>
        <w:tc>
          <w:tcPr>
            <w:tcW w:w="7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The effective tax rate for the third quarter of 2009 was 19.5% compared to 21.4% for the same period in 2008. This decrease was primarily attributable to the substantially lower proportion of pretax earnings in North America in the third quarter of 2009 as compared to the third quarter of 2008.</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tax rate for the nine months ended September 30, 2009 was 20.2% compared to 20.5% for the same period of the prior year.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CHARGES</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 xml:space="preserve">Schlumberger recorded significant charges during the second quarter of 2009. These charges, which are summarized below, are more fully described in Note 2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second quarter 2009 charges: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6"/>
          </w:tcPr>
          <w:p>
            <w:pPr>
              <w:ind w:left="80"/>
              <w:spacing w:after="0"/>
              <w:rPr>
                <w:sz w:val="20"/>
                <w:szCs w:val="20"/>
                <w:color w:val="auto"/>
              </w:rPr>
            </w:pPr>
            <w:r>
              <w:rPr>
                <w:rFonts w:ascii="Arial" w:cs="Arial" w:eastAsia="Arial" w:hAnsi="Arial"/>
                <w:sz w:val="14"/>
                <w:szCs w:val="14"/>
                <w:i w:val="1"/>
                <w:iCs w:val="1"/>
                <w:color w:val="auto"/>
                <w:w w:val="97"/>
              </w:rPr>
              <w:t>(Stated in millions)</w:t>
            </w:r>
          </w:p>
        </w:tc>
        <w:tc>
          <w:tcPr>
            <w:tcW w:w="120" w:type="dxa"/>
            <w:vAlign w:val="bottom"/>
          </w:tcPr>
          <w:p>
            <w:pPr>
              <w:spacing w:after="0"/>
              <w:rPr>
                <w:sz w:val="14"/>
                <w:szCs w:val="14"/>
                <w:color w:val="auto"/>
              </w:rPr>
            </w:pPr>
          </w:p>
        </w:tc>
        <w:tc>
          <w:tcPr>
            <w:tcW w:w="268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Income Statement Classification</w:t>
            </w:r>
          </w:p>
        </w:tc>
        <w:tc>
          <w:tcPr>
            <w:tcW w:w="0" w:type="dxa"/>
            <w:vAlign w:val="bottom"/>
          </w:tcPr>
          <w:p>
            <w:pPr>
              <w:spacing w:after="0"/>
              <w:rPr>
                <w:sz w:val="1"/>
                <w:szCs w:val="1"/>
                <w:color w:val="auto"/>
              </w:rPr>
            </w:pPr>
          </w:p>
        </w:tc>
      </w:tr>
      <w:tr>
        <w:trPr>
          <w:trHeight w:val="161"/>
        </w:trPr>
        <w:tc>
          <w:tcPr>
            <w:tcW w:w="1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4"/>
              </w:rPr>
              <w:t>Pretax</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Tax</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gridSpan w:val="2"/>
          </w:tcPr>
          <w:p>
            <w:pPr>
              <w:ind w:left="20"/>
              <w:spacing w:after="0"/>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4"/>
                <w:szCs w:val="14"/>
                <w:color w:val="auto"/>
              </w:rPr>
            </w:pPr>
          </w:p>
        </w:tc>
        <w:tc>
          <w:tcPr>
            <w:tcW w:w="2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Charges</w:t>
            </w:r>
          </w:p>
        </w:tc>
        <w:tc>
          <w:tcPr>
            <w:tcW w:w="256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tcPr>
          <w:p>
            <w:pPr>
              <w:ind w:left="60"/>
              <w:spacing w:after="0"/>
              <w:rPr>
                <w:sz w:val="20"/>
                <w:szCs w:val="20"/>
                <w:color w:val="auto"/>
              </w:rPr>
            </w:pPr>
            <w:r>
              <w:rPr>
                <w:rFonts w:ascii="Arial" w:cs="Arial" w:eastAsia="Arial" w:hAnsi="Arial"/>
                <w:sz w:val="18"/>
                <w:szCs w:val="18"/>
                <w:color w:val="auto"/>
              </w:rPr>
              <w:t>Workforce reductions</w:t>
            </w:r>
          </w:p>
        </w:tc>
        <w:tc>
          <w:tcPr>
            <w:tcW w:w="3060" w:type="dxa"/>
            <w:vAlign w:val="bottom"/>
            <w:gridSpan w:val="3"/>
          </w:tcPr>
          <w:p>
            <w:pPr>
              <w:jc w:val="right"/>
              <w:ind w:right="120"/>
              <w:spacing w:after="0"/>
              <w:rPr>
                <w:sz w:val="20"/>
                <w:szCs w:val="20"/>
                <w:color w:val="auto"/>
              </w:rPr>
            </w:pPr>
            <w:r>
              <w:rPr>
                <w:rFonts w:ascii="Arial" w:cs="Arial" w:eastAsia="Arial" w:hAnsi="Arial"/>
                <w:sz w:val="18"/>
                <w:szCs w:val="18"/>
                <w:color w:val="auto"/>
              </w:rPr>
              <w:t>$ 102</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(17)</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2800" w:type="dxa"/>
            <w:vAlign w:val="bottom"/>
            <w:gridSpan w:val="2"/>
          </w:tcPr>
          <w:p>
            <w:pPr>
              <w:ind w:left="120"/>
              <w:spacing w:after="0"/>
              <w:rPr>
                <w:sz w:val="20"/>
                <w:szCs w:val="20"/>
                <w:color w:val="auto"/>
              </w:rPr>
            </w:pPr>
            <w:r>
              <w:rPr>
                <w:rFonts w:ascii="Arial" w:cs="Arial" w:eastAsia="Arial" w:hAnsi="Arial"/>
                <w:sz w:val="18"/>
                <w:szCs w:val="18"/>
                <w:i w:val="1"/>
                <w:iCs w:val="1"/>
                <w:color w:val="auto"/>
              </w:rPr>
              <w:t>Cost of revenue</w:t>
            </w: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0" w:type="dxa"/>
            <w:vAlign w:val="bottom"/>
            <w:shd w:val="clear" w:color="auto" w:fill="CCEEFF"/>
          </w:tcPr>
          <w:p>
            <w:pPr>
              <w:ind w:left="60"/>
              <w:spacing w:after="0"/>
              <w:rPr>
                <w:sz w:val="20"/>
                <w:szCs w:val="20"/>
                <w:color w:val="auto"/>
              </w:rPr>
            </w:pPr>
            <w:r>
              <w:rPr>
                <w:rFonts w:ascii="Arial" w:cs="Arial" w:eastAsia="Arial" w:hAnsi="Arial"/>
                <w:sz w:val="18"/>
                <w:szCs w:val="18"/>
                <w:color w:val="auto"/>
              </w:rPr>
              <w:t>Postretirement benefits curtailment</w:t>
            </w:r>
          </w:p>
        </w:tc>
        <w:tc>
          <w:tcPr>
            <w:tcW w:w="25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280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Cost of revenue</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4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3060" w:type="dxa"/>
            <w:vAlign w:val="bottom"/>
            <w:gridSpan w:val="3"/>
          </w:tcPr>
          <w:p>
            <w:pPr>
              <w:jc w:val="right"/>
              <w:ind w:right="120"/>
              <w:spacing w:after="0"/>
              <w:rPr>
                <w:sz w:val="20"/>
                <w:szCs w:val="20"/>
                <w:color w:val="auto"/>
              </w:rPr>
            </w:pPr>
            <w:r>
              <w:rPr>
                <w:rFonts w:ascii="Arial" w:cs="Arial" w:eastAsia="Arial" w:hAnsi="Arial"/>
                <w:sz w:val="18"/>
                <w:szCs w:val="18"/>
                <w:color w:val="auto"/>
              </w:rPr>
              <w:t>$ 238</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(31)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560" w:type="dxa"/>
            <w:vAlign w:val="bottom"/>
            <w:vMerge w:val="restart"/>
          </w:tcPr>
          <w:p>
            <w:pPr>
              <w:jc w:val="right"/>
              <w:ind w:right="812"/>
              <w:spacing w:after="0"/>
              <w:rPr>
                <w:sz w:val="20"/>
                <w:szCs w:val="20"/>
                <w:color w:val="auto"/>
              </w:rPr>
            </w:pPr>
            <w:r>
              <w:rPr>
                <w:rFonts w:ascii="Arial" w:cs="Arial" w:eastAsia="Arial" w:hAnsi="Arial"/>
                <w:sz w:val="18"/>
                <w:szCs w:val="18"/>
                <w:color w:val="auto"/>
              </w:rPr>
              <w:t>27</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charges in either the first or third quarters of 2009 or the first nine months of 2008.</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9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Net Debt represents gross debt less cash, short-term investments and fixed income investments, held to maturity. Management believes that Net Debt provides useful information regarding the level of Schlumberger indebtedness by reflecting cash and investments that could be used to repay debt.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Details of Net Debt follow:</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060" w:type="dxa"/>
            <w:vAlign w:val="bottom"/>
            <w:gridSpan w:val="4"/>
          </w:tcPr>
          <w:p>
            <w:pPr>
              <w:jc w:val="right"/>
              <w:ind w:right="560"/>
              <w:spacing w:after="0" w:line="149" w:lineRule="exact"/>
              <w:rPr>
                <w:sz w:val="20"/>
                <w:szCs w:val="20"/>
                <w:color w:val="auto"/>
              </w:rPr>
            </w:pPr>
            <w:r>
              <w:rPr>
                <w:rFonts w:ascii="Arial" w:cs="Arial" w:eastAsia="Arial" w:hAnsi="Arial"/>
                <w:sz w:val="14"/>
                <w:szCs w:val="14"/>
                <w:b w:val="1"/>
                <w:bCs w:val="1"/>
                <w:color w:val="auto"/>
                <w:w w:val="89"/>
              </w:rPr>
              <w:t>Sept. 30</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Sept.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6"/>
              </w:rPr>
              <w:t>2009</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Debt, beginning of year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w w:val="87"/>
              </w:rPr>
              <w:t>(1,129)</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2,344</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4,310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1"/>
                <w:szCs w:val="11"/>
                <w:color w:val="auto"/>
              </w:rPr>
              <w:t>(1)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1,848</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420"/>
              <w:spacing w:after="0"/>
              <w:rPr>
                <w:sz w:val="20"/>
                <w:szCs w:val="20"/>
                <w:color w:val="auto"/>
              </w:rPr>
            </w:pPr>
            <w:r>
              <w:rPr>
                <w:rFonts w:ascii="Arial" w:cs="Arial" w:eastAsia="Arial" w:hAnsi="Arial"/>
                <w:sz w:val="18"/>
                <w:szCs w:val="18"/>
                <w:color w:val="auto"/>
              </w:rPr>
              <w:t>Non-cash postretirement benefits curtailment charge</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136</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Excess of equity income over dividends received</w:t>
            </w: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(54)</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420"/>
              <w:spacing w:after="0"/>
              <w:rPr>
                <w:sz w:val="20"/>
                <w:szCs w:val="20"/>
                <w:color w:val="auto"/>
              </w:rPr>
            </w:pPr>
            <w:r>
              <w:rPr>
                <w:rFonts w:ascii="Arial" w:cs="Arial" w:eastAsia="Arial" w:hAnsi="Arial"/>
                <w:sz w:val="18"/>
                <w:szCs w:val="18"/>
                <w:color w:val="auto"/>
              </w:rPr>
              <w:t>Stock-based compensation expense</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139</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Increase in working capital requirements</w:t>
            </w: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(552)</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420"/>
              <w:spacing w:after="0"/>
              <w:rPr>
                <w:sz w:val="20"/>
                <w:szCs w:val="20"/>
                <w:color w:val="auto"/>
              </w:rPr>
            </w:pPr>
            <w:r>
              <w:rPr>
                <w:rFonts w:ascii="Arial" w:cs="Arial" w:eastAsia="Arial" w:hAnsi="Arial"/>
                <w:sz w:val="18"/>
                <w:szCs w:val="18"/>
                <w:color w:val="auto"/>
              </w:rPr>
              <w:t>Capital expenditure</w:t>
            </w:r>
          </w:p>
        </w:tc>
        <w:tc>
          <w:tcPr>
            <w:tcW w:w="80" w:type="dxa"/>
            <w:vAlign w:val="bottom"/>
          </w:tcPr>
          <w:p>
            <w:pPr>
              <w:spacing w:after="0"/>
              <w:rPr>
                <w:sz w:val="18"/>
                <w:szCs w:val="18"/>
                <w:color w:val="auto"/>
              </w:rPr>
            </w:pPr>
          </w:p>
        </w:tc>
        <w:tc>
          <w:tcPr>
            <w:tcW w:w="98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w w:val="87"/>
              </w:rPr>
              <w:t>(1,719)</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(2,553)</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Multiclient seismic data capitalized</w:t>
            </w: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(150)</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420"/>
              <w:spacing w:after="0"/>
              <w:rPr>
                <w:sz w:val="20"/>
                <w:szCs w:val="20"/>
                <w:color w:val="auto"/>
              </w:rPr>
            </w:pPr>
            <w:r>
              <w:rPr>
                <w:rFonts w:ascii="Arial" w:cs="Arial" w:eastAsia="Arial" w:hAnsi="Arial"/>
                <w:sz w:val="18"/>
                <w:szCs w:val="18"/>
                <w:color w:val="auto"/>
              </w:rPr>
              <w:t>Dividends paid</w:t>
            </w:r>
          </w:p>
        </w:tc>
        <w:tc>
          <w:tcPr>
            <w:tcW w:w="80" w:type="dxa"/>
            <w:vAlign w:val="bottom"/>
          </w:tcPr>
          <w:p>
            <w:pPr>
              <w:spacing w:after="0"/>
              <w:rPr>
                <w:sz w:val="18"/>
                <w:szCs w:val="18"/>
                <w:color w:val="auto"/>
              </w:rPr>
            </w:pPr>
          </w:p>
        </w:tc>
        <w:tc>
          <w:tcPr>
            <w:tcW w:w="98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(758)</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employee stock plans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156</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420"/>
              <w:spacing w:after="0"/>
              <w:rPr>
                <w:sz w:val="20"/>
                <w:szCs w:val="20"/>
                <w:color w:val="auto"/>
              </w:rPr>
            </w:pPr>
            <w:r>
              <w:rPr>
                <w:rFonts w:ascii="Arial" w:cs="Arial" w:eastAsia="Arial" w:hAnsi="Arial"/>
                <w:sz w:val="18"/>
                <w:szCs w:val="18"/>
                <w:color w:val="auto"/>
              </w:rPr>
              <w:t>Business acquisitions and minority interest investments</w:t>
            </w:r>
          </w:p>
        </w:tc>
        <w:tc>
          <w:tcPr>
            <w:tcW w:w="80" w:type="dxa"/>
            <w:vAlign w:val="bottom"/>
          </w:tcPr>
          <w:p>
            <w:pPr>
              <w:spacing w:after="0"/>
              <w:rPr>
                <w:sz w:val="18"/>
                <w:szCs w:val="18"/>
                <w:color w:val="auto"/>
              </w:rPr>
            </w:pPr>
          </w:p>
        </w:tc>
        <w:tc>
          <w:tcPr>
            <w:tcW w:w="98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(475)</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Pension plan funding</w:t>
            </w: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(865)</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420"/>
              <w:spacing w:after="0"/>
              <w:rPr>
                <w:sz w:val="20"/>
                <w:szCs w:val="20"/>
                <w:color w:val="auto"/>
              </w:rPr>
            </w:pPr>
            <w:r>
              <w:rPr>
                <w:rFonts w:ascii="Arial" w:cs="Arial" w:eastAsia="Arial" w:hAnsi="Arial"/>
                <w:sz w:val="18"/>
                <w:szCs w:val="18"/>
                <w:color w:val="auto"/>
              </w:rPr>
              <w:t>Stock repurchase program</w:t>
            </w:r>
          </w:p>
        </w:tc>
        <w:tc>
          <w:tcPr>
            <w:tcW w:w="80" w:type="dxa"/>
            <w:vAlign w:val="bottom"/>
          </w:tcPr>
          <w:p>
            <w:pPr>
              <w:spacing w:after="0"/>
              <w:rPr>
                <w:sz w:val="18"/>
                <w:szCs w:val="18"/>
                <w:color w:val="auto"/>
              </w:rPr>
            </w:pPr>
          </w:p>
        </w:tc>
        <w:tc>
          <w:tcPr>
            <w:tcW w:w="98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(1,665)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Conversion of debentures</w:t>
            </w: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485</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Translation effect on Net Debt</w:t>
            </w: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(66)</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6940" w:type="dxa"/>
            <w:vAlign w:val="bottom"/>
            <w:gridSpan w:val="3"/>
            <w:vMerge w:val="restart"/>
          </w:tcPr>
          <w:p>
            <w:pPr>
              <w:spacing w:after="0"/>
              <w:rPr>
                <w:sz w:val="20"/>
                <w:szCs w:val="20"/>
                <w:color w:val="auto"/>
              </w:rPr>
            </w:pPr>
            <w:r>
              <w:rPr>
                <w:rFonts w:ascii="Arial" w:cs="Arial" w:eastAsia="Arial" w:hAnsi="Arial"/>
                <w:sz w:val="18"/>
                <w:szCs w:val="18"/>
                <w:color w:val="auto"/>
              </w:rPr>
              <w:t>Net Debt, end of period</w:t>
            </w: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gridSpan w:val="2"/>
            <w:vMerge w:val="restart"/>
          </w:tcPr>
          <w:p>
            <w:pPr>
              <w:jc w:val="right"/>
              <w:ind w:right="460"/>
              <w:spacing w:after="0"/>
              <w:rPr>
                <w:sz w:val="20"/>
                <w:szCs w:val="20"/>
                <w:color w:val="auto"/>
              </w:rPr>
            </w:pPr>
            <w:r>
              <w:rPr>
                <w:rFonts w:ascii="Arial" w:cs="Arial" w:eastAsia="Arial" w:hAnsi="Arial"/>
                <w:sz w:val="16"/>
                <w:szCs w:val="16"/>
                <w:b w:val="1"/>
                <w:bCs w:val="1"/>
                <w:color w:val="auto"/>
                <w:w w:val="74"/>
              </w:rPr>
              <w:t>)</w:t>
            </w: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40" w:type="dxa"/>
            <w:vAlign w:val="bottom"/>
            <w:gridSpan w:val="3"/>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(660</w:t>
            </w:r>
          </w:p>
        </w:tc>
        <w:tc>
          <w:tcPr>
            <w:tcW w:w="520" w:type="dxa"/>
            <w:vAlign w:val="bottom"/>
            <w:gridSpan w:val="2"/>
            <w:vMerge w:val="continue"/>
          </w:tcPr>
          <w:p>
            <w:pPr>
              <w:spacing w:after="0"/>
              <w:rPr>
                <w:sz w:val="19"/>
                <w:szCs w:val="19"/>
                <w:color w:val="auto"/>
              </w:rPr>
            </w:pPr>
          </w:p>
        </w:tc>
        <w:tc>
          <w:tcPr>
            <w:tcW w:w="6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tcBorders>
              <w:bottom w:val="single" w:sz="8" w:color="808080"/>
            </w:tcBorders>
          </w:tcPr>
          <w:p>
            <w:pPr>
              <w:spacing w:after="0"/>
              <w:rPr>
                <w:sz w:val="12"/>
                <w:szCs w:val="12"/>
                <w:color w:val="auto"/>
              </w:rPr>
            </w:pPr>
          </w:p>
        </w:tc>
        <w:tc>
          <w:tcPr>
            <w:tcW w:w="5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480" w:hanging="567"/>
        <w:spacing w:after="0"/>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Multiclient seismic data costs.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380" w:type="dxa"/>
            <w:vAlign w:val="bottom"/>
            <w:gridSpan w:val="3"/>
          </w:tcPr>
          <w:p>
            <w:pPr>
              <w:jc w:val="right"/>
              <w:ind w:right="880"/>
              <w:spacing w:after="0" w:line="149" w:lineRule="exact"/>
              <w:rPr>
                <w:sz w:val="20"/>
                <w:szCs w:val="20"/>
                <w:color w:val="auto"/>
              </w:rPr>
            </w:pPr>
            <w:r>
              <w:rPr>
                <w:rFonts w:ascii="Arial" w:cs="Arial" w:eastAsia="Arial" w:hAnsi="Arial"/>
                <w:sz w:val="14"/>
                <w:szCs w:val="14"/>
                <w:b w:val="1"/>
                <w:bCs w:val="1"/>
                <w:color w:val="auto"/>
                <w:w w:val="89"/>
              </w:rPr>
              <w:t>Sept. 30</w:t>
            </w:r>
          </w:p>
        </w:tc>
        <w:tc>
          <w:tcPr>
            <w:tcW w:w="1000" w:type="dxa"/>
            <w:vAlign w:val="bottom"/>
            <w:gridSpan w:val="3"/>
          </w:tcPr>
          <w:p>
            <w:pPr>
              <w:jc w:val="right"/>
              <w:ind w:right="500"/>
              <w:spacing w:after="0" w:line="149" w:lineRule="exact"/>
              <w:rPr>
                <w:sz w:val="20"/>
                <w:szCs w:val="20"/>
                <w:color w:val="auto"/>
              </w:rPr>
            </w:pPr>
            <w:r>
              <w:rPr>
                <w:rFonts w:ascii="Arial" w:cs="Arial" w:eastAsia="Arial" w:hAnsi="Arial"/>
                <w:sz w:val="14"/>
                <w:szCs w:val="14"/>
                <w:b w:val="1"/>
                <w:bCs w:val="1"/>
                <w:color w:val="auto"/>
                <w:w w:val="89"/>
              </w:rPr>
              <w:t>Sept. 30</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Dec. 31</w:t>
            </w:r>
          </w:p>
        </w:tc>
        <w:tc>
          <w:tcPr>
            <w:tcW w:w="0" w:type="dxa"/>
            <w:vAlign w:val="bottom"/>
          </w:tcPr>
          <w:p>
            <w:pPr>
              <w:spacing w:after="0"/>
              <w:rPr>
                <w:sz w:val="1"/>
                <w:szCs w:val="1"/>
                <w:color w:val="auto"/>
              </w:rPr>
            </w:pPr>
          </w:p>
        </w:tc>
      </w:tr>
      <w:tr>
        <w:trPr>
          <w:trHeight w:val="161"/>
        </w:trPr>
        <w:tc>
          <w:tcPr>
            <w:tcW w:w="6580" w:type="dxa"/>
            <w:vAlign w:val="bottom"/>
            <w:gridSpan w:val="3"/>
          </w:tcPr>
          <w:p>
            <w:pPr>
              <w:spacing w:after="0"/>
              <w:rPr>
                <w:sz w:val="20"/>
                <w:szCs w:val="20"/>
                <w:color w:val="auto"/>
              </w:rPr>
            </w:pPr>
            <w:r>
              <w:rPr>
                <w:rFonts w:ascii="Arial" w:cs="Arial" w:eastAsia="Arial" w:hAnsi="Arial"/>
                <w:sz w:val="14"/>
                <w:szCs w:val="14"/>
                <w:b w:val="1"/>
                <w:bCs w:val="1"/>
                <w:color w:val="auto"/>
              </w:rPr>
              <w:t>Components of Net Debt</w:t>
            </w:r>
          </w:p>
        </w:tc>
        <w:tc>
          <w:tcPr>
            <w:tcW w:w="80" w:type="dxa"/>
            <w:vAlign w:val="bottom"/>
          </w:tcPr>
          <w:p>
            <w:pPr>
              <w:spacing w:after="0"/>
              <w:rPr>
                <w:sz w:val="14"/>
                <w:szCs w:val="14"/>
                <w:color w:val="auto"/>
              </w:rPr>
            </w:pPr>
          </w:p>
        </w:tc>
        <w:tc>
          <w:tcPr>
            <w:tcW w:w="460" w:type="dxa"/>
            <w:vAlign w:val="bottom"/>
          </w:tcPr>
          <w:p>
            <w:pPr>
              <w:jc w:val="right"/>
              <w:ind w:right="55"/>
              <w:spacing w:after="0"/>
              <w:rPr>
                <w:sz w:val="20"/>
                <w:szCs w:val="20"/>
                <w:color w:val="auto"/>
              </w:rPr>
            </w:pPr>
            <w:r>
              <w:rPr>
                <w:rFonts w:ascii="Arial" w:cs="Arial" w:eastAsia="Arial" w:hAnsi="Arial"/>
                <w:sz w:val="14"/>
                <w:szCs w:val="14"/>
                <w:b w:val="1"/>
                <w:bCs w:val="1"/>
                <w:color w:val="auto"/>
                <w:w w:val="96"/>
              </w:rPr>
              <w:t>2009</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55"/>
              <w:spacing w:after="0"/>
              <w:rPr>
                <w:sz w:val="20"/>
                <w:szCs w:val="20"/>
                <w:color w:val="auto"/>
              </w:rPr>
            </w:pPr>
            <w:r>
              <w:rPr>
                <w:rFonts w:ascii="Arial" w:cs="Arial" w:eastAsia="Arial" w:hAnsi="Arial"/>
                <w:sz w:val="14"/>
                <w:szCs w:val="14"/>
                <w:b w:val="1"/>
                <w:bCs w:val="1"/>
                <w:color w:val="auto"/>
                <w:w w:val="96"/>
              </w:rPr>
              <w:t>2008</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317"/>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50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194</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Short-term investments</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4,034</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3,305</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income investments, held to maturity</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625</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511</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Bank loans and current portion of long-term debt</w:t>
            </w:r>
          </w:p>
        </w:tc>
        <w:tc>
          <w:tcPr>
            <w:tcW w:w="80" w:type="dxa"/>
            <w:vAlign w:val="bottom"/>
          </w:tcPr>
          <w:p>
            <w:pPr>
              <w:spacing w:after="0"/>
              <w:rPr>
                <w:sz w:val="18"/>
                <w:szCs w:val="18"/>
                <w:color w:val="auto"/>
              </w:rPr>
            </w:pPr>
          </w:p>
        </w:tc>
        <w:tc>
          <w:tcPr>
            <w:tcW w:w="130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(879)</w:t>
            </w: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(2,211)</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debentures</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(321)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(333)</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Other long-term debt</w:t>
            </w:r>
          </w:p>
        </w:tc>
        <w:tc>
          <w:tcPr>
            <w:tcW w:w="80" w:type="dxa"/>
            <w:vAlign w:val="bottom"/>
          </w:tcPr>
          <w:p>
            <w:pPr>
              <w:spacing w:after="0"/>
              <w:rPr>
                <w:sz w:val="18"/>
                <w:szCs w:val="18"/>
                <w:color w:val="auto"/>
              </w:rPr>
            </w:pPr>
          </w:p>
        </w:tc>
        <w:tc>
          <w:tcPr>
            <w:tcW w:w="130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w w:val="87"/>
              </w:rPr>
              <w:t>(4,313)</w:t>
            </w: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(3,195)</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(3,372)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(660)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(1,735)</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Key liquidity events during the first nine months of 2009 and 2008 included:</w:t>
      </w:r>
    </w:p>
    <w:p>
      <w:pPr>
        <w:spacing w:after="0" w:line="90" w:lineRule="exact"/>
        <w:rPr>
          <w:sz w:val="20"/>
          <w:szCs w:val="20"/>
          <w:color w:val="auto"/>
        </w:rPr>
      </w:pPr>
    </w:p>
    <w:p>
      <w:pPr>
        <w:ind w:left="90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the third quarter of 2009 Schlumberger issued $450 million of 3.00% Guaranteed Notes due 2013. The proceeds from these notes were used to refinance existing debt obligations.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80"/>
          </w:cols>
          <w:pgMar w:left="240" w:top="459" w:right="3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900" w:right="180" w:hanging="446"/>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During the first quarter of 2009, a subsidiary of Schlumberger entered into a €3.0 billion Euro Medium Term Note program which is guaranteed by Schlumberger Limited. This program provides for the issuance of various types of debt instruments such as fixed or floating rate notes in Euro, US dollar or other currencies.</w:t>
      </w:r>
    </w:p>
    <w:p>
      <w:pPr>
        <w:spacing w:after="0" w:line="59" w:lineRule="exact"/>
        <w:rPr>
          <w:rFonts w:ascii="Arial" w:cs="Arial" w:eastAsia="Arial" w:hAnsi="Arial"/>
          <w:sz w:val="18"/>
          <w:szCs w:val="18"/>
          <w:color w:val="auto"/>
        </w:rPr>
      </w:pPr>
    </w:p>
    <w:p>
      <w:pPr>
        <w:ind w:left="900"/>
        <w:spacing w:after="0" w:line="256" w:lineRule="auto"/>
        <w:rPr>
          <w:rFonts w:ascii="Arial" w:cs="Arial" w:eastAsia="Arial" w:hAnsi="Arial"/>
          <w:sz w:val="18"/>
          <w:szCs w:val="18"/>
          <w:color w:val="auto"/>
        </w:rPr>
      </w:pPr>
      <w:r>
        <w:rPr>
          <w:rFonts w:ascii="Arial" w:cs="Arial" w:eastAsia="Arial" w:hAnsi="Arial"/>
          <w:sz w:val="18"/>
          <w:szCs w:val="18"/>
          <w:color w:val="auto"/>
        </w:rPr>
        <w:t>During the first quarter of 2009, Schlumberger issued €1.0 billion 4.50% Guaranteed Notes due 2014 under this program. Schlumberger entered into agreements to swap these euro notes for US dollars on the date of issue until maturity, effectively making this a US dollar denominated debt on which Schlumberger will pay interest in US dollars at a rate of 4.95%. The proceeds from these notes were used to refinance existing debt obligations and for general corporate purposes.</w:t>
      </w:r>
    </w:p>
    <w:p>
      <w:pPr>
        <w:spacing w:after="0" w:line="62"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Schlumberger repaid approximately $1.8 billion of debt during the first nine months of 2009 compared to $0.3 billion during the first nine months of 2008.</w:t>
      </w:r>
    </w:p>
    <w:p>
      <w:pPr>
        <w:spacing w:after="0" w:line="50" w:lineRule="exact"/>
        <w:rPr>
          <w:rFonts w:ascii="Arial" w:cs="Arial" w:eastAsia="Arial" w:hAnsi="Arial"/>
          <w:sz w:val="18"/>
          <w:szCs w:val="18"/>
          <w:color w:val="auto"/>
        </w:rPr>
      </w:pPr>
    </w:p>
    <w:p>
      <w:pPr>
        <w:ind w:left="900" w:right="120" w:hanging="446"/>
        <w:spacing w:after="0" w:line="291"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On April 20, 2006, the Board of Directors of Schlumberger approved a share repurchase program of up to 40 million shares of its common stock to be acquired in the open market before April 2010, subject to market conditions. This program was completed during the second quarter of 2008. On April 17, 2008, the Board of Directors of Schlumberger approved an $8 billion share repurchase program for shares of its common stock to be acquired in the open market before December 31, 2011, of which $934 million have been repurchased as of September 30, 2009. Schlumberger has temporarily suspended the share repurchase program and did not repurchase any shares during the first nine months of 2009. The following table summarizes the activity under the April 20, 2006 share repurchase program during the nine months ended September 30, 2008:</w:t>
      </w:r>
    </w:p>
    <w:p>
      <w:pPr>
        <w:spacing w:after="0" w:line="14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320" w:type="dxa"/>
            <w:vAlign w:val="bottom"/>
            <w:gridSpan w:val="4"/>
          </w:tcPr>
          <w:p>
            <w:pPr>
              <w:jc w:val="right"/>
              <w:spacing w:after="0"/>
              <w:rPr>
                <w:sz w:val="20"/>
                <w:szCs w:val="20"/>
                <w:color w:val="auto"/>
              </w:rPr>
            </w:pPr>
            <w:r>
              <w:rPr>
                <w:rFonts w:ascii="Arial" w:cs="Arial" w:eastAsia="Arial" w:hAnsi="Arial"/>
                <w:sz w:val="14"/>
                <w:szCs w:val="14"/>
                <w:i w:val="1"/>
                <w:iCs w:val="1"/>
                <w:color w:val="auto"/>
              </w:rPr>
              <w:t>(Stated in millions, except per share amounts)</w:t>
            </w:r>
          </w:p>
        </w:tc>
      </w:tr>
      <w:tr>
        <w:trPr>
          <w:trHeight w:val="149"/>
        </w:trPr>
        <w:tc>
          <w:tcPr>
            <w:tcW w:w="46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Total cost of</w:t>
            </w:r>
          </w:p>
        </w:tc>
        <w:tc>
          <w:tcPr>
            <w:tcW w:w="9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Total number</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149"/>
        </w:trPr>
        <w:tc>
          <w:tcPr>
            <w:tcW w:w="46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9"/>
              </w:rPr>
              <w:t>shares</w:t>
            </w:r>
          </w:p>
        </w:tc>
        <w:tc>
          <w:tcPr>
            <w:tcW w:w="9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of shares</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ind w:right="406"/>
              <w:spacing w:after="0" w:line="149" w:lineRule="exact"/>
              <w:rPr>
                <w:sz w:val="20"/>
                <w:szCs w:val="20"/>
                <w:color w:val="auto"/>
              </w:rPr>
            </w:pPr>
            <w:r>
              <w:rPr>
                <w:rFonts w:ascii="Arial" w:cs="Arial" w:eastAsia="Arial" w:hAnsi="Arial"/>
                <w:sz w:val="14"/>
                <w:szCs w:val="14"/>
                <w:b w:val="1"/>
                <w:bCs w:val="1"/>
                <w:color w:val="auto"/>
              </w:rPr>
              <w:t>Average</w:t>
            </w:r>
          </w:p>
        </w:tc>
      </w:tr>
      <w:tr>
        <w:trPr>
          <w:trHeight w:val="161"/>
        </w:trPr>
        <w:tc>
          <w:tcPr>
            <w:tcW w:w="46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purchased</w:t>
            </w:r>
          </w:p>
        </w:tc>
        <w:tc>
          <w:tcPr>
            <w:tcW w:w="90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purchased</w:t>
            </w:r>
          </w:p>
        </w:tc>
        <w:tc>
          <w:tcPr>
            <w:tcW w:w="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b w:val="1"/>
                <w:bCs w:val="1"/>
                <w:color w:val="auto"/>
                <w:w w:val="87"/>
              </w:rPr>
              <w:t>price paid per share</w:t>
            </w: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Nine months ended September 30, 2008</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   1,665</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90.65</w:t>
            </w:r>
          </w:p>
        </w:tc>
      </w:tr>
    </w:tbl>
    <w:p>
      <w:pPr>
        <w:spacing w:after="0" w:line="73" w:lineRule="exact"/>
        <w:rPr>
          <w:sz w:val="20"/>
          <w:szCs w:val="20"/>
          <w:color w:val="auto"/>
        </w:rPr>
      </w:pPr>
    </w:p>
    <w:p>
      <w:pPr>
        <w:ind w:left="900" w:right="10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During the first nine months of 2009 Schlumberger made contributions to its US and international defined benefit pension plans of $314 million and $551 million, respectively.</w:t>
      </w:r>
    </w:p>
    <w:p>
      <w:pPr>
        <w:spacing w:after="0" w:line="50" w:lineRule="exact"/>
        <w:rPr>
          <w:rFonts w:ascii="Arial" w:cs="Arial" w:eastAsia="Arial" w:hAnsi="Arial"/>
          <w:sz w:val="18"/>
          <w:szCs w:val="18"/>
          <w:color w:val="auto"/>
        </w:rPr>
      </w:pPr>
    </w:p>
    <w:p>
      <w:pPr>
        <w:ind w:left="900" w:right="220" w:hanging="446"/>
        <w:spacing w:after="0" w:line="306"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Cash flow provided by operations was $3.3 billion in the first nine months of 2009 compared to $4.9 billion in the first nine months of 2008. This was primarily driven by the net income decrease experienced in the first nine months of 2009 as compared to the first nine months of 2008 and the significant pension plan contributions made during the first nine months of 2009, offset by an improvement in working capital requirements.</w:t>
      </w:r>
    </w:p>
    <w:p>
      <w:pPr>
        <w:spacing w:after="0" w:line="25" w:lineRule="exact"/>
        <w:rPr>
          <w:rFonts w:ascii="Arial" w:cs="Arial" w:eastAsia="Arial" w:hAnsi="Arial"/>
          <w:sz w:val="16"/>
          <w:szCs w:val="16"/>
          <w:color w:val="auto"/>
        </w:rPr>
      </w:pPr>
    </w:p>
    <w:p>
      <w:pPr>
        <w:ind w:left="900" w:right="64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Capital expenditures were $1.7 billion in the first nine months of 2009 compared to $2.6 billion during the first nine months of 2008. Capital expenditures are expected to approach $2.4 billion for the full year 2009.</w:t>
      </w:r>
    </w:p>
    <w:p>
      <w:pPr>
        <w:spacing w:after="0" w:line="13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reduction in cash flows recently experienced by some of Schlumberger’s customers as a result of recent global market and economic conditions, could have significant adverse effects on their financial condition. This could result in, among other things, delay in, or nonpayment of, amounts that are owed to Schlumberger, which could have a material adverse effect on Schlumberger’s results of operations and cash flows. At times in recent quarters, Schlumberger has experienced delays in payments from certain of its customers. Schlumberger operates in approximately 80 countries. At September 30, 2009, only five of those countries individually accounted for greater than 5% of Schlumberger’s accounts receivable balance and only one, where cash collections continue to be received on a timely and regular basis, represented greater than 10%.</w:t>
      </w:r>
    </w:p>
    <w:p>
      <w:pPr>
        <w:spacing w:after="0" w:line="12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At September 30, 2009, Schlumberger had approximately $4.9 billion of cash and investments on hand. Wholly-owned subsidiaries of Schlumberger had separate committed debt facility agreements aggregating $3.9 billion with commercial banks, of which $2.8 billion was available and unused as of September 30, 2009. Schlumberger believes that these amounts are sufficient to meet future business requirements for at least the next twelve months.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Schlumberger’s total outstanding debt at September 30, 2009 was $5.5 billion and included approximately $0.4 billion of commercial paper borrowings. The total outstanding debt increased approximately $0.2 billion as compared to December 31, 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Report and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Oilfield Services and WesternGeco (and for specified products or geographic areas within each segment); oil and natural gas demand and production growth; operating margins; capital expenditures by Schlumberger and the oil and gas industry; the business strategies of Schlumberger customers; the Schlumberger effective tax rate; future global economic conditions; and future results of operations. These statements are subject to risks and uncertainties, including, but not limited to, the current global economic downturn; changes in exploration and production spending by Schlumberger customers and changes in the level of oil and natural gas exploration and development; general economic and business conditions in key regions of the world; the financial condition of some of our customers in light of current global economic conditions; pricing erosion; seasonal factors; and other risks and uncertainties detailed in our third-quarter 2009 earnings release, our most recent Form 10-K and other filings that we make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24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3.</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quantitative and qualitative disclosures about market risk affecting Schlumberger, see Item 7A, “Quantitative and Qualitative Disclosures about Market Risk,” of the Schlumberger Annual Report on Form 10-K for the fiscal year ended December 31, 2008. Schlumberger’s exposure to market risk has not changed materially since December 31, 2008.</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4.</w:t>
      </w:r>
      <w:r>
        <w:rPr>
          <w:sz w:val="20"/>
          <w:szCs w:val="20"/>
          <w:color w:val="auto"/>
        </w:rPr>
        <w:tab/>
      </w:r>
      <w:r>
        <w:rPr>
          <w:rFonts w:ascii="Arial" w:cs="Arial" w:eastAsia="Arial" w:hAnsi="Arial"/>
          <w:sz w:val="15"/>
          <w:szCs w:val="15"/>
          <w:b w:val="1"/>
          <w:bCs w:val="1"/>
          <w:u w:val="single" w:color="auto"/>
          <w:color w:val="auto"/>
        </w:rPr>
        <w:t>Controls and Procedures.</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Schlumberger has carried out an evaluation under the supervision and with the participation of Schlumberger’s management, including the Chief Executive Officer (“CEO”) and the Chief Financial Officer (“CFO”), of the effectiveness of Schlumberger’s “disclosure controls and procedures” (as such term is defined in Rules 13a-15(e) and 15d-15(e) under the Securities Exchange Act of 1934 (the “Exchange Act”)) as of the end of the period covered by this report. Based on this evaluation, the CEO and the CFO have concluded that, as of the end of the period covered by this report, Schlumberger’s disclosure controls and procedures were effective to provide reasonable assurance that information required to be disclosed in the reports that Schlumberger files or submits under the Exchange Act is recorded, processed, summarized and reported within the time periods specified in the Securities and Exchange Commission’s rules and forms. Schlumberger’s disclosure controls and procedures include controls and procedures designed to ensure that information required to be disclosed in reports filed or submitted under the Exchange Act is accumulated and communicated to its management, including the CEO and the CFO, as appropriate, to allow timely decisions regarding required disclosure. There has been no change in Schlumberger’s internal control over financial reporting that occurred during the quarter to which this report relates that has materially affected, or is reasonably likely to materially affect, Schlumberger’s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 Mark of Schlumberger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u w:val="single" w:color="auto"/>
          <w:color w:val="auto"/>
        </w:rPr>
        <w:t>PART II.</w:t>
      </w:r>
      <w:r>
        <w:rPr>
          <w:sz w:val="20"/>
          <w:szCs w:val="20"/>
          <w:color w:val="auto"/>
        </w:rPr>
        <w:tab/>
      </w:r>
      <w:r>
        <w:rPr>
          <w:rFonts w:ascii="Arial" w:cs="Arial" w:eastAsia="Arial" w:hAnsi="Arial"/>
          <w:sz w:val="18"/>
          <w:szCs w:val="18"/>
          <w:b w:val="1"/>
          <w:bCs w:val="1"/>
          <w:u w:val="single" w:color="auto"/>
          <w:color w:val="auto"/>
        </w:rPr>
        <w:t>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1.</w:t>
      </w:r>
      <w:r>
        <w:rPr>
          <w:sz w:val="20"/>
          <w:szCs w:val="20"/>
          <w:color w:val="auto"/>
        </w:rPr>
        <w:tab/>
      </w:r>
      <w:r>
        <w:rPr>
          <w:rFonts w:ascii="Arial" w:cs="Arial" w:eastAsia="Arial" w:hAnsi="Arial"/>
          <w:sz w:val="15"/>
          <w:szCs w:val="15"/>
          <w:b w:val="1"/>
          <w:bCs w:val="1"/>
          <w:u w:val="single" w:color="auto"/>
          <w:color w:val="auto"/>
        </w:rPr>
        <w:t>Legal Proceedings.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information with respect to Item 1 is set forth under Note 13.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u w:val="single" w:color="auto"/>
          <w:color w:val="auto"/>
        </w:rPr>
        <w:t>Risk Factors.</w:t>
      </w:r>
    </w:p>
    <w:p>
      <w:pPr>
        <w:spacing w:after="0" w:line="9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There have been no material changes from the risk factors as previously disclosed in Part 1, Item 1A, of the Schlumberger Annual Report on Form 10-K for the fiscal year ended December 31, 2008.</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2.</w:t>
      </w:r>
      <w:r>
        <w:rPr>
          <w:sz w:val="20"/>
          <w:szCs w:val="20"/>
          <w:color w:val="auto"/>
        </w:rPr>
        <w:tab/>
      </w:r>
      <w:r>
        <w:rPr>
          <w:rFonts w:ascii="Arial" w:cs="Arial" w:eastAsia="Arial" w:hAnsi="Arial"/>
          <w:sz w:val="15"/>
          <w:szCs w:val="15"/>
          <w:b w:val="1"/>
          <w:bCs w:val="1"/>
          <w:u w:val="single" w:color="auto"/>
          <w:color w:val="auto"/>
        </w:rPr>
        <w:t>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Unregistered Sales of Equity Securities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Issuer Repurchases of Equity Securities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3.</w:t>
      </w:r>
      <w:r>
        <w:rPr>
          <w:sz w:val="20"/>
          <w:szCs w:val="20"/>
          <w:color w:val="auto"/>
        </w:rPr>
        <w:tab/>
      </w:r>
      <w:r>
        <w:rPr>
          <w:rFonts w:ascii="Arial" w:cs="Arial" w:eastAsia="Arial" w:hAnsi="Arial"/>
          <w:sz w:val="15"/>
          <w:szCs w:val="15"/>
          <w:b w:val="1"/>
          <w:bCs w:val="1"/>
          <w:u w:val="single" w:color="auto"/>
          <w:color w:val="auto"/>
        </w:rPr>
        <w:t>Defaults Upon Senior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4.</w:t>
      </w:r>
      <w:r>
        <w:rPr>
          <w:sz w:val="20"/>
          <w:szCs w:val="20"/>
          <w:color w:val="auto"/>
        </w:rPr>
        <w:tab/>
      </w:r>
      <w:r>
        <w:rPr>
          <w:rFonts w:ascii="Arial" w:cs="Arial" w:eastAsia="Arial" w:hAnsi="Arial"/>
          <w:sz w:val="15"/>
          <w:szCs w:val="15"/>
          <w:b w:val="1"/>
          <w:bCs w:val="1"/>
          <w:u w:val="single" w:color="auto"/>
          <w:color w:val="auto"/>
        </w:rPr>
        <w:t>Submission of Matters to a Vote of Security Holders.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5.</w:t>
      </w:r>
      <w:r>
        <w:rPr>
          <w:sz w:val="20"/>
          <w:szCs w:val="20"/>
          <w:color w:val="auto"/>
        </w:rPr>
        <w:tab/>
      </w:r>
      <w:r>
        <w:rPr>
          <w:rFonts w:ascii="Arial" w:cs="Arial" w:eastAsia="Arial" w:hAnsi="Arial"/>
          <w:sz w:val="16"/>
          <w:szCs w:val="16"/>
          <w:b w:val="1"/>
          <w:bCs w:val="1"/>
          <w:u w:val="single" w:color="auto"/>
          <w:color w:val="auto"/>
        </w:rPr>
        <w:t>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6.</w:t>
      </w:r>
      <w:r>
        <w:rPr>
          <w:sz w:val="20"/>
          <w:szCs w:val="20"/>
          <w:color w:val="auto"/>
        </w:rPr>
        <w:tab/>
      </w:r>
      <w:r>
        <w:rPr>
          <w:rFonts w:ascii="Arial" w:cs="Arial" w:eastAsia="Arial" w:hAnsi="Arial"/>
          <w:sz w:val="15"/>
          <w:szCs w:val="15"/>
          <w:b w:val="1"/>
          <w:bCs w:val="1"/>
          <w:u w:val="single" w:color="auto"/>
          <w:color w:val="auto"/>
        </w:rPr>
        <w:t>Exhibits.</w:t>
      </w:r>
    </w:p>
    <w:p>
      <w:pPr>
        <w:spacing w:after="0" w:line="9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Exhibit 3.1 - Articles of Incorporation of Schlumberger Limited (Schlumberger N.V.) (incorporated by reference to Exhibit 3.1 to Schlumberger’s Quarterly Report on Form 10-Q for the fiscal quarter ended March 31, 2006).</w:t>
      </w:r>
    </w:p>
    <w:p>
      <w:pPr>
        <w:spacing w:after="0" w:line="51" w:lineRule="exact"/>
        <w:rPr>
          <w:sz w:val="20"/>
          <w:szCs w:val="20"/>
          <w:color w:val="auto"/>
        </w:rPr>
      </w:pPr>
    </w:p>
    <w:p>
      <w:pPr>
        <w:ind w:left="460" w:right="260"/>
        <w:spacing w:after="0" w:line="268" w:lineRule="auto"/>
        <w:rPr>
          <w:sz w:val="20"/>
          <w:szCs w:val="20"/>
          <w:color w:val="auto"/>
        </w:rPr>
      </w:pPr>
      <w:r>
        <w:rPr>
          <w:rFonts w:ascii="Arial" w:cs="Arial" w:eastAsia="Arial" w:hAnsi="Arial"/>
          <w:sz w:val="18"/>
          <w:szCs w:val="18"/>
          <w:color w:val="auto"/>
        </w:rPr>
        <w:t>Exhibit 3.2 - Amended and Restated Bylaws of Schlumberger Limited (Schlumberger N.V.) (incorporated by reference to Exhibit 3.1 to Schlumberger’s Current Report on Form 8-K filed on April 22, 2005).</w:t>
      </w:r>
    </w:p>
    <w:p>
      <w:pPr>
        <w:spacing w:after="0" w:line="51" w:lineRule="exact"/>
        <w:rPr>
          <w:sz w:val="20"/>
          <w:szCs w:val="20"/>
          <w:color w:val="auto"/>
        </w:rPr>
      </w:pPr>
    </w:p>
    <w:p>
      <w:pPr>
        <w:ind w:left="460" w:right="520" w:firstLine="4"/>
        <w:spacing w:after="0" w:line="268" w:lineRule="auto"/>
        <w:tabs>
          <w:tab w:leader="none" w:pos="592"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Exhibit 31.1 - Certification of Chief Executive Officer pursuant to Rule 13a-14(a) of the Securities Exchange Act of 1934, as amended, as adopted pursuant to Section 302 of the Sarbanes-Oxley Act of 2002.</w:t>
      </w:r>
    </w:p>
    <w:p>
      <w:pPr>
        <w:spacing w:after="0" w:line="50" w:lineRule="exact"/>
        <w:rPr>
          <w:rFonts w:ascii="Arial" w:cs="Arial" w:eastAsia="Arial" w:hAnsi="Arial"/>
          <w:sz w:val="18"/>
          <w:szCs w:val="18"/>
          <w:color w:val="auto"/>
        </w:rPr>
      </w:pPr>
    </w:p>
    <w:p>
      <w:pPr>
        <w:ind w:left="460" w:right="580" w:firstLine="4"/>
        <w:spacing w:after="0" w:line="268" w:lineRule="auto"/>
        <w:tabs>
          <w:tab w:leader="none" w:pos="592"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Exhibit 31.2 - Certification of Chief Financial Officer pursuant to Rule 13a-14(a) of the Securities Exchange Act of 1934, as amended, as adopted pursuant to Section 302 of the Sarbanes-Oxley Act of 2002.</w:t>
      </w:r>
    </w:p>
    <w:p>
      <w:pPr>
        <w:spacing w:after="0" w:line="51" w:lineRule="exact"/>
        <w:rPr>
          <w:sz w:val="20"/>
          <w:szCs w:val="20"/>
          <w:color w:val="auto"/>
        </w:rPr>
      </w:pPr>
    </w:p>
    <w:p>
      <w:pPr>
        <w:ind w:left="460" w:right="240" w:firstLine="4"/>
        <w:spacing w:after="0" w:line="268"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Exhibit 32.1 - Certification of Chief Executive Officer pursuant to 18 U.S.C. Section 1350, as adopted pursuant to Section 906 of the Sarbanes-Oxley Act of 2002.</w:t>
      </w:r>
    </w:p>
    <w:p>
      <w:pPr>
        <w:spacing w:after="0" w:line="50" w:lineRule="exact"/>
        <w:rPr>
          <w:rFonts w:ascii="Arial" w:cs="Arial" w:eastAsia="Arial" w:hAnsi="Arial"/>
          <w:sz w:val="18"/>
          <w:szCs w:val="18"/>
          <w:color w:val="auto"/>
        </w:rPr>
      </w:pPr>
    </w:p>
    <w:p>
      <w:pPr>
        <w:ind w:left="460" w:right="180" w:firstLine="4"/>
        <w:spacing w:after="0" w:line="268"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Exhibit 32.2 - Certification Chief Financial Officer pursuant to 18 U.S.C. Section 1350, as adopted pursuant to Section 906 of the Sarbanes-Oxley Act of 2002.</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
        <w:spacing w:after="0" w:line="306" w:lineRule="auto"/>
        <w:tabs>
          <w:tab w:leader="none" w:pos="6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Exhibit 101 - The following materials from Schlumberger Limited’s Quarterly Report on Form 10-Q for the quarter ended September 30, 2009, formatted in XBRL (Extensible Business Reporting Language): (i) Consolidated Statement of Income, (ii) Consolidated Balance Sheet, (iii) Consolidated Statement of Cash Flows, (iv) Consolidated Statement of Equity and (v) Notes to Consolidated Financial Statements, tagged as blocks of text.</w:t>
      </w:r>
    </w:p>
    <w:p>
      <w:pPr>
        <w:spacing w:after="0" w:line="26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Filed with this Form 10-Q.</w:t>
      </w:r>
    </w:p>
    <w:p>
      <w:pPr>
        <w:spacing w:after="0" w:line="15" w:lineRule="exact"/>
        <w:rPr>
          <w:rFonts w:ascii="Arial" w:cs="Arial" w:eastAsia="Arial" w:hAnsi="Arial"/>
          <w:sz w:val="16"/>
          <w:szCs w:val="16"/>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Furnished with this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-378460</wp:posOffset>
            </wp:positionV>
            <wp:extent cx="6604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13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60"/>
          </w:cols>
          <w:pgMar w:left="240" w:top="459" w:right="3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SIGNATURE</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and in his capacity as Chief Accounting Officer.</w:t>
      </w:r>
    </w:p>
    <w:p>
      <w:pPr>
        <w:spacing w:after="0" w:line="17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Schlumberger Limited</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48" w:lineRule="exact"/>
        <w:rPr>
          <w:sz w:val="20"/>
          <w:szCs w:val="20"/>
          <w:color w:val="auto"/>
        </w:rPr>
      </w:pPr>
    </w:p>
    <w:p>
      <w:pPr>
        <w:spacing w:after="0"/>
        <w:tabs>
          <w:tab w:leader="none" w:pos="6040" w:val="left"/>
          <w:tab w:leader="none" w:pos="6380" w:val="left"/>
        </w:tabs>
        <w:rPr>
          <w:sz w:val="20"/>
          <w:szCs w:val="20"/>
          <w:color w:val="auto"/>
        </w:rPr>
      </w:pPr>
      <w:r>
        <w:rPr>
          <w:rFonts w:ascii="Arial" w:cs="Arial" w:eastAsia="Arial" w:hAnsi="Arial"/>
          <w:sz w:val="18"/>
          <w:szCs w:val="18"/>
          <w:color w:val="auto"/>
        </w:rPr>
        <w:t>Date: October 28, 2009</w:t>
      </w:r>
      <w:r>
        <w:rPr>
          <w:sz w:val="20"/>
          <w:szCs w:val="20"/>
          <w:color w:val="auto"/>
        </w:rPr>
        <w:tab/>
      </w:r>
      <w:r>
        <w:rPr>
          <w:rFonts w:ascii="Arial" w:cs="Arial" w:eastAsia="Arial" w:hAnsi="Arial"/>
          <w:sz w:val="18"/>
          <w:szCs w:val="18"/>
          <w:color w:val="auto"/>
        </w:rPr>
        <w:t>/s/</w:t>
        <w:tab/>
        <w:t>H</w:t>
      </w:r>
      <w:r>
        <w:rPr>
          <w:rFonts w:ascii="Arial" w:cs="Arial" w:eastAsia="Arial" w:hAnsi="Arial"/>
          <w:sz w:val="14"/>
          <w:szCs w:val="14"/>
          <w:color w:val="auto"/>
        </w:rPr>
        <w:t>OWARD</w:t>
      </w:r>
      <w:r>
        <w:rPr>
          <w:rFonts w:ascii="Arial" w:cs="Arial" w:eastAsia="Arial" w:hAnsi="Arial"/>
          <w:sz w:val="18"/>
          <w:szCs w:val="18"/>
          <w:color w:val="auto"/>
        </w:rPr>
        <w:t xml:space="preserve"> G</w:t>
      </w:r>
      <w:r>
        <w:rPr>
          <w:rFonts w:ascii="Arial" w:cs="Arial" w:eastAsia="Arial" w:hAnsi="Arial"/>
          <w:sz w:val="14"/>
          <w:szCs w:val="14"/>
          <w:color w:val="auto"/>
        </w:rPr>
        <w:t>UILD</w:t>
      </w:r>
    </w:p>
    <w:p>
      <w:pPr>
        <w:spacing w:after="0" w:line="17"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-130175</wp:posOffset>
            </wp:positionV>
            <wp:extent cx="34734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Chief Accounting Officer and Duly Authorized Signatory</w:t>
      </w:r>
    </w:p>
    <w:p>
      <w:pPr>
        <w:spacing w:after="0" w:line="15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40"/>
          </w:cols>
          <w:pgMar w:left="240" w:top="459" w:right="71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EXECUTIVE OFFICER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Andrew Gould, certify that:</w:t>
      </w:r>
    </w:p>
    <w:p>
      <w:pPr>
        <w:spacing w:after="0" w:line="90" w:lineRule="exact"/>
        <w:rPr>
          <w:sz w:val="20"/>
          <w:szCs w:val="20"/>
          <w:color w:val="auto"/>
        </w:rPr>
      </w:pPr>
    </w:p>
    <w:p>
      <w:pPr>
        <w:ind w:left="180" w:hanging="172"/>
        <w:spacing w:after="0"/>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80" w:firstLine="8"/>
        <w:spacing w:after="0" w:line="259" w:lineRule="auto"/>
        <w:tabs>
          <w:tab w:leader="none" w:pos="17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firstLine="464"/>
        <w:spacing w:after="0" w:line="259" w:lineRule="auto"/>
        <w:tabs>
          <w:tab w:leader="none" w:pos="637"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120" w:firstLine="464"/>
        <w:spacing w:after="0" w:line="259" w:lineRule="auto"/>
        <w:tabs>
          <w:tab w:leader="none" w:pos="647"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60" w:firstLine="464"/>
        <w:spacing w:after="0" w:line="268" w:lineRule="auto"/>
        <w:tabs>
          <w:tab w:leader="none" w:pos="637"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647"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0" w:firstLine="8"/>
        <w:spacing w:after="0" w:line="268" w:lineRule="auto"/>
        <w:tabs>
          <w:tab w:leader="none" w:pos="17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Arial" w:cs="Arial" w:eastAsia="Arial" w:hAnsi="Arial"/>
          <w:sz w:val="18"/>
          <w:szCs w:val="18"/>
          <w:color w:val="auto"/>
        </w:rPr>
      </w:pPr>
    </w:p>
    <w:p>
      <w:pPr>
        <w:ind w:right="100" w:firstLine="464"/>
        <w:spacing w:after="0" w:line="268" w:lineRule="auto"/>
        <w:tabs>
          <w:tab w:leader="none" w:pos="637"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647"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p>
      <w:pPr>
        <w:spacing w:after="0"/>
        <w:tabs>
          <w:tab w:leader="none" w:pos="6160" w:val="left"/>
          <w:tab w:leader="none" w:pos="6500" w:val="left"/>
        </w:tabs>
        <w:rPr>
          <w:sz w:val="20"/>
          <w:szCs w:val="20"/>
          <w:color w:val="auto"/>
        </w:rPr>
      </w:pPr>
      <w:r>
        <w:rPr>
          <w:rFonts w:ascii="Arial" w:cs="Arial" w:eastAsia="Arial" w:hAnsi="Arial"/>
          <w:sz w:val="18"/>
          <w:szCs w:val="18"/>
          <w:color w:val="auto"/>
        </w:rPr>
        <w:t>Date: October 28, 2009</w:t>
      </w:r>
      <w:r>
        <w:rPr>
          <w:sz w:val="20"/>
          <w:szCs w:val="20"/>
          <w:color w:val="auto"/>
        </w:rPr>
        <w:tab/>
      </w:r>
      <w:r>
        <w:rPr>
          <w:rFonts w:ascii="Arial" w:cs="Arial" w:eastAsia="Arial" w:hAnsi="Arial"/>
          <w:sz w:val="18"/>
          <w:szCs w:val="18"/>
          <w:color w:val="auto"/>
        </w:rPr>
        <w:t>/s/</w:t>
        <w:tab/>
        <w:t>A</w:t>
      </w:r>
      <w:r>
        <w:rPr>
          <w:rFonts w:ascii="Arial" w:cs="Arial" w:eastAsia="Arial" w:hAnsi="Arial"/>
          <w:sz w:val="14"/>
          <w:szCs w:val="14"/>
          <w:color w:val="auto"/>
        </w:rPr>
        <w:t>NDREW</w:t>
      </w:r>
      <w:r>
        <w:rPr>
          <w:rFonts w:ascii="Arial" w:cs="Arial" w:eastAsia="Arial" w:hAnsi="Arial"/>
          <w:sz w:val="18"/>
          <w:szCs w:val="18"/>
          <w:color w:val="auto"/>
        </w:rPr>
        <w:t xml:space="preserve"> G</w:t>
      </w:r>
      <w:r>
        <w:rPr>
          <w:rFonts w:ascii="Arial" w:cs="Arial" w:eastAsia="Arial" w:hAnsi="Arial"/>
          <w:sz w:val="14"/>
          <w:szCs w:val="14"/>
          <w:color w:val="auto"/>
        </w:rPr>
        <w:t>OULD</w:t>
      </w:r>
    </w:p>
    <w:p>
      <w:pPr>
        <w:spacing w:after="0" w:line="1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-130175</wp:posOffset>
            </wp:positionV>
            <wp:extent cx="3395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Chairman and Chief Executive Officer</w:t>
      </w:r>
    </w:p>
    <w:p>
      <w:pPr>
        <w:sectPr>
          <w:pgSz w:w="11900" w:h="16838" w:orient="portrait"/>
          <w:cols w:equalWidth="0" w:num="1">
            <w:col w:w="11420"/>
          </w:cols>
          <w:pgMar w:left="240" w:top="12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FINANCIAL OFFICER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Simon Ayat, certify that:</w:t>
      </w:r>
    </w:p>
    <w:p>
      <w:pPr>
        <w:spacing w:after="0" w:line="90" w:lineRule="exact"/>
        <w:rPr>
          <w:sz w:val="20"/>
          <w:szCs w:val="20"/>
          <w:color w:val="auto"/>
        </w:rPr>
      </w:pPr>
    </w:p>
    <w:p>
      <w:pPr>
        <w:ind w:left="180" w:hanging="172"/>
        <w:spacing w:after="0"/>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80" w:firstLine="8"/>
        <w:spacing w:after="0" w:line="259" w:lineRule="auto"/>
        <w:tabs>
          <w:tab w:leader="none" w:pos="176"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firstLine="464"/>
        <w:spacing w:after="0" w:line="259" w:lineRule="auto"/>
        <w:tabs>
          <w:tab w:leader="none" w:pos="637"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120" w:firstLine="464"/>
        <w:spacing w:after="0" w:line="259" w:lineRule="auto"/>
        <w:tabs>
          <w:tab w:leader="none" w:pos="647"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60" w:firstLine="464"/>
        <w:spacing w:after="0" w:line="268" w:lineRule="auto"/>
        <w:tabs>
          <w:tab w:leader="none" w:pos="637"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647"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0" w:firstLine="8"/>
        <w:spacing w:after="0" w:line="268" w:lineRule="auto"/>
        <w:tabs>
          <w:tab w:leader="none" w:pos="176"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Arial" w:cs="Arial" w:eastAsia="Arial" w:hAnsi="Arial"/>
          <w:sz w:val="18"/>
          <w:szCs w:val="18"/>
          <w:color w:val="auto"/>
        </w:rPr>
      </w:pPr>
    </w:p>
    <w:p>
      <w:pPr>
        <w:ind w:right="100" w:firstLine="464"/>
        <w:spacing w:after="0" w:line="268" w:lineRule="auto"/>
        <w:tabs>
          <w:tab w:leader="none" w:pos="637"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647"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p>
      <w:pPr>
        <w:spacing w:after="0"/>
        <w:tabs>
          <w:tab w:leader="none" w:pos="6160" w:val="left"/>
          <w:tab w:leader="none" w:pos="6500" w:val="left"/>
        </w:tabs>
        <w:rPr>
          <w:sz w:val="20"/>
          <w:szCs w:val="20"/>
          <w:color w:val="auto"/>
        </w:rPr>
      </w:pPr>
      <w:r>
        <w:rPr>
          <w:rFonts w:ascii="Arial" w:cs="Arial" w:eastAsia="Arial" w:hAnsi="Arial"/>
          <w:sz w:val="18"/>
          <w:szCs w:val="18"/>
          <w:color w:val="auto"/>
        </w:rPr>
        <w:t>Date: October 28, 2009</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IMON</w:t>
      </w:r>
      <w:r>
        <w:rPr>
          <w:rFonts w:ascii="Arial" w:cs="Arial" w:eastAsia="Arial" w:hAnsi="Arial"/>
          <w:sz w:val="16"/>
          <w:szCs w:val="16"/>
          <w:color w:val="auto"/>
        </w:rPr>
        <w:t xml:space="preserve"> A</w:t>
      </w:r>
      <w:r>
        <w:rPr>
          <w:rFonts w:ascii="Arial" w:cs="Arial" w:eastAsia="Arial" w:hAnsi="Arial"/>
          <w:sz w:val="13"/>
          <w:szCs w:val="13"/>
          <w:color w:val="auto"/>
        </w:rPr>
        <w:t>YAT</w:t>
      </w:r>
    </w:p>
    <w:p>
      <w:pPr>
        <w:spacing w:after="0" w:line="1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Simon Ayat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-130175</wp:posOffset>
            </wp:positionV>
            <wp:extent cx="3395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Executive Vice President and</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125"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In connection with the Quarterly Report on Form 10-Q of Schlumberger N.V. (Schlumberger Limited) (the “Company”) for the quarterly period ended September 30, 2009 as filed with the Securities and Exchange Commission on the date hereof (the “Report”), I, Andrew Gould, Chairman and Chief Executive Officer of the Company, certify, pursuant to 18 U.S.C. § 1350, as adopted pursuant to § 906 of the Sarbanes-Oxley Act of 2002, that:</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The Report fully complies with the requirements of section 13(a) or 15(d) of the Securities Exchange Act of 1934, as amended (the “Exchange Act”),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spacing w:after="0"/>
        <w:tabs>
          <w:tab w:leader="none" w:pos="6040" w:val="left"/>
          <w:tab w:leader="none" w:pos="6380" w:val="left"/>
        </w:tabs>
        <w:rPr>
          <w:sz w:val="20"/>
          <w:szCs w:val="20"/>
          <w:color w:val="auto"/>
        </w:rPr>
      </w:pPr>
      <w:r>
        <w:rPr>
          <w:rFonts w:ascii="Arial" w:cs="Arial" w:eastAsia="Arial" w:hAnsi="Arial"/>
          <w:sz w:val="18"/>
          <w:szCs w:val="18"/>
          <w:color w:val="auto"/>
        </w:rPr>
        <w:t>Date: October 28, 2009</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w:t>
      </w:r>
      <w:r>
        <w:rPr>
          <w:rFonts w:ascii="Arial" w:cs="Arial" w:eastAsia="Arial" w:hAnsi="Arial"/>
          <w:sz w:val="13"/>
          <w:szCs w:val="13"/>
          <w:color w:val="auto"/>
        </w:rPr>
        <w:t>NDREW</w:t>
      </w:r>
      <w:r>
        <w:rPr>
          <w:rFonts w:ascii="Arial" w:cs="Arial" w:eastAsia="Arial" w:hAnsi="Arial"/>
          <w:sz w:val="16"/>
          <w:szCs w:val="16"/>
          <w:color w:val="auto"/>
        </w:rPr>
        <w:t xml:space="preserve"> G</w:t>
      </w:r>
      <w:r>
        <w:rPr>
          <w:rFonts w:ascii="Arial" w:cs="Arial" w:eastAsia="Arial" w:hAnsi="Arial"/>
          <w:sz w:val="13"/>
          <w:szCs w:val="13"/>
          <w:color w:val="auto"/>
        </w:rPr>
        <w:t>OULD</w:t>
      </w:r>
    </w:p>
    <w:p>
      <w:pPr>
        <w:spacing w:after="0" w:line="17"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-130175</wp:posOffset>
            </wp:positionV>
            <wp:extent cx="34734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12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In connection with the Quarterly Report on Form 10-Q of Schlumberger N.V. (Schlumberger Limited) (the “Company”) for the quarterly period ended September 30, 2009 as filed with the Securities and Exchange Commission on the date hereof (the “Report”), I, Simon Ayat, Executive Vice President and Chief Financial Officer of the Company, certify, pursuant to 18 U.S.C. § 1350, as adopted pursuant to § 906 of the Sarbanes-Oxley Act of 2002, that:</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The Report fully complies with the requirements of section 13(a) or 15(d) of the Securities Exchange Act of 1934, as amended (the “Exchange Act”),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spacing w:after="0"/>
        <w:tabs>
          <w:tab w:leader="none" w:pos="6040" w:val="left"/>
          <w:tab w:leader="none" w:pos="6380" w:val="left"/>
        </w:tabs>
        <w:rPr>
          <w:sz w:val="20"/>
          <w:szCs w:val="20"/>
          <w:color w:val="auto"/>
        </w:rPr>
      </w:pPr>
      <w:r>
        <w:rPr>
          <w:rFonts w:ascii="Arial" w:cs="Arial" w:eastAsia="Arial" w:hAnsi="Arial"/>
          <w:sz w:val="18"/>
          <w:szCs w:val="18"/>
          <w:color w:val="auto"/>
        </w:rPr>
        <w:t>Date: October 28, 2009</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IMON</w:t>
      </w:r>
      <w:r>
        <w:rPr>
          <w:rFonts w:ascii="Arial" w:cs="Arial" w:eastAsia="Arial" w:hAnsi="Arial"/>
          <w:sz w:val="16"/>
          <w:szCs w:val="16"/>
          <w:color w:val="auto"/>
        </w:rPr>
        <w:t xml:space="preserve"> A</w:t>
      </w:r>
      <w:r>
        <w:rPr>
          <w:rFonts w:ascii="Arial" w:cs="Arial" w:eastAsia="Arial" w:hAnsi="Arial"/>
          <w:sz w:val="13"/>
          <w:szCs w:val="13"/>
          <w:color w:val="auto"/>
        </w:rPr>
        <w:t>YAT</w:t>
      </w:r>
    </w:p>
    <w:p>
      <w:pPr>
        <w:spacing w:after="0" w:line="17"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Simon Ayat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-130175</wp:posOffset>
            </wp:positionV>
            <wp:extent cx="34734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Executive Vice President and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decimal"/>
      <w:start w:val="1"/>
    </w:lvl>
  </w:abstractNum>
  <w:abstractNum w:abstractNumId="1">
    <w:nsid w:val="6B68079A"/>
    <w:multiLevelType w:val="hybridMultilevel"/>
    <w:lvl w:ilvl="0">
      <w:lvlJc w:val="left"/>
      <w:lvlText w:val="%1."/>
      <w:numFmt w:val="decimal"/>
      <w:start w:val="2"/>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1."/>
      <w:numFmt w:val="decimal"/>
      <w:start w:val="3"/>
    </w:lvl>
  </w:abstractNum>
  <w:abstractNum w:abstractNumId="4">
    <w:nsid w:val="519B500D"/>
    <w:multiLevelType w:val="hybridMultilevel"/>
    <w:lvl w:ilvl="0">
      <w:lvlJc w:val="left"/>
      <w:lvlText w:val="%1."/>
      <w:numFmt w:val="decimal"/>
      <w:start w:val="4"/>
    </w:lvl>
  </w:abstractNum>
  <w:abstractNum w:abstractNumId="5">
    <w:nsid w:val="431BD7B7"/>
    <w:multiLevelType w:val="hybridMultilevel"/>
    <w:lvl w:ilvl="0">
      <w:lvlJc w:val="left"/>
      <w:lvlText w:val="%1."/>
      <w:numFmt w:val="decimal"/>
      <w:start w:val="5"/>
    </w:lvl>
  </w:abstractNum>
  <w:abstractNum w:abstractNumId="6">
    <w:nsid w:val="3F2DBA31"/>
    <w:multiLevelType w:val="hybridMultilevel"/>
    <w:lvl w:ilvl="0">
      <w:lvlJc w:val="left"/>
      <w:lvlText w:val="%1."/>
      <w:numFmt w:val="decimal"/>
      <w:start w:val="7"/>
    </w:lvl>
  </w:abstractNum>
  <w:abstractNum w:abstractNumId="7">
    <w:nsid w:val="7C83E458"/>
    <w:multiLevelType w:val="hybridMultilevel"/>
    <w:lvl w:ilvl="0">
      <w:lvlJc w:val="left"/>
      <w:lvlText w:val="%1."/>
      <w:numFmt w:val="decimal"/>
      <w:start w:val="8"/>
    </w:lvl>
  </w:abstractNum>
  <w:abstractNum w:abstractNumId="8">
    <w:nsid w:val="257130A3"/>
    <w:multiLevelType w:val="hybridMultilevel"/>
    <w:lvl w:ilvl="0">
      <w:lvlJc w:val="left"/>
      <w:lvlText w:val="%1."/>
      <w:numFmt w:val="decimal"/>
      <w:start w:val="9"/>
    </w:lvl>
  </w:abstractNum>
  <w:abstractNum w:abstractNumId="9">
    <w:nsid w:val="62BBD95A"/>
    <w:multiLevelType w:val="hybridMultilevel"/>
    <w:lvl w:ilvl="0">
      <w:lvlJc w:val="left"/>
      <w:lvlText w:val="%1."/>
      <w:numFmt w:val="decimal"/>
      <w:start w:val="10"/>
    </w:lvl>
  </w:abstractNum>
  <w:abstractNum w:abstractNumId="10">
    <w:nsid w:val="436C6125"/>
    <w:multiLevelType w:val="hybridMultilevel"/>
    <w:lvl w:ilvl="0">
      <w:lvlJc w:val="left"/>
      <w:lvlText w:val="%1"/>
      <w:numFmt w:val="decimal"/>
      <w:start w:val="11"/>
    </w:lvl>
  </w:abstractNum>
  <w:abstractNum w:abstractNumId="11">
    <w:nsid w:val="628C895D"/>
    <w:multiLevelType w:val="hybridMultilevel"/>
    <w:lvl w:ilvl="0">
      <w:lvlJc w:val="left"/>
      <w:lvlText w:val="\emdash "/>
      <w:numFmt w:val="bullet"/>
      <w:start w:val="1"/>
    </w:lvl>
  </w:abstractNum>
  <w:abstractNum w:abstractNumId="12">
    <w:nsid w:val="333AB105"/>
    <w:multiLevelType w:val="hybridMultilevel"/>
    <w:lvl w:ilvl="0">
      <w:lvlJc w:val="left"/>
      <w:lvlText w:val="%1."/>
      <w:numFmt w:val="decimal"/>
      <w:start w:val="11"/>
    </w:lvl>
  </w:abstractNum>
  <w:abstractNum w:abstractNumId="13">
    <w:nsid w:val="721DA317"/>
    <w:multiLevelType w:val="hybridMultilevel"/>
    <w:lvl w:ilvl="0">
      <w:lvlJc w:val="left"/>
      <w:lvlText w:val="%1."/>
      <w:numFmt w:val="decimal"/>
      <w:start w:val="12"/>
    </w:lvl>
  </w:abstractNum>
  <w:abstractNum w:abstractNumId="14">
    <w:nsid w:val="2443A858"/>
    <w:multiLevelType w:val="hybridMultilevel"/>
    <w:lvl w:ilvl="0">
      <w:lvlJc w:val="left"/>
      <w:lvlText w:val="%1."/>
      <w:numFmt w:val="decimal"/>
      <w:start w:val="13"/>
    </w:lvl>
  </w:abstractNum>
  <w:abstractNum w:abstractNumId="15">
    <w:nsid w:val="2D1D5AE9"/>
    <w:multiLevelType w:val="hybridMultilevel"/>
    <w:lvl w:ilvl="0">
      <w:lvlJc w:val="left"/>
      <w:lvlText w:val="%1."/>
      <w:numFmt w:val="decimal"/>
      <w:start w:val="14"/>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decimal"/>
      <w:start w:val="15"/>
    </w:lvl>
  </w:abstractNum>
  <w:abstractNum w:abstractNumId="19">
    <w:nsid w:val="79838CB2"/>
    <w:multiLevelType w:val="hybridMultilevel"/>
    <w:lvl w:ilvl="0">
      <w:lvlJc w:val="left"/>
      <w:lvlText w:val="%1."/>
      <w:numFmt w:val="decimal"/>
      <w:start w:val="16"/>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
      <w:numFmt w:val="bullet"/>
      <w:start w:val="1"/>
    </w:lvl>
    <w:lvl w:ilvl="1">
      <w:lvlJc w:val="left"/>
      <w:lvlText w:val="**"/>
      <w:numFmt w:val="bullet"/>
      <w:start w:val="1"/>
    </w:lvl>
  </w:abstractNum>
  <w:abstractNum w:abstractNumId="27">
    <w:nsid w:val="2901D82"/>
    <w:multiLevelType w:val="hybridMultilevel"/>
    <w:lvl w:ilvl="0">
      <w:lvlJc w:val="left"/>
      <w:lvlText w:val="**"/>
      <w:numFmt w:val="bullet"/>
      <w:start w:val="1"/>
    </w:lvl>
    <w:lvl w:ilvl="1">
      <w:lvlJc w:val="left"/>
      <w:lvlText w:val="**"/>
      <w:numFmt w:val="bullet"/>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2019-12-10T02:19:35Z</dcterms:created>
  <dcterms:modified xsi:type="dcterms:W3CDTF">2019-12-10T02:19:35Z</dcterms:modified>
</cp:coreProperties>
</file>