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156845</wp:posOffset>
            </wp:positionV>
            <wp:extent cx="12477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156845</wp:posOffset>
            </wp:positionV>
            <wp:extent cx="12477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For the Quarter ended:</w:t>
      </w:r>
    </w:p>
    <w:p>
      <w:pPr>
        <w:spacing w:after="0" w:line="44"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June 30,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167640</wp:posOffset>
            </wp:positionV>
            <wp:extent cx="12477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Commission file No.:</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1-4601</w:t>
      </w:r>
    </w:p>
    <w:p>
      <w:pPr>
        <w:spacing w:after="0" w:line="200" w:lineRule="exact"/>
        <w:rPr>
          <w:sz w:val="24"/>
          <w:szCs w:val="24"/>
          <w:color w:val="auto"/>
        </w:rPr>
      </w:pPr>
    </w:p>
    <w:p>
      <w:pPr>
        <w:sectPr>
          <w:pgSz w:w="11900" w:h="16838" w:orient="portrait"/>
          <w:cols w:equalWidth="0" w:num="2">
            <w:col w:w="7140" w:space="720"/>
            <w:col w:w="3560"/>
          </w:cols>
          <w:pgMar w:left="240" w:top="206" w:right="239" w:bottom="1440" w:gutter="0" w:footer="0" w:header="0"/>
          <w:type w:val="continuous"/>
        </w:sect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152400</wp:posOffset>
            </wp:positionV>
            <wp:extent cx="12477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8"/>
              </w:rPr>
              <w:t>NETHERLANDS ANTILLES</w:t>
            </w:r>
          </w:p>
        </w:tc>
        <w:tc>
          <w:tcPr>
            <w:tcW w:w="3620" w:type="dxa"/>
            <w:vAlign w:val="bottom"/>
          </w:tcPr>
          <w:p>
            <w:pPr>
              <w:jc w:val="center"/>
              <w:ind w:left="1459"/>
              <w:spacing w:after="0"/>
              <w:rPr>
                <w:sz w:val="20"/>
                <w:szCs w:val="20"/>
                <w:color w:val="auto"/>
              </w:rPr>
            </w:pPr>
            <w:r>
              <w:rPr>
                <w:rFonts w:ascii="Arial" w:cs="Arial" w:eastAsia="Arial" w:hAnsi="Arial"/>
                <w:sz w:val="18"/>
                <w:szCs w:val="18"/>
                <w:b w:val="1"/>
                <w:bCs w:val="1"/>
                <w:color w:val="auto"/>
                <w:w w:val="87"/>
              </w:rPr>
              <w:t>52-0684746</w:t>
            </w:r>
          </w:p>
        </w:tc>
      </w:tr>
      <w:tr>
        <w:trPr>
          <w:trHeight w:val="174"/>
        </w:trPr>
        <w:tc>
          <w:tcPr>
            <w:tcW w:w="5040" w:type="dxa"/>
            <w:vAlign w:val="bottom"/>
          </w:tcPr>
          <w:p>
            <w:pPr>
              <w:jc w:val="center"/>
              <w:ind w:right="1456"/>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620" w:type="dxa"/>
            <w:vAlign w:val="bottom"/>
          </w:tcPr>
          <w:p>
            <w:pPr>
              <w:jc w:val="center"/>
              <w:ind w:left="147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1"/>
              </w:rPr>
              <w:t>153 EAST 53 STREET, 57th Floor</w:t>
            </w:r>
          </w:p>
        </w:tc>
        <w:tc>
          <w:tcPr>
            <w:tcW w:w="3620" w:type="dxa"/>
            <w:vAlign w:val="bottom"/>
          </w:tcPr>
          <w:p>
            <w:pPr>
              <w:spacing w:after="0"/>
              <w:rPr>
                <w:sz w:val="24"/>
                <w:szCs w:val="24"/>
                <w:color w:val="auto"/>
              </w:rPr>
            </w:pPr>
          </w:p>
        </w:tc>
      </w:tr>
      <w:tr>
        <w:trPr>
          <w:trHeight w:val="228"/>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6"/>
              </w:rPr>
              <w:t>NEW YORK, NEW YORK, U.S.A.</w:t>
            </w:r>
          </w:p>
        </w:tc>
        <w:tc>
          <w:tcPr>
            <w:tcW w:w="3620" w:type="dxa"/>
            <w:vAlign w:val="bottom"/>
          </w:tcPr>
          <w:p>
            <w:pPr>
              <w:jc w:val="center"/>
              <w:ind w:left="1459"/>
              <w:spacing w:after="0"/>
              <w:rPr>
                <w:sz w:val="20"/>
                <w:szCs w:val="20"/>
                <w:color w:val="auto"/>
              </w:rPr>
            </w:pPr>
            <w:r>
              <w:rPr>
                <w:rFonts w:ascii="Arial" w:cs="Arial" w:eastAsia="Arial" w:hAnsi="Arial"/>
                <w:sz w:val="18"/>
                <w:szCs w:val="18"/>
                <w:b w:val="1"/>
                <w:bCs w:val="1"/>
                <w:color w:val="auto"/>
                <w:w w:val="87"/>
              </w:rPr>
              <w:t>10022</w:t>
            </w:r>
          </w:p>
        </w:tc>
      </w:tr>
      <w:tr>
        <w:trPr>
          <w:trHeight w:val="352"/>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9"/>
              </w:rPr>
              <w:t>42 RUE SAINT-DOMINIQUE</w:t>
            </w:r>
          </w:p>
        </w:tc>
        <w:tc>
          <w:tcPr>
            <w:tcW w:w="3620" w:type="dxa"/>
            <w:vAlign w:val="bottom"/>
          </w:tcPr>
          <w:p>
            <w:pPr>
              <w:spacing w:after="0"/>
              <w:rPr>
                <w:sz w:val="24"/>
                <w:szCs w:val="24"/>
                <w:color w:val="auto"/>
              </w:rPr>
            </w:pPr>
          </w:p>
        </w:tc>
      </w:tr>
      <w:tr>
        <w:trPr>
          <w:trHeight w:val="228"/>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5"/>
              </w:rPr>
              <w:t>PARIS, FRANCE</w:t>
            </w:r>
          </w:p>
        </w:tc>
        <w:tc>
          <w:tcPr>
            <w:tcW w:w="3620" w:type="dxa"/>
            <w:vAlign w:val="bottom"/>
          </w:tcPr>
          <w:p>
            <w:pPr>
              <w:jc w:val="center"/>
              <w:ind w:left="1459"/>
              <w:spacing w:after="0"/>
              <w:rPr>
                <w:sz w:val="20"/>
                <w:szCs w:val="20"/>
                <w:color w:val="auto"/>
              </w:rPr>
            </w:pPr>
            <w:r>
              <w:rPr>
                <w:rFonts w:ascii="Arial" w:cs="Arial" w:eastAsia="Arial" w:hAnsi="Arial"/>
                <w:sz w:val="18"/>
                <w:szCs w:val="18"/>
                <w:b w:val="1"/>
                <w:bCs w:val="1"/>
                <w:color w:val="auto"/>
                <w:w w:val="87"/>
              </w:rPr>
              <w:t>75007</w:t>
            </w:r>
          </w:p>
        </w:tc>
      </w:tr>
      <w:tr>
        <w:trPr>
          <w:trHeight w:val="352"/>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5"/>
              </w:rPr>
              <w:t>PARKSTRAAT 83</w:t>
            </w:r>
          </w:p>
        </w:tc>
        <w:tc>
          <w:tcPr>
            <w:tcW w:w="3620" w:type="dxa"/>
            <w:vAlign w:val="bottom"/>
          </w:tcPr>
          <w:p>
            <w:pPr>
              <w:spacing w:after="0"/>
              <w:rPr>
                <w:sz w:val="24"/>
                <w:szCs w:val="24"/>
                <w:color w:val="auto"/>
              </w:rPr>
            </w:pPr>
          </w:p>
        </w:tc>
      </w:tr>
      <w:tr>
        <w:trPr>
          <w:trHeight w:val="216"/>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9"/>
              </w:rPr>
              <w:t>THE HAGUE,</w:t>
            </w:r>
          </w:p>
        </w:tc>
        <w:tc>
          <w:tcPr>
            <w:tcW w:w="3620" w:type="dxa"/>
            <w:vAlign w:val="bottom"/>
          </w:tcPr>
          <w:p>
            <w:pPr>
              <w:spacing w:after="0"/>
              <w:rPr>
                <w:sz w:val="18"/>
                <w:szCs w:val="18"/>
                <w:color w:val="auto"/>
              </w:rPr>
            </w:pPr>
          </w:p>
        </w:tc>
      </w:tr>
      <w:tr>
        <w:trPr>
          <w:trHeight w:val="218"/>
        </w:trPr>
        <w:tc>
          <w:tcPr>
            <w:tcW w:w="5040" w:type="dxa"/>
            <w:vAlign w:val="bottom"/>
          </w:tcPr>
          <w:p>
            <w:pPr>
              <w:jc w:val="center"/>
              <w:ind w:right="1456"/>
              <w:spacing w:after="0"/>
              <w:rPr>
                <w:sz w:val="20"/>
                <w:szCs w:val="20"/>
                <w:color w:val="auto"/>
              </w:rPr>
            </w:pPr>
            <w:r>
              <w:rPr>
                <w:rFonts w:ascii="Arial" w:cs="Arial" w:eastAsia="Arial" w:hAnsi="Arial"/>
                <w:sz w:val="18"/>
                <w:szCs w:val="18"/>
                <w:b w:val="1"/>
                <w:bCs w:val="1"/>
                <w:color w:val="auto"/>
                <w:w w:val="98"/>
              </w:rPr>
              <w:t>THE NETHERLANDS</w:t>
            </w:r>
          </w:p>
        </w:tc>
        <w:tc>
          <w:tcPr>
            <w:tcW w:w="3620" w:type="dxa"/>
            <w:vAlign w:val="bottom"/>
          </w:tcPr>
          <w:p>
            <w:pPr>
              <w:jc w:val="center"/>
              <w:ind w:left="1479"/>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5040" w:type="dxa"/>
            <w:vAlign w:val="bottom"/>
          </w:tcPr>
          <w:p>
            <w:pPr>
              <w:jc w:val="center"/>
              <w:ind w:right="1456"/>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620" w:type="dxa"/>
            <w:vAlign w:val="bottom"/>
          </w:tcPr>
          <w:p>
            <w:pPr>
              <w:jc w:val="center"/>
              <w:ind w:left="1459"/>
              <w:spacing w:after="0"/>
              <w:rPr>
                <w:sz w:val="20"/>
                <w:szCs w:val="20"/>
                <w:color w:val="auto"/>
              </w:rPr>
            </w:pPr>
            <w:r>
              <w:rPr>
                <w:rFonts w:ascii="Arial" w:cs="Arial" w:eastAsia="Arial" w:hAnsi="Arial"/>
                <w:sz w:val="14"/>
                <w:szCs w:val="14"/>
                <w:b w:val="1"/>
                <w:bCs w:val="1"/>
                <w:color w:val="auto"/>
                <w:w w:val="88"/>
              </w:rPr>
              <w:t>(Zip Codes)</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175895</wp:posOffset>
            </wp:positionV>
            <wp:extent cx="12477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7775" cy="215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pacing w:after="0" w:line="86" w:lineRule="exact"/>
        <w:rPr>
          <w:sz w:val="24"/>
          <w:szCs w:val="24"/>
          <w:color w:val="auto"/>
        </w:rPr>
      </w:pPr>
    </w:p>
    <w:p>
      <w:pPr>
        <w:ind w:left="2880"/>
        <w:spacing w:after="0" w:line="207" w:lineRule="exact"/>
        <w:tabs>
          <w:tab w:leader="none" w:pos="3460" w:val="left"/>
          <w:tab w:leader="none" w:pos="7620" w:val="left"/>
          <w:tab w:leader="none" w:pos="8160"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482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83"/>
              </w:rPr>
              <w:t>Class</w:t>
            </w:r>
          </w:p>
        </w:tc>
        <w:tc>
          <w:tcPr>
            <w:tcW w:w="40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8"/>
              </w:rPr>
              <w:t>Outstanding at June 30, 2002</w:t>
            </w:r>
          </w:p>
        </w:tc>
      </w:tr>
      <w:tr>
        <w:trPr>
          <w:trHeight w:val="120"/>
        </w:trPr>
        <w:tc>
          <w:tcPr>
            <w:tcW w:w="25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r>
      <w:tr>
        <w:trPr>
          <w:trHeight w:val="105"/>
        </w:trPr>
        <w:tc>
          <w:tcPr>
            <w:tcW w:w="2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16"/>
        </w:trPr>
        <w:tc>
          <w:tcPr>
            <w:tcW w:w="7360" w:type="dxa"/>
            <w:vAlign w:val="bottom"/>
            <w:gridSpan w:val="3"/>
            <w:shd w:val="clear" w:color="auto" w:fill="CCEEFF"/>
          </w:tcPr>
          <w:p>
            <w:pPr>
              <w:jc w:val="center"/>
              <w:ind w:right="1820"/>
              <w:spacing w:after="0"/>
              <w:rPr>
                <w:sz w:val="20"/>
                <w:szCs w:val="20"/>
                <w:color w:val="auto"/>
              </w:rPr>
            </w:pPr>
            <w:r>
              <w:rPr>
                <w:rFonts w:ascii="Arial" w:cs="Arial" w:eastAsia="Arial" w:hAnsi="Arial"/>
                <w:sz w:val="18"/>
                <w:szCs w:val="18"/>
                <w:color w:val="auto"/>
                <w:w w:val="92"/>
              </w:rPr>
              <w:t>COMMON STOCK, $0.01 PAR VALUE</w:t>
            </w:r>
          </w:p>
        </w:tc>
        <w:tc>
          <w:tcPr>
            <w:tcW w:w="25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577,436,089</w:t>
            </w:r>
          </w:p>
        </w:tc>
        <w:tc>
          <w:tcPr>
            <w:tcW w:w="148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tab/>
        <w:t>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Periods Ended June 30,</w:t>
            </w: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5"/>
          </w:tcPr>
          <w:p>
            <w:pPr>
              <w:ind w:left="44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23"/>
                <w:szCs w:val="23"/>
                <w:color w:val="auto"/>
              </w:rPr>
            </w:pPr>
          </w:p>
        </w:tc>
        <w:tc>
          <w:tcPr>
            <w:tcW w:w="19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71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3,388,561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3,771,438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6,697,917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6,785,095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Interest &amp; other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38,176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59,388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72,013</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149,417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3,426,737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3,830,826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6,769,930</w:t>
            </w: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w w:val="84"/>
              </w:rPr>
              <w:t>6,934,512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goods sold &amp; services</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2,637,495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3,206,384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5,237,585</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5,502,346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8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165,798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176,209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326,489</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349,805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Marketing</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80"/>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193,885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324,627</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314,480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178,666</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3,158,397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3,826,183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6,258,441</w:t>
            </w: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w w:val="84"/>
              </w:rPr>
              <w:t>6,579,954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 and minority interest</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511,489</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70,247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91,090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134,430</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199,030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minority interest</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377,059</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(8,552)</w:t>
            </w:r>
          </w:p>
        </w:tc>
        <w:tc>
          <w:tcPr>
            <w:tcW w:w="90" w:type="dxa"/>
            <w:vAlign w:val="bottom"/>
          </w:tcPr>
          <w:p>
            <w:pPr>
              <w:spacing w:after="0"/>
              <w:rPr>
                <w:sz w:val="19"/>
                <w:szCs w:val="19"/>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(12,925)</w:t>
            </w:r>
          </w:p>
        </w:tc>
        <w:tc>
          <w:tcPr>
            <w:tcW w:w="0" w:type="dxa"/>
            <w:vAlign w:val="bottom"/>
          </w:tcPr>
          <w:p>
            <w:pPr>
              <w:spacing w:after="0"/>
              <w:rPr>
                <w:sz w:val="1"/>
                <w:szCs w:val="1"/>
                <w:color w:val="auto"/>
              </w:rPr>
            </w:pPr>
          </w:p>
        </w:tc>
      </w:tr>
      <w:tr>
        <w:trPr>
          <w:trHeight w:val="112"/>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80" w:type="dxa"/>
            <w:vAlign w:val="bottom"/>
            <w:vMerge w:val="continue"/>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8"/>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Elimination of goodwill amortization</w:t>
            </w:r>
          </w:p>
        </w:tc>
        <w:tc>
          <w:tcPr>
            <w:tcW w:w="10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Net Income (Loss)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80" w:type="dxa"/>
            <w:vAlign w:val="bottom"/>
            <w:vMerge w:val="continue"/>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Elimination of goodwill amortization</w:t>
            </w:r>
          </w:p>
        </w:tc>
        <w:tc>
          <w:tcPr>
            <w:tcW w:w="10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Net Income (Loss)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Average shares outstanding:</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80" w:type="dxa"/>
            <w:vAlign w:val="bottom"/>
            <w:vMerge w:val="continue"/>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71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28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581,445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573,451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581,275</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580,725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-6104890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-6104890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-5856605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-5856605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-5856605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-5856605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-5607685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-5607685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-5607685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-5607685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-5607685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-5607685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-5607685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-5607685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-5041900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-5041900</wp:posOffset>
            </wp:positionV>
            <wp:extent cx="2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-5048250</wp:posOffset>
            </wp:positionV>
            <wp:extent cx="3873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-5041900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-5041900</wp:posOffset>
            </wp:positionV>
            <wp:extent cx="21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-5048250</wp:posOffset>
            </wp:positionV>
            <wp:extent cx="3873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-5041900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-5041900</wp:posOffset>
            </wp:positionV>
            <wp:extent cx="2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-5048250</wp:posOffset>
            </wp:positionV>
            <wp:extent cx="387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-5041900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-5041900</wp:posOffset>
            </wp:positionV>
            <wp:extent cx="2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-5048250</wp:posOffset>
            </wp:positionV>
            <wp:extent cx="3873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-4749800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-4749800</wp:posOffset>
            </wp:positionV>
            <wp:extent cx="21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-4756150</wp:posOffset>
            </wp:positionV>
            <wp:extent cx="3873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-4749800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-4749800</wp:posOffset>
            </wp:positionV>
            <wp:extent cx="21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-4756150</wp:posOffset>
            </wp:positionV>
            <wp:extent cx="3873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-4749800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-4749800</wp:posOffset>
            </wp:positionV>
            <wp:extent cx="21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-4756150</wp:posOffset>
            </wp:positionV>
            <wp:extent cx="3873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-4749800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-4749800</wp:posOffset>
            </wp:positionV>
            <wp:extent cx="2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-4756150</wp:posOffset>
            </wp:positionV>
            <wp:extent cx="3873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-3772535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-3772535</wp:posOffset>
            </wp:positionV>
            <wp:extent cx="21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-3778885</wp:posOffset>
            </wp:positionV>
            <wp:extent cx="3873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-3772535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-3772535</wp:posOffset>
            </wp:positionV>
            <wp:extent cx="21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-3778885</wp:posOffset>
            </wp:positionV>
            <wp:extent cx="3873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-3772535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-3772535</wp:posOffset>
            </wp:positionV>
            <wp:extent cx="21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-3778885</wp:posOffset>
            </wp:positionV>
            <wp:extent cx="3873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-3772535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-3772535</wp:posOffset>
            </wp:positionV>
            <wp:extent cx="21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-3778885</wp:posOffset>
            </wp:positionV>
            <wp:extent cx="3873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-3481070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-3481070</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-3487420</wp:posOffset>
            </wp:positionV>
            <wp:extent cx="3873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-3481070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-3481070</wp:posOffset>
            </wp:positionV>
            <wp:extent cx="2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-3487420</wp:posOffset>
            </wp:positionV>
            <wp:extent cx="3873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-3481070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-3481070</wp:posOffset>
            </wp:positionV>
            <wp:extent cx="21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-3487420</wp:posOffset>
            </wp:positionV>
            <wp:extent cx="3873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-3481070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-3481070</wp:posOffset>
            </wp:positionV>
            <wp:extent cx="215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-3487420</wp:posOffset>
            </wp:positionV>
            <wp:extent cx="3873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-3051810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-3051810</wp:posOffset>
            </wp:positionV>
            <wp:extent cx="21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-3058160</wp:posOffset>
            </wp:positionV>
            <wp:extent cx="3873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-3051810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-3051810</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-3058160</wp:posOffset>
            </wp:positionV>
            <wp:extent cx="3873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-3051810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-3051810</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-3058160</wp:posOffset>
            </wp:positionV>
            <wp:extent cx="3873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-3051810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-3051810</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-3058160</wp:posOffset>
            </wp:positionV>
            <wp:extent cx="3873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-2623185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-2623185</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-2629535</wp:posOffset>
            </wp:positionV>
            <wp:extent cx="3873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-2623185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-2623185</wp:posOffset>
            </wp:positionV>
            <wp:extent cx="21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-2629535</wp:posOffset>
            </wp:positionV>
            <wp:extent cx="3873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-2623185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-2623185</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-2629535</wp:posOffset>
            </wp:positionV>
            <wp:extent cx="3873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-2623185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-2623185</wp:posOffset>
            </wp:positionV>
            <wp:extent cx="2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-2629535</wp:posOffset>
            </wp:positionV>
            <wp:extent cx="3873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-2338070</wp:posOffset>
            </wp:positionV>
            <wp:extent cx="2984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-2338070</wp:posOffset>
            </wp:positionV>
            <wp:extent cx="2984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-2338070</wp:posOffset>
            </wp:positionV>
            <wp:extent cx="2984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-2338070</wp:posOffset>
            </wp:positionV>
            <wp:extent cx="2984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-1680210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-1680210</wp:posOffset>
            </wp:positionV>
            <wp:extent cx="215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-1686560</wp:posOffset>
            </wp:positionV>
            <wp:extent cx="3873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-1680210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-1680210</wp:posOffset>
            </wp:positionV>
            <wp:extent cx="215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-1686560</wp:posOffset>
            </wp:positionV>
            <wp:extent cx="3873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-1680210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-1680210</wp:posOffset>
            </wp:positionV>
            <wp:extent cx="215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-1686560</wp:posOffset>
            </wp:positionV>
            <wp:extent cx="3873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-1680210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-1680210</wp:posOffset>
            </wp:positionV>
            <wp:extent cx="215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-1686560</wp:posOffset>
            </wp:positionV>
            <wp:extent cx="3873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-1394460</wp:posOffset>
            </wp:positionV>
            <wp:extent cx="2984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-1394460</wp:posOffset>
            </wp:positionV>
            <wp:extent cx="2984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-1394460</wp:posOffset>
            </wp:positionV>
            <wp:extent cx="2984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-1394460</wp:posOffset>
            </wp:positionV>
            <wp:extent cx="2984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-805180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-805180</wp:posOffset>
            </wp:positionV>
            <wp:extent cx="215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-811530</wp:posOffset>
            </wp:positionV>
            <wp:extent cx="3873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-805180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-805180</wp:posOffset>
            </wp:positionV>
            <wp:extent cx="215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-811530</wp:posOffset>
            </wp:positionV>
            <wp:extent cx="3873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-805180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-805180</wp:posOffset>
            </wp:positionV>
            <wp:extent cx="215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-811530</wp:posOffset>
            </wp:positionV>
            <wp:extent cx="3873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-805180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-805180</wp:posOffset>
            </wp:positionV>
            <wp:extent cx="21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-811530</wp:posOffset>
            </wp:positionV>
            <wp:extent cx="3873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-520065</wp:posOffset>
            </wp:positionV>
            <wp:extent cx="2984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-520065</wp:posOffset>
            </wp:positionV>
            <wp:extent cx="2984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-520065</wp:posOffset>
            </wp:positionV>
            <wp:extent cx="2984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-520065</wp:posOffset>
            </wp:positionV>
            <wp:extent cx="2984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10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Jun. 30, 2002</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(Unaudited)</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Dec. 31, 2001</w:t>
            </w:r>
          </w:p>
        </w:tc>
        <w:tc>
          <w:tcPr>
            <w:tcW w:w="0" w:type="dxa"/>
            <w:vAlign w:val="bottom"/>
          </w:tcPr>
          <w:p>
            <w:pPr>
              <w:spacing w:after="0"/>
              <w:rPr>
                <w:sz w:val="1"/>
                <w:szCs w:val="1"/>
                <w:color w:val="auto"/>
              </w:rPr>
            </w:pPr>
          </w:p>
        </w:tc>
      </w:tr>
      <w:tr>
        <w:trPr>
          <w:trHeight w:val="105"/>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8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153,359</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1,559,045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(2002—$158,048; 2001—$145,268)</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3,900,196</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4,028,450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1,232,877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1,204,263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310,626</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654,584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7,810,687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7,704,890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511,000</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836,097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4,784,215</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4,827,879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1,144,882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1,028,954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6,709,822</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6,260,969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652,785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190,835</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169,463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22,848,362</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22,326,367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60" w:type="dxa"/>
            <w:vAlign w:val="bottom"/>
            <w:gridSpan w:val="2"/>
            <w:vMerge w:val="continue"/>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4,244,850</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4,506,634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487,009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108,906</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 due within one year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752,328</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5,712,993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6,217,785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7,170,532</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6,215,709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526,231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273,007</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13,682,763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13,310,987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649,333</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2,063,506</w:t>
            </w: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2,045,437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8,466,987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8,314,766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(1,666,360)</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(1,694,884)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(347,867)</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(286,838)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8,516,266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8,378,481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22,848,362</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22,326,367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40" w:type="dxa"/>
            <w:vAlign w:val="bottom"/>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-6943725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-6943725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-6943725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-6943725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-5622925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-5622925</wp:posOffset>
            </wp:positionV>
            <wp:extent cx="2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-5629275</wp:posOffset>
            </wp:positionV>
            <wp:extent cx="3873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-5622925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-5622925</wp:posOffset>
            </wp:positionV>
            <wp:extent cx="2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-5629275</wp:posOffset>
            </wp:positionV>
            <wp:extent cx="3873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-4233545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-4233545</wp:posOffset>
            </wp:positionV>
            <wp:extent cx="21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-4239895</wp:posOffset>
            </wp:positionV>
            <wp:extent cx="3873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-4233545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-4233545</wp:posOffset>
            </wp:positionV>
            <wp:extent cx="215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-4239895</wp:posOffset>
            </wp:positionV>
            <wp:extent cx="3873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-3948430</wp:posOffset>
            </wp:positionV>
            <wp:extent cx="2984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-3948430</wp:posOffset>
            </wp:positionV>
            <wp:extent cx="2984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-2741295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-2741295</wp:posOffset>
            </wp:positionV>
            <wp:extent cx="215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-2747645</wp:posOffset>
            </wp:positionV>
            <wp:extent cx="3873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-2741295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-2741295</wp:posOffset>
            </wp:positionV>
            <wp:extent cx="215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-2747645</wp:posOffset>
            </wp:positionV>
            <wp:extent cx="3873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-2038350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-2038350</wp:posOffset>
            </wp:positionV>
            <wp:extent cx="215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-2044700</wp:posOffset>
            </wp:positionV>
            <wp:extent cx="3873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-2038350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-2038350</wp:posOffset>
            </wp:positionV>
            <wp:extent cx="215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-2044700</wp:posOffset>
            </wp:positionV>
            <wp:extent cx="3873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-1746885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-1746885</wp:posOffset>
            </wp:positionV>
            <wp:extent cx="215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-1753235</wp:posOffset>
            </wp:positionV>
            <wp:extent cx="3873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-1746885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-1746885</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-1753235</wp:posOffset>
            </wp:positionV>
            <wp:extent cx="3873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-1454785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-1454785</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-1461135</wp:posOffset>
            </wp:positionV>
            <wp:extent cx="3873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-1454785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-1454785</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-1461135</wp:posOffset>
            </wp:positionV>
            <wp:extent cx="3873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-614680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-614680</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-621030</wp:posOffset>
            </wp:positionV>
            <wp:extent cx="3873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-614680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-614680</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-621030</wp:posOffset>
            </wp:positionV>
            <wp:extent cx="3873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-323215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-323215</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5680710</wp:posOffset>
            </wp:positionH>
            <wp:positionV relativeFrom="paragraph">
              <wp:posOffset>-329565</wp:posOffset>
            </wp:positionV>
            <wp:extent cx="3873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-323215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-323215</wp:posOffset>
            </wp:positionV>
            <wp:extent cx="215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3873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-38100</wp:posOffset>
            </wp:positionV>
            <wp:extent cx="2984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-38100</wp:posOffset>
            </wp:positionV>
            <wp:extent cx="2984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0280"/>
          </w:cols>
          <w:pgMar w:left="820" w:top="274" w:right="79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80"/>
          </w:cols>
          <w:pgMar w:left="820" w:top="274" w:right="7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9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92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Depreciation and amortization (1)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740"/>
              <w:spacing w:after="0"/>
              <w:rPr>
                <w:sz w:val="20"/>
                <w:szCs w:val="20"/>
                <w:color w:val="auto"/>
              </w:rPr>
            </w:pPr>
            <w:r>
              <w:rPr>
                <w:rFonts w:ascii="Arial" w:cs="Arial" w:eastAsia="Arial" w:hAnsi="Arial"/>
                <w:sz w:val="18"/>
                <w:szCs w:val="18"/>
                <w:color w:val="auto"/>
              </w:rPr>
              <w:t>Non-cash charges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Earnings of companies carried at equity, less dividends received (2002—$–; 2001—$–)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w:t>
            </w:r>
          </w:p>
        </w:tc>
        <w:tc>
          <w:tcPr>
            <w:tcW w:w="0" w:type="dxa"/>
            <w:vAlign w:val="bottom"/>
          </w:tcPr>
          <w:p>
            <w:pPr>
              <w:spacing w:after="0"/>
              <w:rPr>
                <w:sz w:val="1"/>
                <w:szCs w:val="1"/>
                <w:color w:val="auto"/>
              </w:rPr>
            </w:pPr>
          </w:p>
        </w:tc>
      </w:tr>
      <w:tr>
        <w:trPr>
          <w:trHeight w:val="216"/>
        </w:trPr>
        <w:tc>
          <w:tcPr>
            <w:tcW w:w="9280" w:type="dxa"/>
            <w:vAlign w:val="bottom"/>
          </w:tcPr>
          <w:p>
            <w:pPr>
              <w:ind w:left="740"/>
              <w:spacing w:after="0"/>
              <w:rPr>
                <w:sz w:val="20"/>
                <w:szCs w:val="20"/>
                <w:color w:val="auto"/>
              </w:rPr>
            </w:pPr>
            <w:r>
              <w:rPr>
                <w:rFonts w:ascii="Arial" w:cs="Arial" w:eastAsia="Arial" w:hAnsi="Arial"/>
                <w:sz w:val="18"/>
                <w:szCs w:val="18"/>
                <w:color w:val="auto"/>
              </w:rPr>
              <w:t>Deferred taxes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Provision for losses on accounts receivable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Decrease (increase) in receivables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(653,017)</w:t>
            </w:r>
          </w:p>
        </w:tc>
        <w:tc>
          <w:tcPr>
            <w:tcW w:w="0" w:type="dxa"/>
            <w:vAlign w:val="bottom"/>
          </w:tcPr>
          <w:p>
            <w:pPr>
              <w:spacing w:after="0"/>
              <w:rPr>
                <w:sz w:val="1"/>
                <w:szCs w:val="1"/>
                <w:color w:val="auto"/>
              </w:rPr>
            </w:pPr>
          </w:p>
        </w:tc>
      </w:tr>
      <w:tr>
        <w:trPr>
          <w:trHeight w:val="216"/>
        </w:trPr>
        <w:tc>
          <w:tcPr>
            <w:tcW w:w="9280" w:type="dxa"/>
            <w:vAlign w:val="bottom"/>
          </w:tcPr>
          <w:p>
            <w:pPr>
              <w:ind w:left="740"/>
              <w:spacing w:after="0"/>
              <w:rPr>
                <w:sz w:val="20"/>
                <w:szCs w:val="20"/>
                <w:color w:val="auto"/>
              </w:rPr>
            </w:pPr>
            <w:r>
              <w:rPr>
                <w:rFonts w:ascii="Arial" w:cs="Arial" w:eastAsia="Arial" w:hAnsi="Arial"/>
                <w:sz w:val="18"/>
                <w:szCs w:val="18"/>
                <w:color w:val="auto"/>
              </w:rPr>
              <w:t>Increase in inventories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(9,587)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(286,855)</w:t>
            </w: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Increase in other current assets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(107,478)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(71,281)</w:t>
            </w:r>
          </w:p>
        </w:tc>
        <w:tc>
          <w:tcPr>
            <w:tcW w:w="0" w:type="dxa"/>
            <w:vAlign w:val="bottom"/>
          </w:tcPr>
          <w:p>
            <w:pPr>
              <w:spacing w:after="0"/>
              <w:rPr>
                <w:sz w:val="1"/>
                <w:szCs w:val="1"/>
                <w:color w:val="auto"/>
              </w:rPr>
            </w:pPr>
          </w:p>
        </w:tc>
      </w:tr>
      <w:tr>
        <w:trPr>
          <w:trHeight w:val="216"/>
        </w:trPr>
        <w:tc>
          <w:tcPr>
            <w:tcW w:w="9280" w:type="dxa"/>
            <w:vAlign w:val="bottom"/>
          </w:tcPr>
          <w:p>
            <w:pPr>
              <w:ind w:left="740"/>
              <w:spacing w:after="0"/>
              <w:rPr>
                <w:sz w:val="20"/>
                <w:szCs w:val="20"/>
                <w:color w:val="auto"/>
              </w:rPr>
            </w:pPr>
            <w:r>
              <w:rPr>
                <w:rFonts w:ascii="Arial" w:cs="Arial" w:eastAsia="Arial" w:hAnsi="Arial"/>
                <w:sz w:val="18"/>
                <w:szCs w:val="18"/>
                <w:color w:val="auto"/>
              </w:rPr>
              <w:t>(Decrease) increase in accounts payable and accrued liabilities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(340,073)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(Decrease) increase in estimated liability for taxes on income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740"/>
              <w:spacing w:after="0"/>
              <w:rPr>
                <w:sz w:val="20"/>
                <w:szCs w:val="20"/>
                <w:color w:val="auto"/>
              </w:rPr>
            </w:pPr>
            <w:r>
              <w:rPr>
                <w:rFonts w:ascii="Arial" w:cs="Arial" w:eastAsia="Arial" w:hAnsi="Arial"/>
                <w:sz w:val="18"/>
                <w:szCs w:val="18"/>
                <w:color w:val="auto"/>
              </w:rPr>
              <w:t>Increase in postretirement benefits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Other—net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(223,795)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(284,631)</w:t>
            </w:r>
          </w:p>
        </w:tc>
        <w:tc>
          <w:tcPr>
            <w:tcW w:w="0" w:type="dxa"/>
            <w:vAlign w:val="bottom"/>
          </w:tcPr>
          <w:p>
            <w:pPr>
              <w:spacing w:after="0"/>
              <w:rPr>
                <w:sz w:val="1"/>
                <w:szCs w:val="1"/>
                <w:color w:val="auto"/>
              </w:rPr>
            </w:pPr>
          </w:p>
        </w:tc>
      </w:tr>
      <w:tr>
        <w:trPr>
          <w:trHeight w:val="118"/>
        </w:trPr>
        <w:tc>
          <w:tcPr>
            <w:tcW w:w="9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80" w:type="dxa"/>
            <w:vAlign w:val="bottom"/>
            <w:vMerge w:val="restart"/>
          </w:tcPr>
          <w:p>
            <w:pPr>
              <w:ind w:left="20"/>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(720,820)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(990,404)</w:t>
            </w: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(180,970)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(221,219)</w:t>
            </w: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Sales/retirements of fixed assets &amp; other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Acquisition of Sema plc</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(132,155)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(4,778,498)</w:t>
            </w: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businesses acquired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(353,024)</w:t>
            </w: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Other acquisition related payments</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(57,600)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sale of investments,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(47,535)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2,510,047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(1,005,143)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(3,851,069)</w:t>
            </w:r>
          </w:p>
        </w:tc>
        <w:tc>
          <w:tcPr>
            <w:tcW w:w="0" w:type="dxa"/>
            <w:vAlign w:val="bottom"/>
          </w:tcPr>
          <w:p>
            <w:pPr>
              <w:spacing w:after="0"/>
              <w:rPr>
                <w:sz w:val="1"/>
                <w:szCs w:val="1"/>
                <w:color w:val="auto"/>
              </w:rPr>
            </w:pPr>
          </w:p>
        </w:tc>
      </w:tr>
      <w:tr>
        <w:trPr>
          <w:trHeight w:val="118"/>
        </w:trPr>
        <w:tc>
          <w:tcPr>
            <w:tcW w:w="9280" w:type="dxa"/>
            <w:vAlign w:val="bottom"/>
            <w:vMerge w:val="restart"/>
          </w:tcPr>
          <w:p>
            <w:pPr>
              <w:ind w:left="20"/>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(216,022)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(214,840)</w:t>
            </w: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102,269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1,528,606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3,293,700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principal on long-term debt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(835,783)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0" w:type="dxa"/>
            <w:vAlign w:val="bottom"/>
          </w:tcPr>
          <w:p>
            <w:pPr>
              <w:spacing w:after="0"/>
              <w:rPr>
                <w:sz w:val="1"/>
                <w:szCs w:val="1"/>
                <w:color w:val="auto"/>
              </w:rPr>
            </w:pPr>
          </w:p>
        </w:tc>
      </w:tr>
      <w:tr>
        <w:trPr>
          <w:trHeight w:val="222"/>
        </w:trPr>
        <w:tc>
          <w:tcPr>
            <w:tcW w:w="9280" w:type="dxa"/>
            <w:vAlign w:val="bottom"/>
          </w:tcPr>
          <w:p>
            <w:pPr>
              <w:ind w:left="380"/>
              <w:spacing w:after="0"/>
              <w:rPr>
                <w:sz w:val="20"/>
                <w:szCs w:val="20"/>
                <w:color w:val="auto"/>
              </w:rPr>
            </w:pPr>
            <w:r>
              <w:rPr>
                <w:rFonts w:ascii="Arial" w:cs="Arial" w:eastAsia="Arial" w:hAnsi="Arial"/>
                <w:sz w:val="18"/>
                <w:szCs w:val="18"/>
                <w:color w:val="auto"/>
              </w:rPr>
              <w:t>Net (decrease) increase in short-term debt</w:t>
            </w:r>
          </w:p>
        </w:tc>
        <w:tc>
          <w:tcPr>
            <w:tcW w:w="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(236,356)</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3,688,585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before translation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(12,291)</w:t>
            </w: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beginning of period</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8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-6635115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-6635115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-6343015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-6343015</wp:posOffset>
            </wp:positionV>
            <wp:extent cx="21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-6349365</wp:posOffset>
            </wp:positionV>
            <wp:extent cx="3873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-6343015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-6343015</wp:posOffset>
            </wp:positionV>
            <wp:extent cx="215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-6349365</wp:posOffset>
            </wp:positionV>
            <wp:extent cx="3873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-4130675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-4130675</wp:posOffset>
            </wp:positionV>
            <wp:extent cx="215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-4137025</wp:posOffset>
            </wp:positionV>
            <wp:extent cx="3873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-4130675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-4130675</wp:posOffset>
            </wp:positionV>
            <wp:extent cx="215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-4137025</wp:posOffset>
            </wp:positionV>
            <wp:extent cx="3873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-3839210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-3839210</wp:posOffset>
            </wp:positionV>
            <wp:extent cx="21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-3845560</wp:posOffset>
            </wp:positionV>
            <wp:extent cx="3873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-3839210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-3839210</wp:posOffset>
            </wp:positionV>
            <wp:extent cx="215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-3845560</wp:posOffset>
            </wp:positionV>
            <wp:extent cx="3873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-2586990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-2586990</wp:posOffset>
            </wp:positionV>
            <wp:extent cx="215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-2593340</wp:posOffset>
            </wp:positionV>
            <wp:extent cx="3873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-2586990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-2586990</wp:posOffset>
            </wp:positionV>
            <wp:extent cx="215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-2593340</wp:posOffset>
            </wp:positionV>
            <wp:extent cx="3873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-2295525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-2295525</wp:posOffset>
            </wp:positionV>
            <wp:extent cx="215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-2301875</wp:posOffset>
            </wp:positionV>
            <wp:extent cx="3873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-2295525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-2295525</wp:posOffset>
            </wp:positionV>
            <wp:extent cx="215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-2301875</wp:posOffset>
            </wp:positionV>
            <wp:extent cx="3873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-1180465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-1180465</wp:posOffset>
            </wp:positionV>
            <wp:extent cx="215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-1186815</wp:posOffset>
            </wp:positionV>
            <wp:extent cx="3873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-1180465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-1180465</wp:posOffset>
            </wp:positionV>
            <wp:extent cx="215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-1186815</wp:posOffset>
            </wp:positionV>
            <wp:extent cx="3873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-889000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-889000</wp:posOffset>
            </wp:positionV>
            <wp:extent cx="215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-895350</wp:posOffset>
            </wp:positionV>
            <wp:extent cx="3873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-889000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-889000</wp:posOffset>
            </wp:positionV>
            <wp:extent cx="215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-895350</wp:posOffset>
            </wp:positionV>
            <wp:extent cx="3873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215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3873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-323215</wp:posOffset>
            </wp:positionV>
            <wp:extent cx="215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-38100</wp:posOffset>
            </wp:positionV>
            <wp:extent cx="2984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tab/>
        <w:t>Includes multiclient seismic data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ectPr>
          <w:pgSz w:w="11900" w:h="16838" w:orient="portrait"/>
          <w:cols w:equalWidth="0" w:num="1">
            <w:col w:w="11420"/>
          </w:cols>
          <w:pgMar w:left="240" w:top="274"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7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1"/>
              </w:rPr>
              <w:t>Comprehensive Income</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20" w:type="dxa"/>
            <w:vAlign w:val="bottom"/>
            <w:gridSpan w:val="4"/>
            <w:vMerge w:val="continue"/>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8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Marked to</w:t>
            </w:r>
          </w:p>
        </w:tc>
        <w:tc>
          <w:tcPr>
            <w:tcW w:w="220" w:type="dxa"/>
            <w:vAlign w:val="bottom"/>
            <w:vMerge w:val="restart"/>
          </w:tcPr>
          <w:p>
            <w:pPr>
              <w:spacing w:after="0"/>
              <w:rPr>
                <w:sz w:val="9"/>
                <w:szCs w:val="9"/>
                <w:color w:val="auto"/>
              </w:rPr>
            </w:pPr>
          </w:p>
        </w:tc>
        <w:tc>
          <w:tcPr>
            <w:tcW w:w="10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0"/>
              </w:rPr>
              <w:t>Translation</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92"/>
        </w:trPr>
        <w:tc>
          <w:tcPr>
            <w:tcW w:w="3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Issued</w:t>
            </w:r>
          </w:p>
        </w:tc>
        <w:tc>
          <w:tcPr>
            <w:tcW w:w="3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In Treasury</w:t>
            </w:r>
          </w:p>
        </w:tc>
        <w:tc>
          <w:tcPr>
            <w:tcW w:w="10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Market</w:t>
            </w:r>
          </w:p>
        </w:tc>
        <w:tc>
          <w:tcPr>
            <w:tcW w:w="220" w:type="dxa"/>
            <w:vAlign w:val="bottom"/>
          </w:tcPr>
          <w:p>
            <w:pPr>
              <w:spacing w:after="0"/>
              <w:rPr>
                <w:sz w:val="15"/>
                <w:szCs w:val="15"/>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05"/>
        </w:trPr>
        <w:tc>
          <w:tcPr>
            <w:tcW w:w="34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January 1, 2002</w:t>
            </w:r>
          </w:p>
        </w:tc>
        <w:tc>
          <w:tcPr>
            <w:tcW w:w="2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$2,045,437</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$(1,694,884)</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$8,314,766</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(49,569)</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$(237,269)</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368,507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marked to market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(4,855)</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Translation adjustment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(56,174)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 (1)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(216,286)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Shares sold to optionees</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18,069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28,524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4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June 30, 2002</w:t>
            </w:r>
          </w:p>
        </w:tc>
        <w:tc>
          <w:tcPr>
            <w:tcW w:w="2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$2,063,506</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$(1,666,360)</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$8,466,987</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(54,424)</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$(293,443)</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0" w:type="dxa"/>
            <w:vAlign w:val="bottom"/>
            <w:vMerge w:val="restart"/>
          </w:tcPr>
          <w:p>
            <w:pPr>
              <w:spacing w:after="0"/>
              <w:rPr>
                <w:sz w:val="20"/>
                <w:szCs w:val="20"/>
                <w:color w:val="auto"/>
              </w:rPr>
            </w:pPr>
            <w:r>
              <w:rPr>
                <w:rFonts w:ascii="Arial" w:cs="Arial" w:eastAsia="Arial" w:hAnsi="Arial"/>
                <w:sz w:val="18"/>
                <w:szCs w:val="18"/>
                <w:color w:val="auto"/>
              </w:rPr>
              <w:t>(1)</w:t>
            </w:r>
          </w:p>
        </w:tc>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$0.375 per share</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vMerge w:val="continue"/>
          </w:tcPr>
          <w:p>
            <w:pPr>
              <w:spacing w:after="0"/>
              <w:rPr>
                <w:sz w:val="5"/>
                <w:szCs w:val="5"/>
                <w:color w:val="auto"/>
              </w:rPr>
            </w:pPr>
          </w:p>
        </w:tc>
        <w:tc>
          <w:tcPr>
            <w:tcW w:w="314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340" w:type="dxa"/>
            <w:vAlign w:val="bottom"/>
            <w:vMerge w:val="continue"/>
          </w:tcPr>
          <w:p>
            <w:pPr>
              <w:spacing w:after="0"/>
              <w:rPr>
                <w:sz w:val="24"/>
                <w:szCs w:val="24"/>
                <w:color w:val="auto"/>
              </w:rPr>
            </w:pPr>
          </w:p>
        </w:tc>
        <w:tc>
          <w:tcPr>
            <w:tcW w:w="31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10"/>
          </w:tcPr>
          <w:p>
            <w:pPr>
              <w:ind w:left="180"/>
              <w:spacing w:after="0"/>
              <w:rPr>
                <w:sz w:val="20"/>
                <w:szCs w:val="20"/>
                <w:color w:val="auto"/>
              </w:rPr>
            </w:pPr>
            <w:r>
              <w:rPr>
                <w:rFonts w:ascii="Arial" w:cs="Arial" w:eastAsia="Arial" w:hAnsi="Arial"/>
                <w:sz w:val="14"/>
                <w:szCs w:val="14"/>
                <w:b w:val="1"/>
                <w:bCs w:val="1"/>
                <w:color w:val="auto"/>
              </w:rPr>
              <w:t>SHARES OF COMMON STOCK</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In Treasury</w:t>
            </w:r>
          </w:p>
        </w:tc>
        <w:tc>
          <w:tcPr>
            <w:tcW w:w="120" w:type="dxa"/>
            <w:vAlign w:val="bottom"/>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05"/>
        </w:trPr>
        <w:tc>
          <w:tcPr>
            <w:tcW w:w="34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tcPr>
          <w:p>
            <w:pPr>
              <w:spacing w:after="0"/>
              <w:rPr>
                <w:sz w:val="9"/>
                <w:szCs w:val="9"/>
                <w:color w:val="auto"/>
              </w:rPr>
            </w:pPr>
          </w:p>
        </w:tc>
        <w:tc>
          <w:tcPr>
            <w:tcW w:w="320" w:type="dxa"/>
            <w:vAlign w:val="bottom"/>
            <w:gridSpan w:val="2"/>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January 1, 2002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667,094,178</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(91,203,780)</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575,890,398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Sold to Optionees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10,490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1,535,201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1,545,691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4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tcPr>
          <w:p>
            <w:pPr>
              <w:spacing w:after="0"/>
              <w:rPr>
                <w:sz w:val="9"/>
                <w:szCs w:val="9"/>
                <w:color w:val="auto"/>
              </w:rPr>
            </w:pPr>
          </w:p>
        </w:tc>
        <w:tc>
          <w:tcPr>
            <w:tcW w:w="320" w:type="dxa"/>
            <w:vAlign w:val="bottom"/>
            <w:gridSpan w:val="2"/>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2002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667,104,668</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(89,668,579)</w:t>
            </w:r>
          </w:p>
        </w:tc>
        <w:tc>
          <w:tcPr>
            <w:tcW w:w="12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577,436,089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-3641725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-3641725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-3393440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-3393440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-3144520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-3144520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-3144520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-3144520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-3144520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-3144520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-3144520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-3144520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-3144520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-3144520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-3144520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-3144520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-2166620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-2166620</wp:posOffset>
            </wp:positionV>
            <wp:extent cx="215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-2166620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-2166620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-2166620</wp:posOffset>
            </wp:positionV>
            <wp:extent cx="215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-2172970</wp:posOffset>
            </wp:positionV>
            <wp:extent cx="38735"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-2166620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-2166620</wp:posOffset>
            </wp:positionV>
            <wp:extent cx="215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-2172970</wp:posOffset>
            </wp:positionV>
            <wp:extent cx="3873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-2166620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-2166620</wp:posOffset>
            </wp:positionV>
            <wp:extent cx="215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-2172970</wp:posOffset>
            </wp:positionV>
            <wp:extent cx="38735"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-2166620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-2166620</wp:posOffset>
            </wp:positionV>
            <wp:extent cx="215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-2172970</wp:posOffset>
            </wp:positionV>
            <wp:extent cx="3873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-2166620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-2166620</wp:posOffset>
            </wp:positionV>
            <wp:extent cx="215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-2172970</wp:posOffset>
            </wp:positionV>
            <wp:extent cx="38735"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-1881505</wp:posOffset>
            </wp:positionV>
            <wp:extent cx="50990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9905" cy="3873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-1881505</wp:posOffset>
            </wp:positionV>
            <wp:extent cx="2984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-1881505</wp:posOffset>
            </wp:positionV>
            <wp:extent cx="267970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79700" cy="387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-1094740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-751840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-751840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-751840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-751840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3873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-38100</wp:posOffset>
            </wp:positionV>
            <wp:extent cx="2984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 month period ended June 30, 2002 are not necessarily indicative of the results that may be expected for the full year ending December 31, 2002. For further information, refer to the consolidated financial statements and notes thereto, included in Schlumberger’s Annual Report on Form 10-K for the fiscal year ended December 31, 2001.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(loss) per share to diluted earnings (loss) per share for the second quarter 2002 and six months 2002:</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81280</wp:posOffset>
            </wp:positionV>
            <wp:extent cx="9048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04875" cy="21590"/>
                    </a:xfrm>
                    <a:prstGeom prst="rect">
                      <a:avLst/>
                    </a:prstGeom>
                    <a:noFill/>
                  </pic:spPr>
                </pic:pic>
              </a:graphicData>
            </a:graphic>
          </wp:anchor>
        </w:drawing>
      </w: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Basic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Dilutive effect of options (1)</w:t>
      </w:r>
    </w:p>
    <w:p>
      <w:pPr>
        <w:spacing w:after="0" w:line="26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10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5"/>
        </w:trPr>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gridSpan w:val="3"/>
          </w:tcPr>
          <w:p>
            <w:pPr>
              <w:ind w:left="180"/>
              <w:spacing w:after="0"/>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Average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Average 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w:t>
            </w:r>
          </w:p>
        </w:tc>
      </w:tr>
      <w:tr>
        <w:trPr>
          <w:trHeight w:val="174"/>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w w:val="82"/>
              </w:rPr>
              <w:t>Share</w:t>
            </w:r>
          </w:p>
        </w:tc>
        <w:tc>
          <w:tcPr>
            <w:tcW w:w="1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Net Loss</w:t>
            </w:r>
          </w:p>
        </w:tc>
        <w:tc>
          <w:tcPr>
            <w:tcW w:w="12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5"/>
                <w:szCs w:val="15"/>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Share</w:t>
            </w:r>
          </w:p>
        </w:tc>
      </w:tr>
      <w:tr>
        <w:trPr>
          <w:trHeight w:val="105"/>
        </w:trPr>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3"/>
        </w:trPr>
        <w:tc>
          <w:tcPr>
            <w:tcW w:w="680" w:type="dxa"/>
            <w:vAlign w:val="bottom"/>
          </w:tcPr>
          <w:p>
            <w:pPr>
              <w:jc w:val="center"/>
              <w:spacing w:after="0"/>
              <w:rPr>
                <w:sz w:val="20"/>
                <w:szCs w:val="20"/>
                <w:color w:val="auto"/>
              </w:rPr>
            </w:pPr>
            <w:r>
              <w:rPr>
                <w:rFonts w:ascii="Arial" w:cs="Arial" w:eastAsia="Arial" w:hAnsi="Arial"/>
                <w:sz w:val="18"/>
                <w:szCs w:val="18"/>
                <w:color w:val="auto"/>
                <w:w w:val="90"/>
              </w:rPr>
              <w:t>$196,035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577,242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(93,285)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573,451</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(0.16)</w:t>
            </w:r>
          </w:p>
        </w:tc>
      </w:tr>
      <w:tr>
        <w:trPr>
          <w:trHeight w:val="222"/>
        </w:trPr>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20"/>
        </w:trPr>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680" w:type="dxa"/>
            <w:vAlign w:val="bottom"/>
          </w:tcPr>
          <w:p>
            <w:pPr>
              <w:jc w:val="center"/>
              <w:spacing w:after="0"/>
              <w:rPr>
                <w:sz w:val="20"/>
                <w:szCs w:val="20"/>
                <w:color w:val="auto"/>
              </w:rPr>
            </w:pPr>
            <w:r>
              <w:rPr>
                <w:rFonts w:ascii="Arial" w:cs="Arial" w:eastAsia="Arial" w:hAnsi="Arial"/>
                <w:sz w:val="18"/>
                <w:szCs w:val="18"/>
                <w:color w:val="auto"/>
                <w:w w:val="90"/>
              </w:rPr>
              <w:t>$196,035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581,445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0.34</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(93,285)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573,451</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(0.16)</w:t>
            </w:r>
          </w:p>
        </w:tc>
      </w:tr>
      <w:tr>
        <w:trPr>
          <w:trHeight w:val="107"/>
        </w:trPr>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680" w:type="dxa"/>
            <w:vAlign w:val="bottom"/>
            <w:shd w:val="clear" w:color="auto" w:fill="000000"/>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-670560</wp:posOffset>
            </wp:positionV>
            <wp:extent cx="579755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-241300</wp:posOffset>
            </wp:positionV>
            <wp:extent cx="579755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-1189355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-1189355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-1189355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-1189355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-751840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-751840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-751840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-751840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-751840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-751840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-751840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-751840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-751840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-751840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-751840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-751840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-323215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-323215</wp:posOffset>
            </wp:positionV>
            <wp:extent cx="215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-323215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-323215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-323215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-323215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-323215</wp:posOffset>
            </wp:positionV>
            <wp:extent cx="215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-323215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-323215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-323215</wp:posOffset>
            </wp:positionV>
            <wp:extent cx="215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-329565</wp:posOffset>
            </wp:positionV>
            <wp:extent cx="38735"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-323215</wp:posOffset>
            </wp:positionV>
            <wp:extent cx="215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-329565</wp:posOffset>
            </wp:positionV>
            <wp:extent cx="3873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-38100</wp:posOffset>
            </wp:positionV>
            <wp:extent cx="2984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-38100</wp:posOffset>
            </wp:positionV>
            <wp:extent cx="33020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0200"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300"/>
          </w:cols>
          <w:pgMar w:left="240" w:top="274" w:right="279" w:bottom="1440" w:gutter="0" w:footer="0" w:header="0"/>
          <w:type w:val="continuous"/>
        </w:sectPr>
      </w:pP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3"/>
          </w:tcPr>
          <w:p>
            <w:pPr>
              <w:ind w:left="180"/>
              <w:spacing w:after="0"/>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3"/>
          </w:tcPr>
          <w:p>
            <w:pPr>
              <w:ind w:left="200"/>
              <w:spacing w:after="0"/>
              <w:rPr>
                <w:sz w:val="20"/>
                <w:szCs w:val="20"/>
                <w:color w:val="auto"/>
              </w:rPr>
            </w:pPr>
            <w:r>
              <w:rPr>
                <w:rFonts w:ascii="Arial" w:cs="Arial" w:eastAsia="Arial" w:hAnsi="Arial"/>
                <w:sz w:val="14"/>
                <w:szCs w:val="14"/>
                <w:b w:val="1"/>
                <w:bCs w:val="1"/>
                <w:color w:val="auto"/>
                <w:w w:val="83"/>
              </w:rPr>
              <w:t>Earnings</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Six Months</w:t>
            </w:r>
          </w:p>
        </w:tc>
        <w:tc>
          <w:tcPr>
            <w:tcW w:w="10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Average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Average 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74"/>
        </w:trPr>
        <w:tc>
          <w:tcPr>
            <w:tcW w:w="2840" w:type="dxa"/>
            <w:vAlign w:val="bottom"/>
            <w:gridSpan w:val="3"/>
            <w:vMerge w:val="continue"/>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Outstanding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w w:val="82"/>
              </w:rPr>
              <w:t>Share</w:t>
            </w:r>
          </w:p>
        </w:tc>
        <w:tc>
          <w:tcPr>
            <w:tcW w:w="20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7"/>
              </w:rPr>
              <w:t>Net Income</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740" w:type="dxa"/>
            <w:vAlign w:val="bottom"/>
            <w:tcBorders>
              <w:right w:val="single" w:sz="8" w:color="CCEEFF"/>
            </w:tcBorders>
            <w:gridSpan w:val="2"/>
            <w:shd w:val="clear" w:color="auto" w:fill="CCEEFF"/>
          </w:tcPr>
          <w:p>
            <w:pPr>
              <w:jc w:val="center"/>
              <w:ind w:left="932"/>
              <w:spacing w:after="0"/>
              <w:rPr>
                <w:sz w:val="20"/>
                <w:szCs w:val="20"/>
                <w:color w:val="auto"/>
              </w:rPr>
            </w:pPr>
            <w:r>
              <w:rPr>
                <w:rFonts w:ascii="Arial" w:cs="Arial" w:eastAsia="Arial" w:hAnsi="Arial"/>
                <w:sz w:val="18"/>
                <w:szCs w:val="18"/>
                <w:color w:val="auto"/>
                <w:w w:val="90"/>
              </w:rPr>
              <w:t>$368,507</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576,774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$142,603</w:t>
            </w:r>
          </w:p>
        </w:tc>
        <w:tc>
          <w:tcPr>
            <w:tcW w:w="1120" w:type="dxa"/>
            <w:vAlign w:val="bottom"/>
            <w:gridSpan w:val="2"/>
            <w:shd w:val="clear" w:color="auto" w:fill="CCEEFF"/>
          </w:tcPr>
          <w:p>
            <w:pPr>
              <w:jc w:val="center"/>
              <w:ind w:left="437"/>
              <w:spacing w:after="0"/>
              <w:rPr>
                <w:sz w:val="20"/>
                <w:szCs w:val="20"/>
                <w:color w:val="auto"/>
              </w:rPr>
            </w:pPr>
            <w:r>
              <w:rPr>
                <w:rFonts w:ascii="Arial" w:cs="Arial" w:eastAsia="Arial" w:hAnsi="Arial"/>
                <w:sz w:val="18"/>
                <w:szCs w:val="18"/>
                <w:color w:val="auto"/>
                <w:w w:val="86"/>
              </w:rPr>
              <w:t>573,255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Dilutive effect of options</w:t>
            </w:r>
          </w:p>
        </w:tc>
        <w:tc>
          <w:tcPr>
            <w:tcW w:w="106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437"/>
              <w:spacing w:after="0"/>
              <w:rPr>
                <w:sz w:val="20"/>
                <w:szCs w:val="20"/>
                <w:color w:val="auto"/>
              </w:rPr>
            </w:pPr>
            <w:r>
              <w:rPr>
                <w:rFonts w:ascii="Arial" w:cs="Arial" w:eastAsia="Arial" w:hAnsi="Arial"/>
                <w:sz w:val="18"/>
                <w:szCs w:val="18"/>
                <w:color w:val="auto"/>
                <w:w w:val="88"/>
              </w:rPr>
              <w:t>7,470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740" w:type="dxa"/>
            <w:vAlign w:val="bottom"/>
            <w:tcBorders>
              <w:right w:val="single" w:sz="8" w:color="CCEEFF"/>
            </w:tcBorders>
            <w:gridSpan w:val="2"/>
            <w:shd w:val="clear" w:color="auto" w:fill="CCEEFF"/>
          </w:tcPr>
          <w:p>
            <w:pPr>
              <w:jc w:val="center"/>
              <w:ind w:left="932"/>
              <w:spacing w:after="0"/>
              <w:rPr>
                <w:sz w:val="20"/>
                <w:szCs w:val="20"/>
                <w:color w:val="auto"/>
              </w:rPr>
            </w:pPr>
            <w:r>
              <w:rPr>
                <w:rFonts w:ascii="Arial" w:cs="Arial" w:eastAsia="Arial" w:hAnsi="Arial"/>
                <w:sz w:val="18"/>
                <w:szCs w:val="18"/>
                <w:color w:val="auto"/>
                <w:w w:val="90"/>
              </w:rPr>
              <w:t>$368,507</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581,275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7"/>
              </w:rPr>
              <w:t>$142,603</w:t>
            </w:r>
          </w:p>
        </w:tc>
        <w:tc>
          <w:tcPr>
            <w:tcW w:w="1120" w:type="dxa"/>
            <w:vAlign w:val="bottom"/>
            <w:gridSpan w:val="2"/>
            <w:shd w:val="clear" w:color="auto" w:fill="CCEEFF"/>
          </w:tcPr>
          <w:p>
            <w:pPr>
              <w:jc w:val="center"/>
              <w:ind w:left="437"/>
              <w:spacing w:after="0"/>
              <w:rPr>
                <w:sz w:val="20"/>
                <w:szCs w:val="20"/>
                <w:color w:val="auto"/>
              </w:rPr>
            </w:pPr>
            <w:r>
              <w:rPr>
                <w:rFonts w:ascii="Arial" w:cs="Arial" w:eastAsia="Arial" w:hAnsi="Arial"/>
                <w:sz w:val="18"/>
                <w:szCs w:val="18"/>
                <w:color w:val="auto"/>
                <w:w w:val="86"/>
              </w:rPr>
              <w:t>580,725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Borders>
              <w:right w:val="single" w:sz="8" w:color="auto"/>
            </w:tcBorders>
            <w:shd w:val="clear" w:color="auto" w:fill="000000"/>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-1189355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-1189355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-1189355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-1189355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-751840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-751840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-751840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-751840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-751840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-751840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-751840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-751840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-751840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-751840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-751840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-323215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-323215</wp:posOffset>
            </wp:positionV>
            <wp:extent cx="215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-323215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-323215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-323215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-323215</wp:posOffset>
            </wp:positionV>
            <wp:extent cx="215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215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215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right"/>
        <w:ind w:left="5680" w:right="5620" w:hanging="5672"/>
        <w:spacing w:after="0" w:line="455" w:lineRule="auto"/>
        <w:tabs>
          <w:tab w:leader="none" w:pos="464" w:val="left"/>
        </w:tabs>
        <w:numPr>
          <w:ilvl w:val="0"/>
          <w:numId w:val="1"/>
        </w:numPr>
        <w:rPr>
          <w:rFonts w:ascii="Arial" w:cs="Arial" w:eastAsia="Arial" w:hAnsi="Arial"/>
          <w:sz w:val="15"/>
          <w:szCs w:val="15"/>
          <w:color w:val="auto"/>
        </w:rPr>
      </w:pPr>
      <w:r>
        <w:rPr>
          <w:rFonts w:ascii="Arial" w:cs="Arial" w:eastAsia="Arial" w:hAnsi="Arial"/>
          <w:sz w:val="15"/>
          <w:szCs w:val="15"/>
          <w:color w:val="auto"/>
        </w:rPr>
        <w:t>Due to the net loss, there is no dilutive effect in the second quarter of 2001. 6</w:t>
      </w:r>
    </w:p>
    <w:p>
      <w:pPr>
        <w:sectPr>
          <w:pgSz w:w="11900" w:h="16838" w:orient="portrait"/>
          <w:cols w:equalWidth="0" w:num="1">
            <w:col w:w="11380"/>
          </w:cols>
          <w:pgMar w:left="240" w:top="274" w:right="2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NET INCOME (LOSS)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(Goodwill and Other Intangible Assets).</w:t>
      </w:r>
    </w:p>
    <w:p>
      <w:pPr>
        <w:spacing w:after="0" w:line="25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5"/>
          </w:tcPr>
          <w:p>
            <w:pPr>
              <w:ind w:left="220"/>
              <w:spacing w:after="0"/>
              <w:rPr>
                <w:sz w:val="20"/>
                <w:szCs w:val="20"/>
                <w:color w:val="auto"/>
              </w:rPr>
            </w:pPr>
            <w:r>
              <w:rPr>
                <w:rFonts w:ascii="Arial" w:cs="Arial" w:eastAsia="Arial" w:hAnsi="Arial"/>
                <w:sz w:val="14"/>
                <w:szCs w:val="14"/>
                <w:b w:val="1"/>
                <w:bCs w:val="1"/>
                <w:color w:val="auto"/>
                <w:w w:val="97"/>
              </w:rPr>
              <w:t>(Stated in thousands)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200" w:type="dxa"/>
            <w:vAlign w:val="bottom"/>
            <w:gridSpan w:val="2"/>
          </w:tcPr>
          <w:p>
            <w:pPr>
              <w:jc w:val="center"/>
              <w:ind w:left="1419"/>
              <w:spacing w:after="0"/>
              <w:rPr>
                <w:sz w:val="20"/>
                <w:szCs w:val="20"/>
                <w:color w:val="auto"/>
              </w:rPr>
            </w:pPr>
            <w:r>
              <w:rPr>
                <w:rFonts w:ascii="Arial" w:cs="Arial" w:eastAsia="Arial" w:hAnsi="Arial"/>
                <w:sz w:val="14"/>
                <w:szCs w:val="14"/>
                <w:b w:val="1"/>
                <w:bCs w:val="1"/>
                <w:color w:val="auto"/>
                <w:w w:val="83"/>
              </w:rPr>
              <w:t>2002</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82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83"/>
              </w:rPr>
              <w:t>2002</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(loss)</w:t>
            </w:r>
          </w:p>
        </w:tc>
        <w:tc>
          <w:tcPr>
            <w:tcW w:w="2200" w:type="dxa"/>
            <w:vAlign w:val="bottom"/>
            <w:tcBorders>
              <w:right w:val="single" w:sz="8" w:color="CCEEFF"/>
            </w:tcBorders>
            <w:gridSpan w:val="2"/>
            <w:shd w:val="clear" w:color="auto" w:fill="CCEEFF"/>
          </w:tcPr>
          <w:p>
            <w:pPr>
              <w:jc w:val="center"/>
              <w:ind w:left="1399"/>
              <w:spacing w:after="0"/>
              <w:rPr>
                <w:sz w:val="20"/>
                <w:szCs w:val="20"/>
                <w:color w:val="auto"/>
              </w:rPr>
            </w:pPr>
            <w:r>
              <w:rPr>
                <w:rFonts w:ascii="Arial" w:cs="Arial" w:eastAsia="Arial" w:hAnsi="Arial"/>
                <w:sz w:val="18"/>
                <w:szCs w:val="18"/>
                <w:color w:val="auto"/>
                <w:w w:val="90"/>
              </w:rPr>
              <w:t>$196,035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(93,285)</w:t>
            </w:r>
          </w:p>
        </w:tc>
        <w:tc>
          <w:tcPr>
            <w:tcW w:w="820" w:type="dxa"/>
            <w:vAlign w:val="bottom"/>
            <w:tcBorders>
              <w:right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87"/>
              </w:rPr>
              <w:t>$368,507</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Elimination of goodwill amortization</w:t>
            </w:r>
          </w:p>
        </w:tc>
        <w:tc>
          <w:tcPr>
            <w:tcW w:w="152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69,955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99,826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2200" w:type="dxa"/>
            <w:vAlign w:val="bottom"/>
            <w:tcBorders>
              <w:right w:val="single" w:sz="8" w:color="CCEEFF"/>
            </w:tcBorders>
            <w:gridSpan w:val="2"/>
            <w:shd w:val="clear" w:color="auto" w:fill="CCEEFF"/>
          </w:tcPr>
          <w:p>
            <w:pPr>
              <w:jc w:val="center"/>
              <w:ind w:left="1399"/>
              <w:spacing w:after="0"/>
              <w:rPr>
                <w:sz w:val="20"/>
                <w:szCs w:val="20"/>
                <w:color w:val="auto"/>
              </w:rPr>
            </w:pPr>
            <w:r>
              <w:rPr>
                <w:rFonts w:ascii="Arial" w:cs="Arial" w:eastAsia="Arial" w:hAnsi="Arial"/>
                <w:sz w:val="18"/>
                <w:szCs w:val="18"/>
                <w:color w:val="auto"/>
                <w:w w:val="90"/>
              </w:rPr>
              <w:t>$196,035</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(23,330)</w:t>
            </w:r>
          </w:p>
        </w:tc>
        <w:tc>
          <w:tcPr>
            <w:tcW w:w="820" w:type="dxa"/>
            <w:vAlign w:val="bottom"/>
            <w:tcBorders>
              <w:right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87"/>
              </w:rPr>
              <w:t>$368,507</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$242,429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-1000760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-1000760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-1000760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-1000760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-751840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-751840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-751840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-751840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-751840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-751840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-323215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215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-323215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-323215</wp:posOffset>
            </wp:positionV>
            <wp:extent cx="215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-329565</wp:posOffset>
            </wp:positionV>
            <wp:extent cx="3873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215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215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-38100</wp:posOffset>
            </wp:positionV>
            <wp:extent cx="2984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-38100</wp:posOffset>
            </wp:positionV>
            <wp:extent cx="1024890"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4890" cy="3873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w:t>
      </w:r>
    </w:p>
    <w:p>
      <w:pPr>
        <w:spacing w:after="0" w:line="16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The first quarter 2002 included a $29 million charge (pretax $30 million and minority interest credit of $1 million; $0.05 per share – 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Consolidated Statement of Income.</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first quarter 2001 included a $25 million pretax and after tax in-process research and development charge ($0.04 per share – diluted) related to the acquisition of Bull CP8. This charge is classified in </w:t>
      </w:r>
      <w:r>
        <w:rPr>
          <w:rFonts w:ascii="Arial" w:cs="Arial" w:eastAsia="Arial" w:hAnsi="Arial"/>
          <w:sz w:val="18"/>
          <w:szCs w:val="18"/>
          <w:i w:val="1"/>
          <w:iCs w:val="1"/>
          <w:color w:val="auto"/>
        </w:rPr>
        <w:t>Research and Engineering</w:t>
      </w:r>
      <w:r>
        <w:rPr>
          <w:rFonts w:ascii="Arial" w:cs="Arial" w:eastAsia="Arial" w:hAnsi="Arial"/>
          <w:sz w:val="18"/>
          <w:szCs w:val="18"/>
          <w:color w:val="auto"/>
        </w:rPr>
        <w:t xml:space="preserve"> in the Consolidated Statement of Income.</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second quarter 2001 included a $280 million pretax and after tax impairment charge ($0.48 per share – diluted) related to the disposition of certain Resources Management Services businesses (Electricity and Water outside North America and worldwide Gas businesses). This charge, which included the write off of goodwill ($139 million) and cumulative translation adjustment ($79 million),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Consolidated Statement of Income.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 IN AFFILIATED COMPANIES</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Investments in affiliated companies include Schlumberger’s 40% investment in the MI Drilling Fluids Joint Venture (June 30, 2002—$586 million; December 31, 2001—$573 million). Equity in income of investments carried under the equity method (second quarter 2002—$18 million; second quarter 2001—$15 million and six months 2002—$34 million; six months 2001—$29 million) are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Consolidated Statement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June 2001, SFAS 141 (Business Combinations) and SFAS 142 (Goodwill and Other Intangible Assets) were issued. SFAS 141 was adopted by Schlumberger for acquisitions subsequent to June 30, 2001. SFAS 142 was adopted by Schlumberger commencing January 1, 2002 and, based on the findings and conclusions of an independent valuation undertaken in the first quarter of 2002, Schlumberger determined that there is no impairment write down on the adoption of this standard.</w:t>
      </w:r>
    </w:p>
    <w:p>
      <w:pPr>
        <w:spacing w:after="0" w:line="13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$179 million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in June 2001 and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adopted by Schlumberger commencing January 1, 2002.</w:t>
      </w:r>
    </w:p>
    <w:p>
      <w:pPr>
        <w:spacing w:after="0" w:line="15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Effective January 1, 2002, Schlumberger adopted the FASB EITF Abstract 01-14, “Income Statement Characterization of Reimbursements Received for “Out-of-Pocket” Expenses Incurred”. Prior year revenue has been restated to include reimbursable costs billed to customers which had been classified as a contra expense and now must be classified as revenue. The reclassification was only required in the Oilfield Services (OFS) segment as the SchlumbergerSema segment was already in compliance with the new standard. OFS revenue and cost of goods sold &amp; services increased in the second quarter 2001 by $137 million and in the six months 2001 by $241 million. There was no effect on cash flow or net income.</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29, 2002, the Financial Accounting Standards Board issued SFAS No. 146, Accounting for Costs Associated with Exit or Disposal Activities. The standard requires companies to recognize costs associated with exit or disposal activities when they are incurred rather than at the date of a commitment to an exit or disposal plan. Examples of costs covered by the standard include lease termination costs and certain employee severance costs that are associated with a restructuring, discontinued operation, plant closing, or other exit or disposal activity. Previous accounting guidance was provided by EITF Issue No. 94-3, “Liability Recognition for Certain Employee Termination Benefits and Other Costs to Exit an Activity (including Certain Costs Incurred in a Restructuring).” SFAS 146 replaces Issue 94-3. SFAS 146 is to be applied prospectively to exit or disposal activities initiated after December 31, 2002.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w:t>
      </w:r>
    </w:p>
    <w:p>
      <w:pPr>
        <w:spacing w:after="0" w:line="1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$350 million. The amount of receivables sold under this agreement totaled $168 million at June 30, 2002 and $176 million at December 31, 2001. Costs of the program, which primarily consist of the purchasers’ financing and administrative costs, were not significant. Unless extended by amendment, the agreement expires in September 2002.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6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January 2002, two principal subsidiaries of Schlumberger in Europe initiated a Euro commercial paper program, which is guaranteed by Schlumberger Limited. At June 30, 2002, Euro commercial paper borrowings totaled $1.5 billion. Euro commercial paper borrowings are supported by a long-term revolving credit facility.</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 rights for life. The proceeds partially replaced US commercial paper borrowings. At June 30, 2002, US commercial paper borrowings totaled $1.5 billion. US commercial paper borrowings are supported by a long-term revolving credit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6"/>
          </w:tcPr>
          <w:p>
            <w:pPr>
              <w:jc w:val="right"/>
              <w:ind w:right="219"/>
              <w:spacing w:after="0"/>
              <w:rPr>
                <w:sz w:val="20"/>
                <w:szCs w:val="20"/>
                <w:color w:val="auto"/>
              </w:rPr>
            </w:pPr>
            <w:r>
              <w:rPr>
                <w:rFonts w:ascii="Arial" w:cs="Arial" w:eastAsia="Arial" w:hAnsi="Arial"/>
                <w:sz w:val="14"/>
                <w:szCs w:val="14"/>
                <w:b w:val="1"/>
                <w:bCs w:val="1"/>
                <w:color w:val="auto"/>
                <w:w w:val="94"/>
              </w:rPr>
              <w:t>($ millions)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Jun.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w w:val="80"/>
              </w:rPr>
              <w:t>Dec. 31</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5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66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Work in Process</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6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1,487</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Reserves</w:t>
            </w:r>
          </w:p>
        </w:tc>
        <w:tc>
          <w:tcPr>
            <w:tcW w:w="66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07"/>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ASSETS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spacing w:after="0"/>
              <w:rPr>
                <w:sz w:val="20"/>
                <w:szCs w:val="20"/>
                <w:color w:val="auto"/>
              </w:rPr>
            </w:pPr>
            <w:r>
              <w:rPr>
                <w:rFonts w:ascii="Arial" w:cs="Arial" w:eastAsia="Arial" w:hAnsi="Arial"/>
                <w:sz w:val="18"/>
                <w:szCs w:val="18"/>
                <w:color w:val="auto"/>
              </w:rPr>
              <w:t>A summary of fixed assets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7"/>
          </w:tcPr>
          <w:p>
            <w:pPr>
              <w:ind w:left="80"/>
              <w:spacing w:after="0"/>
              <w:rPr>
                <w:sz w:val="20"/>
                <w:szCs w:val="20"/>
                <w:color w:val="auto"/>
              </w:rPr>
            </w:pPr>
            <w:r>
              <w:rPr>
                <w:rFonts w:ascii="Arial" w:cs="Arial" w:eastAsia="Arial" w:hAnsi="Arial"/>
                <w:sz w:val="14"/>
                <w:szCs w:val="14"/>
                <w:b w:val="1"/>
                <w:bCs w:val="1"/>
                <w:color w:val="auto"/>
              </w:rPr>
              <w:t>($ millions)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30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7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9"/>
              </w:rPr>
              <w:t>Jun.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2"/>
                <w:szCs w:val="12"/>
                <w:b w:val="1"/>
                <w:bCs w:val="1"/>
                <w:color w:val="auto"/>
                <w:w w:val="71"/>
              </w:rPr>
              <w:t>Dec. 31</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58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30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$11,577</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$11,179</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6,793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6,351</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30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93"/>
              </w:rPr>
              <w:t>$ 4,784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4,828</w:t>
            </w:r>
          </w:p>
        </w:tc>
        <w:tc>
          <w:tcPr>
            <w:tcW w:w="0" w:type="dxa"/>
            <w:vAlign w:val="bottom"/>
          </w:tcPr>
          <w:p>
            <w:pPr>
              <w:spacing w:after="0"/>
              <w:rPr>
                <w:sz w:val="1"/>
                <w:szCs w:val="1"/>
                <w:color w:val="auto"/>
              </w:rPr>
            </w:pPr>
          </w:p>
        </w:tc>
      </w:tr>
      <w:tr>
        <w:trPr>
          <w:trHeight w:val="107"/>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80" w:type="dxa"/>
            <w:vAlign w:val="bottom"/>
            <w:gridSpan w:val="2"/>
            <w:vMerge w:val="continue"/>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616"/>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for the six months ended June 30, 2002 is a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83"/>
              </w:rPr>
              <w:t>($ millions)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6,261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Reclassification of Assembled Workforce, net of deferred taxes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 including acquisitions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6,710</w:t>
            </w:r>
          </w:p>
        </w:tc>
        <w:tc>
          <w:tcPr>
            <w:tcW w:w="0" w:type="dxa"/>
            <w:vAlign w:val="bottom"/>
          </w:tcPr>
          <w:p>
            <w:pPr>
              <w:spacing w:after="0"/>
              <w:rPr>
                <w:sz w:val="1"/>
                <w:szCs w:val="1"/>
                <w:color w:val="auto"/>
              </w:rPr>
            </w:pPr>
          </w:p>
        </w:tc>
      </w:tr>
      <w:tr>
        <w:trPr>
          <w:trHeight w:val="105"/>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(1)   Following adoption of SFAS 142 on January 1, 2002.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gridSpan w:val="2"/>
          </w:tcPr>
          <w:p>
            <w:pPr>
              <w:spacing w:after="0"/>
              <w:rPr>
                <w:sz w:val="20"/>
                <w:szCs w:val="20"/>
                <w:color w:val="auto"/>
              </w:rPr>
            </w:pPr>
            <w:r>
              <w:rPr>
                <w:rFonts w:ascii="Arial" w:cs="Arial" w:eastAsia="Arial" w:hAnsi="Arial"/>
                <w:sz w:val="18"/>
                <w:szCs w:val="18"/>
                <w:color w:val="auto"/>
              </w:rPr>
              <w:t>A summary of intangible assets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6"/>
          </w:tcPr>
          <w:p>
            <w:pPr>
              <w:jc w:val="center"/>
              <w:ind w:right="19"/>
              <w:spacing w:after="0"/>
              <w:rPr>
                <w:sz w:val="20"/>
                <w:szCs w:val="20"/>
                <w:color w:val="auto"/>
              </w:rPr>
            </w:pPr>
            <w:r>
              <w:rPr>
                <w:rFonts w:ascii="Arial" w:cs="Arial" w:eastAsia="Arial" w:hAnsi="Arial"/>
                <w:sz w:val="14"/>
                <w:szCs w:val="14"/>
                <w:b w:val="1"/>
                <w:bCs w:val="1"/>
                <w:color w:val="auto"/>
                <w:w w:val="86"/>
              </w:rPr>
              <w:t>($ millions)</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2"/>
              </w:rPr>
              <w:t>Jun.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77"/>
              </w:rPr>
              <w:t>Dec. 31</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660" w:type="dxa"/>
            <w:vAlign w:val="bottom"/>
            <w:gridSpan w:val="6"/>
          </w:tcPr>
          <w:p>
            <w:pPr>
              <w:ind w:left="380"/>
              <w:spacing w:after="0"/>
              <w:rPr>
                <w:sz w:val="20"/>
                <w:szCs w:val="20"/>
                <w:color w:val="auto"/>
              </w:rPr>
            </w:pPr>
            <w:r>
              <w:rPr>
                <w:rFonts w:ascii="Arial" w:cs="Arial" w:eastAsia="Arial" w:hAnsi="Arial"/>
                <w:sz w:val="14"/>
                <w:szCs w:val="14"/>
                <w:b w:val="1"/>
                <w:bCs w:val="1"/>
                <w:color w:val="auto"/>
                <w:w w:val="76"/>
              </w:rPr>
              <w:t>2002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ind w:right="19"/>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300" w:type="dxa"/>
            <w:vAlign w:val="bottom"/>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76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$ 821</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$ 935</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760" w:type="dxa"/>
            <w:vAlign w:val="bottom"/>
            <w:gridSpan w:val="7"/>
          </w:tcPr>
          <w:p>
            <w:pPr>
              <w:jc w:val="right"/>
              <w:ind w:right="20"/>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7140" w:type="dxa"/>
            <w:vAlign w:val="bottom"/>
          </w:tcPr>
          <w:p>
            <w:pPr>
              <w:spacing w:after="0"/>
              <w:rPr>
                <w:sz w:val="9"/>
                <w:szCs w:val="9"/>
                <w:color w:val="auto"/>
              </w:rPr>
            </w:pPr>
          </w:p>
        </w:tc>
        <w:tc>
          <w:tcPr>
            <w:tcW w:w="300" w:type="dxa"/>
            <w:vAlign w:val="bottom"/>
            <w:gridSpan w:val="3"/>
          </w:tcPr>
          <w:p>
            <w:pPr>
              <w:spacing w:after="0"/>
              <w:rPr>
                <w:sz w:val="9"/>
                <w:szCs w:val="9"/>
                <w:color w:val="auto"/>
              </w:rPr>
            </w:pPr>
          </w:p>
        </w:tc>
        <w:tc>
          <w:tcPr>
            <w:tcW w:w="460" w:type="dxa"/>
            <w:vAlign w:val="bottom"/>
            <w:tcBorders>
              <w:bottom w:val="single" w:sz="8" w:color="auto"/>
            </w:tcBorders>
            <w:gridSpan w:val="4"/>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760" w:type="dxa"/>
            <w:vAlign w:val="bottom"/>
            <w:gridSpan w:val="7"/>
          </w:tcPr>
          <w:p>
            <w:pPr>
              <w:jc w:val="right"/>
              <w:ind w:right="20"/>
              <w:spacing w:after="0"/>
              <w:rPr>
                <w:sz w:val="20"/>
                <w:szCs w:val="20"/>
                <w:color w:val="auto"/>
              </w:rPr>
            </w:pPr>
            <w:r>
              <w:rPr>
                <w:rFonts w:ascii="Arial" w:cs="Arial" w:eastAsia="Arial" w:hAnsi="Arial"/>
                <w:sz w:val="18"/>
                <w:szCs w:val="18"/>
                <w:color w:val="auto"/>
              </w:rPr>
              <w:t>$ 653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$ 811</w:t>
            </w:r>
          </w:p>
        </w:tc>
        <w:tc>
          <w:tcPr>
            <w:tcW w:w="0" w:type="dxa"/>
            <w:vAlign w:val="bottom"/>
          </w:tcPr>
          <w:p>
            <w:pPr>
              <w:spacing w:after="0"/>
              <w:rPr>
                <w:sz w:val="1"/>
                <w:szCs w:val="1"/>
                <w:color w:val="auto"/>
              </w:rPr>
            </w:pPr>
          </w:p>
        </w:tc>
      </w:tr>
      <w:tr>
        <w:trPr>
          <w:trHeight w:val="107"/>
        </w:trPr>
        <w:tc>
          <w:tcPr>
            <w:tcW w:w="8580" w:type="dxa"/>
            <w:vAlign w:val="bottom"/>
            <w:gridSpan w:val="2"/>
            <w:vMerge w:val="restart"/>
          </w:tcPr>
          <w:p>
            <w:pPr>
              <w:ind w:left="56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-8012430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-8012430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-7668895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-7668895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-7668895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-7668895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-7103110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-7103110</wp:posOffset>
            </wp:positionV>
            <wp:extent cx="215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-7103110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-7103110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-7103110</wp:posOffset>
            </wp:positionV>
            <wp:extent cx="215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-7103110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-6674485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-6674485</wp:posOffset>
            </wp:positionV>
            <wp:extent cx="215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-6674485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-6674485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-6674485</wp:posOffset>
            </wp:positionV>
            <wp:extent cx="215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-6674485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-6389370</wp:posOffset>
            </wp:positionV>
            <wp:extent cx="79311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93115" cy="3873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-5559425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-5559425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-5216525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-5216525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-5216525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-5216525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-4787900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-4787900</wp:posOffset>
            </wp:positionV>
            <wp:extent cx="215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-4787900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-4787900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-4787900</wp:posOffset>
            </wp:positionV>
            <wp:extent cx="215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-4787900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-3578225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-3578225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-2875280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-2875280</wp:posOffset>
            </wp:positionV>
            <wp:extent cx="215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-2875280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-1434465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-1434465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-1091565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-1091565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-1091565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-1091565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-662940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-662940</wp:posOffset>
            </wp:positionV>
            <wp:extent cx="215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-662940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-662940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-662940</wp:posOffset>
            </wp:positionV>
            <wp:extent cx="215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-377190</wp:posOffset>
            </wp:positionV>
            <wp:extent cx="2787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78765" cy="38735"/>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9" w:name="page10"/>
    <w:bookmarkEnd w:id="9"/>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amortization charge to income for the second quarter was $34 million and $55 million for the first six months. In accordance with SFAS 142 (see New Accounting Standards), $256 million (net of amortization) has been reclassified to Goodwill.</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Intangible assets principally comprise patents, software and technology and other. At June 30, 2002, the approximate gross book value of intangible assets and amortization periods were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24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Amortization Periods</w:t>
            </w:r>
          </w:p>
        </w:tc>
        <w:tc>
          <w:tcPr>
            <w:tcW w:w="0" w:type="dxa"/>
            <w:vAlign w:val="bottom"/>
          </w:tcPr>
          <w:p>
            <w:pPr>
              <w:spacing w:after="0"/>
              <w:rPr>
                <w:sz w:val="1"/>
                <w:szCs w:val="1"/>
                <w:color w:val="auto"/>
              </w:rPr>
            </w:pPr>
          </w:p>
        </w:tc>
      </w:tr>
      <w:tr>
        <w:trPr>
          <w:trHeight w:val="105"/>
        </w:trPr>
        <w:tc>
          <w:tcPr>
            <w:tcW w:w="6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5—10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w w:val="84"/>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 &amp; other</w:t>
            </w: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-889000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-889000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-889000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-889000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215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-38100</wp:posOffset>
            </wp:positionV>
            <wp:extent cx="37274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72745" cy="387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6 years.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Following the acquisition of Sema plc on April 6, 2001, Schlumberger created a new business segment, SchlumbergerSema, which resulted from the merger of Sema plc with certain businesses from Schlumberger’s former segments, Test &amp; Transactions and Resource Management Services. Following this reorganization, Schlumberger now operates two reportable segments, Oilfield Services (OFS) and SchlumbergerSema (SLSEMA).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several reclassifications so that the prior periods are comparable with our current reporting structure.</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Prior year revenue had been restated to include reimbursable costs billed to customers, which had been classified as a contra expense and now must be classified as revenue in accordance with FASB EITF Abstract 01-14. The reclassification was only required in the OFS segment as the SLSEMA segment was already in compliance with the new standard. As a result Oilfield Services second quarter 2001 and six months 2001 revenue and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increased by $137 million and $241 million, respectively. The adoption of this standard had no effect on cash flow or 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21"/>
              <w:spacing w:after="0"/>
              <w:rPr>
                <w:sz w:val="20"/>
                <w:szCs w:val="20"/>
                <w:color w:val="auto"/>
              </w:rPr>
            </w:pPr>
            <w:r>
              <w:rPr>
                <w:rFonts w:ascii="Arial" w:cs="Arial" w:eastAsia="Arial" w:hAnsi="Arial"/>
                <w:sz w:val="14"/>
                <w:szCs w:val="14"/>
                <w:b w:val="1"/>
                <w:bCs w:val="1"/>
                <w:color w:val="auto"/>
              </w:rPr>
              <w:t>SECOND QUARTER 2002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910" w:type="dxa"/>
            <w:vAlign w:val="bottom"/>
            <w:gridSpan w:val="7"/>
          </w:tcPr>
          <w:p>
            <w:pPr>
              <w:jc w:val="right"/>
              <w:ind w:right="1"/>
              <w:spacing w:after="0"/>
              <w:rPr>
                <w:sz w:val="20"/>
                <w:szCs w:val="20"/>
                <w:color w:val="auto"/>
              </w:rPr>
            </w:pPr>
            <w:r>
              <w:rPr>
                <w:rFonts w:ascii="Arial" w:cs="Arial" w:eastAsia="Arial" w:hAnsi="Arial"/>
                <w:sz w:val="14"/>
                <w:szCs w:val="14"/>
                <w:b w:val="1"/>
                <w:bCs w:val="1"/>
                <w:color w:val="auto"/>
              </w:rPr>
              <w:t>SECOND QUARTER 2001</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20"/>
                <w:szCs w:val="20"/>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Tax</w:t>
            </w: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Minority</w:t>
            </w:r>
          </w:p>
        </w:tc>
        <w:tc>
          <w:tcPr>
            <w:tcW w:w="8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Tax</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Minority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tax</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before tax</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tax</w:t>
            </w:r>
          </w:p>
        </w:tc>
        <w:tc>
          <w:tcPr>
            <w:tcW w:w="18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32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105"/>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OFS</w:t>
            </w: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1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6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ind w:left="60"/>
              <w:spacing w:after="0" w:line="149" w:lineRule="exact"/>
              <w:rPr>
                <w:sz w:val="20"/>
                <w:szCs w:val="20"/>
                <w:color w:val="auto"/>
              </w:rPr>
            </w:pPr>
            <w:r>
              <w:rPr>
                <w:rFonts w:ascii="Arial" w:cs="Arial" w:eastAsia="Arial" w:hAnsi="Arial"/>
                <w:sz w:val="14"/>
                <w:szCs w:val="14"/>
                <w:color w:val="auto"/>
              </w:rPr>
              <w:t>Other Eastern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Elims/Other</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2,461</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279</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101</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381</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2,604</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410" w:type="dxa"/>
            <w:vAlign w:val="bottom"/>
          </w:tcPr>
          <w:p>
            <w:pPr>
              <w:jc w:val="right"/>
              <w:spacing w:after="0"/>
              <w:rPr>
                <w:sz w:val="20"/>
                <w:szCs w:val="20"/>
                <w:color w:val="auto"/>
              </w:rPr>
            </w:pPr>
            <w:r>
              <w:rPr>
                <w:rFonts w:ascii="Arial" w:cs="Arial" w:eastAsia="Arial" w:hAnsi="Arial"/>
                <w:sz w:val="14"/>
                <w:szCs w:val="14"/>
                <w:color w:val="auto"/>
              </w:rPr>
              <w:t>323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142</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SLSEMA</w:t>
            </w: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7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1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North &amp; South America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740" w:type="dxa"/>
            <w:vAlign w:val="bottom"/>
          </w:tcPr>
          <w:p>
            <w:pPr>
              <w:ind w:left="60"/>
              <w:spacing w:after="0" w:line="149" w:lineRule="exact"/>
              <w:rPr>
                <w:sz w:val="20"/>
                <w:szCs w:val="20"/>
                <w:color w:val="auto"/>
              </w:rPr>
            </w:pPr>
            <w:r>
              <w:rPr>
                <w:rFonts w:ascii="Arial" w:cs="Arial" w:eastAsia="Arial" w:hAnsi="Arial"/>
                <w:sz w:val="14"/>
                <w:szCs w:val="14"/>
                <w:color w:val="auto"/>
              </w:rPr>
              <w:t>Europe/M. East/Africa</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Asia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40" w:type="dxa"/>
            <w:vAlign w:val="bottom"/>
          </w:tcPr>
          <w:p>
            <w:pPr>
              <w:ind w:left="6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(49)</w:t>
            </w:r>
          </w:p>
        </w:tc>
        <w:tc>
          <w:tcPr>
            <w:tcW w:w="110" w:type="dxa"/>
            <w:vAlign w:val="bottom"/>
          </w:tcPr>
          <w:p>
            <w:pPr>
              <w:spacing w:after="0"/>
              <w:rPr>
                <w:sz w:val="14"/>
                <w:szCs w:val="14"/>
                <w:color w:val="auto"/>
              </w:rPr>
            </w:pPr>
          </w:p>
        </w:tc>
        <w:tc>
          <w:tcPr>
            <w:tcW w:w="61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853</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877</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1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05"/>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OTHER (1)</w:t>
            </w: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2"/>
        </w:trPr>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311</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Elims &amp; Other (2)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w:t>
            </w:r>
          </w:p>
        </w:tc>
        <w:tc>
          <w:tcPr>
            <w:tcW w:w="110" w:type="dxa"/>
            <w:vAlign w:val="bottom"/>
            <w:shd w:val="clear" w:color="auto" w:fill="CCEEFF"/>
          </w:tcPr>
          <w:p>
            <w:pPr>
              <w:spacing w:after="0"/>
              <w:rPr>
                <w:sz w:val="12"/>
                <w:szCs w:val="12"/>
                <w:color w:val="auto"/>
              </w:rPr>
            </w:pPr>
          </w:p>
        </w:tc>
        <w:tc>
          <w:tcPr>
            <w:tcW w:w="61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3,389</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271</w:t>
            </w:r>
          </w:p>
        </w:tc>
        <w:tc>
          <w:tcPr>
            <w:tcW w:w="38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23"/>
                <w:szCs w:val="23"/>
                <w:color w:val="auto"/>
              </w:rPr>
            </w:pPr>
          </w:p>
        </w:tc>
        <w:tc>
          <w:tcPr>
            <w:tcW w:w="260" w:type="dxa"/>
            <w:vAlign w:val="bottom"/>
          </w:tcPr>
          <w:p>
            <w:pPr>
              <w:jc w:val="right"/>
              <w:ind w:right="141"/>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343</w:t>
            </w:r>
          </w:p>
        </w:tc>
        <w:tc>
          <w:tcPr>
            <w:tcW w:w="38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3,771</w:t>
            </w:r>
          </w:p>
        </w:tc>
        <w:tc>
          <w:tcPr>
            <w:tcW w:w="400" w:type="dxa"/>
            <w:vAlign w:val="bottom"/>
          </w:tcPr>
          <w:p>
            <w:pPr>
              <w:spacing w:after="0"/>
              <w:rPr>
                <w:sz w:val="23"/>
                <w:szCs w:val="23"/>
                <w:color w:val="auto"/>
              </w:rPr>
            </w:pPr>
          </w:p>
        </w:tc>
        <w:tc>
          <w:tcPr>
            <w:tcW w:w="110" w:type="dxa"/>
            <w:vAlign w:val="bottom"/>
          </w:tcPr>
          <w:p>
            <w:pPr>
              <w:spacing w:after="0"/>
              <w:rPr>
                <w:sz w:val="20"/>
                <w:szCs w:val="20"/>
                <w:color w:val="auto"/>
              </w:rPr>
            </w:pPr>
            <w:r>
              <w:rPr>
                <w:rFonts w:ascii="Arial" w:cs="Arial" w:eastAsia="Arial" w:hAnsi="Arial"/>
                <w:sz w:val="14"/>
                <w:szCs w:val="14"/>
                <w:color w:val="auto"/>
              </w:rPr>
              <w:t>$</w:t>
            </w:r>
          </w:p>
        </w:tc>
        <w:tc>
          <w:tcPr>
            <w:tcW w:w="410" w:type="dxa"/>
            <w:vAlign w:val="bottom"/>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23"/>
                <w:szCs w:val="23"/>
                <w:color w:val="auto"/>
              </w:rPr>
            </w:pP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91</w:t>
            </w:r>
          </w:p>
        </w:tc>
        <w:tc>
          <w:tcPr>
            <w:tcW w:w="380" w:type="dxa"/>
            <w:vAlign w:val="bottom"/>
          </w:tcPr>
          <w:p>
            <w:pPr>
              <w:spacing w:after="0"/>
              <w:rPr>
                <w:sz w:val="23"/>
                <w:szCs w:val="23"/>
                <w:color w:val="auto"/>
              </w:rPr>
            </w:pPr>
          </w:p>
        </w:tc>
        <w:tc>
          <w:tcPr>
            <w:tcW w:w="240" w:type="dxa"/>
            <w:vAlign w:val="bottom"/>
          </w:tcPr>
          <w:p>
            <w:pPr>
              <w:jc w:val="right"/>
              <w:ind w:right="121"/>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361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Pr>
          <w:p>
            <w:pPr>
              <w:spacing w:after="0"/>
              <w:rPr>
                <w:sz w:val="7"/>
                <w:szCs w:val="7"/>
                <w:color w:val="auto"/>
              </w:rPr>
            </w:pPr>
          </w:p>
        </w:tc>
        <w:tc>
          <w:tcPr>
            <w:tcW w:w="41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1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300" w:type="dxa"/>
            <w:vAlign w:val="bottom"/>
            <w:tcBorders>
              <w:right w:val="single" w:sz="8" w:color="auto"/>
            </w:tcBorders>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Interest Expense (3)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18"/>
        </w:trPr>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41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268</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41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 w:type="dxa"/>
            <w:vAlign w:val="bottom"/>
          </w:tcPr>
          <w:p>
            <w:pPr>
              <w:spacing w:after="0"/>
              <w:rPr>
                <w:sz w:val="7"/>
                <w:szCs w:val="7"/>
                <w:color w:val="auto"/>
              </w:rPr>
            </w:pPr>
          </w:p>
        </w:tc>
        <w:tc>
          <w:tcPr>
            <w:tcW w:w="41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tcPr>
          <w:p>
            <w:pPr>
              <w:spacing w:after="0"/>
              <w:rPr>
                <w:sz w:val="5"/>
                <w:szCs w:val="5"/>
                <w:color w:val="auto"/>
              </w:rPr>
            </w:pPr>
          </w:p>
        </w:tc>
        <w:tc>
          <w:tcPr>
            <w:tcW w:w="41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-3607435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-3607435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-3607435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-3607435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-3264535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-3264535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-3264535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-3264535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-3264535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-3264535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-3264535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-3264535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-3264535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-3264535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-3264535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-3264535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-3264535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-3264535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-3264535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-3264535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-3264535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-3264535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-3264535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-3264535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-2544445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-2544445</wp:posOffset>
            </wp:positionV>
            <wp:extent cx="215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-2550795</wp:posOffset>
            </wp:positionV>
            <wp:extent cx="38735"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-2544445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-2544445</wp:posOffset>
            </wp:positionV>
            <wp:extent cx="215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-2550795</wp:posOffset>
            </wp:positionV>
            <wp:extent cx="38735"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-2544445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-2544445</wp:posOffset>
            </wp:positionV>
            <wp:extent cx="215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-2550795</wp:posOffset>
            </wp:positionV>
            <wp:extent cx="38735"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-2544445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-2544445</wp:posOffset>
            </wp:positionV>
            <wp:extent cx="215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-2544445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-2544445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-2544445</wp:posOffset>
            </wp:positionV>
            <wp:extent cx="215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-2550795</wp:posOffset>
            </wp:positionV>
            <wp:extent cx="3873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-2544445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-2544445</wp:posOffset>
            </wp:positionV>
            <wp:extent cx="215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-2550795</wp:posOffset>
            </wp:positionV>
            <wp:extent cx="38735"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-2544445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-2544445</wp:posOffset>
            </wp:positionV>
            <wp:extent cx="215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-2550795</wp:posOffset>
            </wp:positionV>
            <wp:extent cx="38735"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-2544445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-2544445</wp:posOffset>
            </wp:positionV>
            <wp:extent cx="215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-2550795</wp:posOffset>
            </wp:positionV>
            <wp:extent cx="38735"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-2544445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-2544445</wp:posOffset>
            </wp:positionV>
            <wp:extent cx="215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-2544445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-2544445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-2544445</wp:posOffset>
            </wp:positionV>
            <wp:extent cx="215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-2550795</wp:posOffset>
            </wp:positionV>
            <wp:extent cx="38735"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-2295525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-2295525</wp:posOffset>
            </wp:positionV>
            <wp:extent cx="215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-2301875</wp:posOffset>
            </wp:positionV>
            <wp:extent cx="38735"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-2295525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-2295525</wp:posOffset>
            </wp:positionV>
            <wp:extent cx="215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-2301875</wp:posOffset>
            </wp:positionV>
            <wp:extent cx="38735"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-2295525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-2295525</wp:posOffset>
            </wp:positionV>
            <wp:extent cx="215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-2301875</wp:posOffset>
            </wp:positionV>
            <wp:extent cx="38735"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-2295525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-2295525</wp:posOffset>
            </wp:positionV>
            <wp:extent cx="215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-2295525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-2295525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-2295525</wp:posOffset>
            </wp:positionV>
            <wp:extent cx="215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-2301875</wp:posOffset>
            </wp:positionV>
            <wp:extent cx="3873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-2295525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-2295525</wp:posOffset>
            </wp:positionV>
            <wp:extent cx="215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-2301875</wp:posOffset>
            </wp:positionV>
            <wp:extent cx="38735"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-2295525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-2295525</wp:posOffset>
            </wp:positionV>
            <wp:extent cx="215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-2301875</wp:posOffset>
            </wp:positionV>
            <wp:extent cx="38735"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-2295525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-2295525</wp:posOffset>
            </wp:positionV>
            <wp:extent cx="215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-2301875</wp:posOffset>
            </wp:positionV>
            <wp:extent cx="38735"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-2295525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-2295525</wp:posOffset>
            </wp:positionV>
            <wp:extent cx="215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-2295525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-2295525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-2295525</wp:posOffset>
            </wp:positionV>
            <wp:extent cx="215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-2301875</wp:posOffset>
            </wp:positionV>
            <wp:extent cx="38735"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-1669415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-1669415</wp:posOffset>
            </wp:positionV>
            <wp:extent cx="215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-1675765</wp:posOffset>
            </wp:positionV>
            <wp:extent cx="38735"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-1669415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-1669415</wp:posOffset>
            </wp:positionV>
            <wp:extent cx="215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-1675765</wp:posOffset>
            </wp:positionV>
            <wp:extent cx="3873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-1669415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-1669415</wp:posOffset>
            </wp:positionV>
            <wp:extent cx="215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-1675765</wp:posOffset>
            </wp:positionV>
            <wp:extent cx="3873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-1669415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-1669415</wp:posOffset>
            </wp:positionV>
            <wp:extent cx="215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-1669415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-1669415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-1669415</wp:posOffset>
            </wp:positionV>
            <wp:extent cx="215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-1675765</wp:posOffset>
            </wp:positionV>
            <wp:extent cx="38735"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-1669415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-1669415</wp:posOffset>
            </wp:positionV>
            <wp:extent cx="215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-1675765</wp:posOffset>
            </wp:positionV>
            <wp:extent cx="38735"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-1669415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-1669415</wp:posOffset>
            </wp:positionV>
            <wp:extent cx="215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-1675765</wp:posOffset>
            </wp:positionV>
            <wp:extent cx="38735"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-1669415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-1669415</wp:posOffset>
            </wp:positionV>
            <wp:extent cx="215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-1675765</wp:posOffset>
            </wp:positionV>
            <wp:extent cx="38735"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-1669415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-1669415</wp:posOffset>
            </wp:positionV>
            <wp:extent cx="215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-1669415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-1669415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-1669415</wp:posOffset>
            </wp:positionV>
            <wp:extent cx="215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-1675765</wp:posOffset>
            </wp:positionV>
            <wp:extent cx="38735"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-1420495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-1420495</wp:posOffset>
            </wp:positionV>
            <wp:extent cx="215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-1426845</wp:posOffset>
            </wp:positionV>
            <wp:extent cx="38735"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-1420495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-1420495</wp:posOffset>
            </wp:positionV>
            <wp:extent cx="215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-1426845</wp:posOffset>
            </wp:positionV>
            <wp:extent cx="38735"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-1420495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-1420495</wp:posOffset>
            </wp:positionV>
            <wp:extent cx="215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-1426845</wp:posOffset>
            </wp:positionV>
            <wp:extent cx="38735"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-1420495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-1420495</wp:posOffset>
            </wp:positionV>
            <wp:extent cx="215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-1420495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-1420495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-1420495</wp:posOffset>
            </wp:positionV>
            <wp:extent cx="215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-1426845</wp:posOffset>
            </wp:positionV>
            <wp:extent cx="38735"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-1420495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-1420495</wp:posOffset>
            </wp:positionV>
            <wp:extent cx="215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-1426845</wp:posOffset>
            </wp:positionV>
            <wp:extent cx="38735"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-1420495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-1420495</wp:posOffset>
            </wp:positionV>
            <wp:extent cx="215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-1426845</wp:posOffset>
            </wp:positionV>
            <wp:extent cx="38735"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-1420495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-1420495</wp:posOffset>
            </wp:positionV>
            <wp:extent cx="215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-1426845</wp:posOffset>
            </wp:positionV>
            <wp:extent cx="38735"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-1420495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-1420495</wp:posOffset>
            </wp:positionV>
            <wp:extent cx="215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-1420495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-1420495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-1420495</wp:posOffset>
            </wp:positionV>
            <wp:extent cx="215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-1426845</wp:posOffset>
            </wp:positionV>
            <wp:extent cx="3873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-983615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-983615</wp:posOffset>
            </wp:positionV>
            <wp:extent cx="215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-989965</wp:posOffset>
            </wp:positionV>
            <wp:extent cx="38735"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-983615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-983615</wp:posOffset>
            </wp:positionV>
            <wp:extent cx="215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-989965</wp:posOffset>
            </wp:positionV>
            <wp:extent cx="38735"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-983615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-983615</wp:posOffset>
            </wp:positionV>
            <wp:extent cx="215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-989965</wp:posOffset>
            </wp:positionV>
            <wp:extent cx="38735"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-983615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-983615</wp:posOffset>
            </wp:positionV>
            <wp:extent cx="215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-983615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-983615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-983615</wp:posOffset>
            </wp:positionV>
            <wp:extent cx="215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-989965</wp:posOffset>
            </wp:positionV>
            <wp:extent cx="38735"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-983615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-983615</wp:posOffset>
            </wp:positionV>
            <wp:extent cx="215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-989965</wp:posOffset>
            </wp:positionV>
            <wp:extent cx="38735"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-983615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-983615</wp:posOffset>
            </wp:positionV>
            <wp:extent cx="215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-989965</wp:posOffset>
            </wp:positionV>
            <wp:extent cx="3873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-983615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-983615</wp:posOffset>
            </wp:positionV>
            <wp:extent cx="215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-989965</wp:posOffset>
            </wp:positionV>
            <wp:extent cx="38735"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-983615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-983615</wp:posOffset>
            </wp:positionV>
            <wp:extent cx="215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-983615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-983615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-983615</wp:posOffset>
            </wp:positionV>
            <wp:extent cx="215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-989965</wp:posOffset>
            </wp:positionV>
            <wp:extent cx="38735"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-741045</wp:posOffset>
            </wp:positionV>
            <wp:extent cx="2984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-741045</wp:posOffset>
            </wp:positionV>
            <wp:extent cx="2984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-741045</wp:posOffset>
            </wp:positionV>
            <wp:extent cx="33845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8455" cy="3873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-741045</wp:posOffset>
            </wp:positionV>
            <wp:extent cx="2984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-741045</wp:posOffset>
            </wp:positionV>
            <wp:extent cx="2984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-741045</wp:posOffset>
            </wp:positionV>
            <wp:extent cx="33845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8455" cy="3873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-280035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-280035</wp:posOffset>
            </wp:positionV>
            <wp:extent cx="215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-286385</wp:posOffset>
            </wp:positionV>
            <wp:extent cx="38735"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-280035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-280035</wp:posOffset>
            </wp:positionV>
            <wp:extent cx="215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-38100</wp:posOffset>
            </wp:positionV>
            <wp:extent cx="2984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7215505</wp:posOffset>
            </wp:positionH>
            <wp:positionV relativeFrom="paragraph">
              <wp:posOffset>-38100</wp:posOffset>
            </wp:positionV>
            <wp:extent cx="2984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8" w:right="239" w:bottom="1440" w:gutter="0" w:footer="0" w:header="0"/>
        </w:sectPr>
      </w:pPr>
    </w:p>
    <w:bookmarkStart w:id="10" w:name="page11"/>
    <w:bookmarkEnd w:id="10"/>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2001 includes the divested Resource Management Services businesses.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2001 includes goodwill amortization of $70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2002; $2 million in 2001).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4"/>
              </w:rPr>
              <w:t>SIX MONTHS 2002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SIX MONTHS 2001</w:t>
            </w:r>
          </w:p>
        </w:tc>
        <w:tc>
          <w:tcPr>
            <w:tcW w:w="130" w:type="dxa"/>
            <w:vAlign w:val="bottom"/>
          </w:tcPr>
          <w:p>
            <w:pPr>
              <w:spacing w:after="0"/>
              <w:rPr>
                <w:sz w:val="15"/>
                <w:szCs w:val="15"/>
                <w:color w:val="auto"/>
              </w:rPr>
            </w:pPr>
          </w:p>
        </w:tc>
        <w:tc>
          <w:tcPr>
            <w:tcW w:w="41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Income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41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after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Tax</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8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before</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after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Tax</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5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Revenue</w:t>
            </w:r>
          </w:p>
        </w:tc>
        <w:tc>
          <w:tcPr>
            <w:tcW w:w="120" w:type="dxa"/>
            <w:vAlign w:val="bottom"/>
          </w:tcPr>
          <w:p>
            <w:pPr>
              <w:spacing w:after="0"/>
              <w:rPr>
                <w:sz w:val="15"/>
                <w:szCs w:val="15"/>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tax</w:t>
            </w:r>
          </w:p>
        </w:tc>
        <w:tc>
          <w:tcPr>
            <w:tcW w:w="3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5"/>
                <w:szCs w:val="15"/>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tax</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Revenue</w:t>
            </w: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tax</w:t>
            </w:r>
          </w:p>
        </w:tc>
        <w:tc>
          <w:tcPr>
            <w:tcW w:w="3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5"/>
                <w:szCs w:val="15"/>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tax</w:t>
            </w:r>
          </w:p>
        </w:tc>
        <w:tc>
          <w:tcPr>
            <w:tcW w:w="0" w:type="dxa"/>
            <w:vAlign w:val="bottom"/>
          </w:tcPr>
          <w:p>
            <w:pPr>
              <w:spacing w:after="0"/>
              <w:rPr>
                <w:sz w:val="1"/>
                <w:szCs w:val="1"/>
                <w:color w:val="auto"/>
              </w:rPr>
            </w:pPr>
          </w:p>
        </w:tc>
      </w:tr>
      <w:tr>
        <w:trPr>
          <w:trHeight w:val="105"/>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OFS</w:t>
            </w: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30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North America</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$1,458</w:t>
            </w:r>
          </w:p>
        </w:tc>
        <w:tc>
          <w:tcPr>
            <w:tcW w:w="3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$ 147</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$1,920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$ 284</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90" w:type="dxa"/>
            <w:vAlign w:val="bottom"/>
            <w:gridSpan w:val="2"/>
            <w:shd w:val="clear" w:color="auto" w:fill="CCEEFF"/>
          </w:tcPr>
          <w:p>
            <w:pPr>
              <w:ind w:left="13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60"/>
              <w:spacing w:after="0"/>
              <w:rPr>
                <w:sz w:val="20"/>
                <w:szCs w:val="20"/>
                <w:color w:val="auto"/>
              </w:rPr>
            </w:pPr>
            <w:r>
              <w:rPr>
                <w:rFonts w:ascii="Arial" w:cs="Arial" w:eastAsia="Arial" w:hAnsi="Arial"/>
                <w:sz w:val="18"/>
                <w:szCs w:val="18"/>
                <w:color w:val="auto"/>
              </w:rPr>
              <w:t>Latin America</w:t>
            </w:r>
          </w:p>
        </w:tc>
        <w:tc>
          <w:tcPr>
            <w:tcW w:w="520" w:type="dxa"/>
            <w:vAlign w:val="bottom"/>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791</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90" w:type="dxa"/>
            <w:vAlign w:val="bottom"/>
            <w:gridSpan w:val="2"/>
          </w:tcPr>
          <w:p>
            <w:pPr>
              <w:ind w:left="1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Europe/CIS/W. Africa</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6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90" w:type="dxa"/>
            <w:vAlign w:val="bottom"/>
            <w:gridSpan w:val="2"/>
            <w:shd w:val="clear" w:color="auto" w:fill="CCEEFF"/>
          </w:tcPr>
          <w:p>
            <w:pPr>
              <w:ind w:left="13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60"/>
              <w:spacing w:after="0"/>
              <w:rPr>
                <w:sz w:val="20"/>
                <w:szCs w:val="20"/>
                <w:color w:val="auto"/>
              </w:rPr>
            </w:pPr>
            <w:r>
              <w:rPr>
                <w:rFonts w:ascii="Arial" w:cs="Arial" w:eastAsia="Arial" w:hAnsi="Arial"/>
                <w:sz w:val="18"/>
                <w:szCs w:val="18"/>
                <w:color w:val="auto"/>
              </w:rPr>
              <w:t>Other Eastern</w:t>
            </w:r>
          </w:p>
        </w:tc>
        <w:tc>
          <w:tcPr>
            <w:tcW w:w="520" w:type="dxa"/>
            <w:vAlign w:val="bottom"/>
          </w:tcPr>
          <w:p>
            <w:pPr>
              <w:jc w:val="right"/>
              <w:spacing w:after="0"/>
              <w:rPr>
                <w:sz w:val="20"/>
                <w:szCs w:val="20"/>
                <w:color w:val="auto"/>
              </w:rPr>
            </w:pPr>
            <w:r>
              <w:rPr>
                <w:rFonts w:ascii="Arial" w:cs="Arial" w:eastAsia="Arial" w:hAnsi="Arial"/>
                <w:sz w:val="18"/>
                <w:szCs w:val="18"/>
                <w:color w:val="auto"/>
              </w:rPr>
              <w:t>1,218</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90" w:type="dxa"/>
            <w:vAlign w:val="bottom"/>
            <w:gridSpan w:val="2"/>
          </w:tcPr>
          <w:p>
            <w:pPr>
              <w:ind w:left="1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Elims/Other</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41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4,878</w:t>
            </w: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5,031</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SLSEMA </w:t>
            </w:r>
            <w:r>
              <w:rPr>
                <w:rFonts w:ascii="Arial" w:cs="Arial" w:eastAsia="Arial" w:hAnsi="Arial"/>
                <w:sz w:val="18"/>
                <w:szCs w:val="18"/>
                <w:color w:val="auto"/>
              </w:rPr>
              <w:t>(1)</w:t>
            </w: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80" w:type="dxa"/>
            <w:vAlign w:val="bottom"/>
            <w:vMerge w:val="continue"/>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41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tcBorders>
              <w:right w:val="single" w:sz="8" w:color="auto"/>
            </w:tcBorders>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0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North &amp; South America</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30" w:type="dxa"/>
            <w:vAlign w:val="bottom"/>
            <w:shd w:val="clear" w:color="auto" w:fill="CCEEFF"/>
          </w:tcPr>
          <w:p>
            <w:pPr>
              <w:spacing w:after="0"/>
              <w:rPr>
                <w:sz w:val="18"/>
                <w:szCs w:val="18"/>
                <w:color w:val="auto"/>
              </w:rPr>
            </w:pPr>
          </w:p>
        </w:tc>
        <w:tc>
          <w:tcPr>
            <w:tcW w:w="790" w:type="dxa"/>
            <w:vAlign w:val="bottom"/>
            <w:gridSpan w:val="2"/>
            <w:shd w:val="clear" w:color="auto" w:fill="CCEEFF"/>
          </w:tcPr>
          <w:p>
            <w:pPr>
              <w:ind w:left="13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080" w:type="dxa"/>
            <w:vAlign w:val="bottom"/>
          </w:tcPr>
          <w:p>
            <w:pPr>
              <w:ind w:left="60"/>
              <w:spacing w:after="0"/>
              <w:rPr>
                <w:sz w:val="20"/>
                <w:szCs w:val="20"/>
                <w:color w:val="auto"/>
              </w:rPr>
            </w:pPr>
            <w:r>
              <w:rPr>
                <w:rFonts w:ascii="Arial" w:cs="Arial" w:eastAsia="Arial" w:hAnsi="Arial"/>
                <w:sz w:val="18"/>
                <w:szCs w:val="18"/>
                <w:color w:val="auto"/>
              </w:rPr>
              <w:t>Europe/M. East/Africa</w:t>
            </w:r>
          </w:p>
        </w:tc>
        <w:tc>
          <w:tcPr>
            <w:tcW w:w="520" w:type="dxa"/>
            <w:vAlign w:val="bottom"/>
          </w:tcPr>
          <w:p>
            <w:pPr>
              <w:jc w:val="right"/>
              <w:spacing w:after="0"/>
              <w:rPr>
                <w:sz w:val="20"/>
                <w:szCs w:val="20"/>
                <w:color w:val="auto"/>
              </w:rPr>
            </w:pPr>
            <w:r>
              <w:rPr>
                <w:rFonts w:ascii="Arial" w:cs="Arial" w:eastAsia="Arial" w:hAnsi="Arial"/>
                <w:sz w:val="18"/>
                <w:szCs w:val="18"/>
                <w:color w:val="auto"/>
              </w:rPr>
              <w:t>1,210</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746</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90" w:type="dxa"/>
            <w:vAlign w:val="bottom"/>
            <w:gridSpan w:val="2"/>
          </w:tcPr>
          <w:p>
            <w:pPr>
              <w:ind w:left="1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Asia</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41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ind w:left="60"/>
              <w:spacing w:after="0"/>
              <w:rPr>
                <w:sz w:val="20"/>
                <w:szCs w:val="20"/>
                <w:color w:val="auto"/>
              </w:rPr>
            </w:pPr>
            <w:r>
              <w:rPr>
                <w:rFonts w:ascii="Arial" w:cs="Arial" w:eastAsia="Arial" w:hAnsi="Arial"/>
                <w:sz w:val="18"/>
                <w:szCs w:val="18"/>
                <w:color w:val="auto"/>
              </w:rPr>
              <w:t>Elims/Other</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30" w:type="dxa"/>
            <w:vAlign w:val="bottom"/>
          </w:tcPr>
          <w:p>
            <w:pPr>
              <w:spacing w:after="0"/>
              <w:rPr>
                <w:sz w:val="19"/>
                <w:szCs w:val="19"/>
                <w:color w:val="auto"/>
              </w:rPr>
            </w:pPr>
          </w:p>
        </w:tc>
        <w:tc>
          <w:tcPr>
            <w:tcW w:w="790" w:type="dxa"/>
            <w:vAlign w:val="bottom"/>
            <w:gridSpan w:val="2"/>
          </w:tcPr>
          <w:p>
            <w:pPr>
              <w:ind w:left="13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1,689</w:t>
            </w: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1,178</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30" w:type="dxa"/>
            <w:vAlign w:val="bottom"/>
          </w:tcPr>
          <w:p>
            <w:pPr>
              <w:spacing w:after="0"/>
              <w:rPr>
                <w:sz w:val="24"/>
                <w:szCs w:val="24"/>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(2)</w:t>
            </w: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08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520" w:type="dxa"/>
            <w:vAlign w:val="bottom"/>
          </w:tcPr>
          <w:p>
            <w:pPr>
              <w:jc w:val="right"/>
              <w:spacing w:after="0"/>
              <w:rPr>
                <w:sz w:val="20"/>
                <w:szCs w:val="20"/>
                <w:color w:val="auto"/>
              </w:rPr>
            </w:pPr>
            <w:r>
              <w:rPr>
                <w:rFonts w:ascii="Arial" w:cs="Arial" w:eastAsia="Arial" w:hAnsi="Arial"/>
                <w:sz w:val="18"/>
                <w:szCs w:val="18"/>
                <w:color w:val="auto"/>
              </w:rPr>
              <w:t>616</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30" w:type="dxa"/>
            <w:vAlign w:val="bottom"/>
          </w:tcPr>
          <w:p>
            <w:pPr>
              <w:spacing w:after="0"/>
              <w:rPr>
                <w:sz w:val="24"/>
                <w:szCs w:val="24"/>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Elims &amp; Other (3)</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130" w:type="dxa"/>
            <w:vAlign w:val="bottom"/>
            <w:shd w:val="clear" w:color="auto" w:fill="CCEEFF"/>
          </w:tcPr>
          <w:p>
            <w:pPr>
              <w:spacing w:after="0"/>
              <w:rPr>
                <w:sz w:val="18"/>
                <w:szCs w:val="18"/>
                <w:color w:val="auto"/>
              </w:rPr>
            </w:pPr>
          </w:p>
        </w:tc>
        <w:tc>
          <w:tcPr>
            <w:tcW w:w="790" w:type="dxa"/>
            <w:vAlign w:val="bottom"/>
            <w:gridSpan w:val="2"/>
            <w:shd w:val="clear" w:color="auto" w:fill="CCEEFF"/>
          </w:tcPr>
          <w:p>
            <w:pPr>
              <w:ind w:left="250"/>
              <w:spacing w:after="0"/>
              <w:rPr>
                <w:sz w:val="20"/>
                <w:szCs w:val="20"/>
                <w:color w:val="auto"/>
              </w:rPr>
            </w:pPr>
            <w:r>
              <w:rPr>
                <w:rFonts w:ascii="Arial" w:cs="Arial" w:eastAsia="Arial" w:hAnsi="Arial"/>
                <w:sz w:val="18"/>
                <w:szCs w:val="18"/>
                <w:color w:val="auto"/>
              </w:rPr>
              <w:t>(1)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$6,698</w:t>
            </w:r>
          </w:p>
        </w:tc>
        <w:tc>
          <w:tcPr>
            <w:tcW w:w="3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$ 535</w:t>
            </w:r>
          </w:p>
        </w:tc>
        <w:tc>
          <w:tcPr>
            <w:tcW w:w="40" w:type="dxa"/>
            <w:vAlign w:val="bottom"/>
          </w:tcPr>
          <w:p>
            <w:pPr>
              <w:spacing w:after="0"/>
              <w:rPr>
                <w:sz w:val="24"/>
                <w:szCs w:val="24"/>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678</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$6,785</w:t>
            </w: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$ 534</w:t>
            </w:r>
          </w:p>
        </w:tc>
        <w:tc>
          <w:tcPr>
            <w:tcW w:w="60" w:type="dxa"/>
            <w:vAlign w:val="bottom"/>
          </w:tcPr>
          <w:p>
            <w:pPr>
              <w:spacing w:after="0"/>
              <w:rPr>
                <w:sz w:val="24"/>
                <w:szCs w:val="24"/>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4"/>
                <w:szCs w:val="24"/>
                <w:color w:val="auto"/>
              </w:rPr>
            </w:pPr>
          </w:p>
        </w:tc>
        <w:tc>
          <w:tcPr>
            <w:tcW w:w="130" w:type="dxa"/>
            <w:vAlign w:val="bottom"/>
          </w:tcPr>
          <w:p>
            <w:pPr>
              <w:spacing w:after="0"/>
              <w:rPr>
                <w:sz w:val="20"/>
                <w:szCs w:val="20"/>
                <w:color w:val="auto"/>
              </w:rPr>
            </w:pPr>
            <w:r>
              <w:rPr>
                <w:rFonts w:ascii="Arial" w:cs="Arial" w:eastAsia="Arial" w:hAnsi="Arial"/>
                <w:sz w:val="18"/>
                <w:szCs w:val="18"/>
                <w:color w:val="auto"/>
              </w:rPr>
              <w:t>$</w:t>
            </w:r>
          </w:p>
        </w:tc>
        <w:tc>
          <w:tcPr>
            <w:tcW w:w="41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$ 746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30" w:type="dxa"/>
            <w:vAlign w:val="bottom"/>
            <w:shd w:val="clear" w:color="auto" w:fill="000000"/>
          </w:tcPr>
          <w:p>
            <w:pPr>
              <w:spacing w:after="0"/>
              <w:rPr>
                <w:sz w:val="5"/>
                <w:szCs w:val="5"/>
                <w:color w:val="auto"/>
              </w:rPr>
            </w:pPr>
          </w:p>
        </w:tc>
        <w:tc>
          <w:tcPr>
            <w:tcW w:w="410" w:type="dxa"/>
            <w:vAlign w:val="bottom"/>
            <w:tcBorders>
              <w:right w:val="single" w:sz="8" w:color="auto"/>
            </w:tcBorders>
            <w:shd w:val="clear" w:color="auto" w:fill="000000"/>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41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Expense (4)</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(174)</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5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5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41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41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Borders>
              <w:bottom w:val="single" w:sz="8" w:color="auto"/>
            </w:tcBorders>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511</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$ 355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 w:type="dxa"/>
            <w:vAlign w:val="bottom"/>
          </w:tcPr>
          <w:p>
            <w:pPr>
              <w:spacing w:after="0"/>
              <w:rPr>
                <w:sz w:val="5"/>
                <w:szCs w:val="5"/>
                <w:color w:val="auto"/>
              </w:rPr>
            </w:pPr>
          </w:p>
        </w:tc>
        <w:tc>
          <w:tcPr>
            <w:tcW w:w="41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-4482465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-4482465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-4482465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-4482465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-4044950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-4044950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-4044950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-4044950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-4044950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-4044950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-4044950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-4044950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-4044950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-4044950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-4044950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-4044950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-4044950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-4044950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-4044950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-4044950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-4044950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-4044950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-4044950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-4044950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-3067050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-3067050</wp:posOffset>
            </wp:positionV>
            <wp:extent cx="215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-3073400</wp:posOffset>
            </wp:positionV>
            <wp:extent cx="38735"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-3067050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-3067050</wp:posOffset>
            </wp:positionV>
            <wp:extent cx="215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-3073400</wp:posOffset>
            </wp:positionV>
            <wp:extent cx="38735"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-3067050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-3067050</wp:posOffset>
            </wp:positionV>
            <wp:extent cx="215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-3073400</wp:posOffset>
            </wp:positionV>
            <wp:extent cx="38735"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-3067050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-3067050</wp:posOffset>
            </wp:positionV>
            <wp:extent cx="215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-3073400</wp:posOffset>
            </wp:positionV>
            <wp:extent cx="38735"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-3067050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-3067050</wp:posOffset>
            </wp:positionV>
            <wp:extent cx="215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-3073400</wp:posOffset>
            </wp:positionV>
            <wp:extent cx="38735"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-3067050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-3067050</wp:posOffset>
            </wp:positionV>
            <wp:extent cx="215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-3073400</wp:posOffset>
            </wp:positionV>
            <wp:extent cx="38735" cy="215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-3067050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-3067050</wp:posOffset>
            </wp:positionV>
            <wp:extent cx="215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-3073400</wp:posOffset>
            </wp:positionV>
            <wp:extent cx="38735"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-3067050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-3067050</wp:posOffset>
            </wp:positionV>
            <wp:extent cx="215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-3073400</wp:posOffset>
            </wp:positionV>
            <wp:extent cx="38735"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-3067050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-3067050</wp:posOffset>
            </wp:positionV>
            <wp:extent cx="215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-3073400</wp:posOffset>
            </wp:positionV>
            <wp:extent cx="38735"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-3067050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-3067050</wp:posOffset>
            </wp:positionV>
            <wp:extent cx="215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-3073400</wp:posOffset>
            </wp:positionV>
            <wp:extent cx="38735"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-2781935</wp:posOffset>
            </wp:positionV>
            <wp:extent cx="2984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-2781935</wp:posOffset>
            </wp:positionV>
            <wp:extent cx="2984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-2781935</wp:posOffset>
            </wp:positionV>
            <wp:extent cx="922020"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922020" cy="387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-2781935</wp:posOffset>
            </wp:positionV>
            <wp:extent cx="2984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-2781935</wp:posOffset>
            </wp:positionV>
            <wp:extent cx="2984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-2781935</wp:posOffset>
            </wp:positionV>
            <wp:extent cx="2984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-2781935</wp:posOffset>
            </wp:positionV>
            <wp:extent cx="33845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8455" cy="3873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-2781935</wp:posOffset>
            </wp:positionV>
            <wp:extent cx="2984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-2781935</wp:posOffset>
            </wp:positionV>
            <wp:extent cx="2984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-1918335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-1918335</wp:posOffset>
            </wp:positionV>
            <wp:extent cx="215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-1924685</wp:posOffset>
            </wp:positionV>
            <wp:extent cx="38735"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-1918335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-1918335</wp:posOffset>
            </wp:positionV>
            <wp:extent cx="215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-1924685</wp:posOffset>
            </wp:positionV>
            <wp:extent cx="38735" cy="215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-1918335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-1918335</wp:posOffset>
            </wp:positionV>
            <wp:extent cx="215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-1924685</wp:posOffset>
            </wp:positionV>
            <wp:extent cx="38735"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-1918335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-1918335</wp:posOffset>
            </wp:positionV>
            <wp:extent cx="215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-1924685</wp:posOffset>
            </wp:positionV>
            <wp:extent cx="38735"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-1918335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-1918335</wp:posOffset>
            </wp:positionV>
            <wp:extent cx="215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-1924685</wp:posOffset>
            </wp:positionV>
            <wp:extent cx="38735"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-1918335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-1918335</wp:posOffset>
            </wp:positionV>
            <wp:extent cx="215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-1924685</wp:posOffset>
            </wp:positionV>
            <wp:extent cx="38735" cy="215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-1918335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-1918335</wp:posOffset>
            </wp:positionV>
            <wp:extent cx="215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-1924685</wp:posOffset>
            </wp:positionV>
            <wp:extent cx="38735"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-1918335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-1918335</wp:posOffset>
            </wp:positionV>
            <wp:extent cx="215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-1924685</wp:posOffset>
            </wp:positionV>
            <wp:extent cx="38735"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-1918335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-1918335</wp:posOffset>
            </wp:positionV>
            <wp:extent cx="215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-1924685</wp:posOffset>
            </wp:positionV>
            <wp:extent cx="38735"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-1918335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-1918335</wp:posOffset>
            </wp:positionV>
            <wp:extent cx="215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-1924685</wp:posOffset>
            </wp:positionV>
            <wp:extent cx="38735"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-1626235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-1626235</wp:posOffset>
            </wp:positionV>
            <wp:extent cx="215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-1632585</wp:posOffset>
            </wp:positionV>
            <wp:extent cx="38735" cy="215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-1626235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-1626235</wp:posOffset>
            </wp:positionV>
            <wp:extent cx="215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-1632585</wp:posOffset>
            </wp:positionV>
            <wp:extent cx="38735"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-1626235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-1626235</wp:posOffset>
            </wp:positionV>
            <wp:extent cx="215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-1632585</wp:posOffset>
            </wp:positionV>
            <wp:extent cx="38735" cy="215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-1626235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-1626235</wp:posOffset>
            </wp:positionV>
            <wp:extent cx="215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-1632585</wp:posOffset>
            </wp:positionV>
            <wp:extent cx="38735"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-1626235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-1626235</wp:posOffset>
            </wp:positionV>
            <wp:extent cx="215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-1632585</wp:posOffset>
            </wp:positionV>
            <wp:extent cx="38735"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-1626235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-1626235</wp:posOffset>
            </wp:positionV>
            <wp:extent cx="215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-1632585</wp:posOffset>
            </wp:positionV>
            <wp:extent cx="38735"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-1626235</wp:posOffset>
            </wp:positionV>
            <wp:extent cx="215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-1632585</wp:posOffset>
            </wp:positionV>
            <wp:extent cx="38735" cy="215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-1626235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-1626235</wp:posOffset>
            </wp:positionV>
            <wp:extent cx="215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-1632585</wp:posOffset>
            </wp:positionV>
            <wp:extent cx="38735"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-1626235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-1626235</wp:posOffset>
            </wp:positionV>
            <wp:extent cx="215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-1632585</wp:posOffset>
            </wp:positionV>
            <wp:extent cx="38735"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-1626235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-1626235</wp:posOffset>
            </wp:positionV>
            <wp:extent cx="215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-1632585</wp:posOffset>
            </wp:positionV>
            <wp:extent cx="38735"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-1197610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-1197610</wp:posOffset>
            </wp:positionV>
            <wp:extent cx="215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-1203960</wp:posOffset>
            </wp:positionV>
            <wp:extent cx="38735"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-1197610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-1197610</wp:posOffset>
            </wp:positionV>
            <wp:extent cx="215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-1203960</wp:posOffset>
            </wp:positionV>
            <wp:extent cx="38735"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-1197610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-1197610</wp:posOffset>
            </wp:positionV>
            <wp:extent cx="215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-1203960</wp:posOffset>
            </wp:positionV>
            <wp:extent cx="38735"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-1197610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-1197610</wp:posOffset>
            </wp:positionV>
            <wp:extent cx="215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-1203960</wp:posOffset>
            </wp:positionV>
            <wp:extent cx="38735"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-1197610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-1197610</wp:posOffset>
            </wp:positionV>
            <wp:extent cx="215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-1203960</wp:posOffset>
            </wp:positionV>
            <wp:extent cx="3873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-1197610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-1197610</wp:posOffset>
            </wp:positionV>
            <wp:extent cx="215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-1203960</wp:posOffset>
            </wp:positionV>
            <wp:extent cx="38735"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-1197610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-1197610</wp:posOffset>
            </wp:positionV>
            <wp:extent cx="215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-1203960</wp:posOffset>
            </wp:positionV>
            <wp:extent cx="38735"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-1197610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-1197610</wp:posOffset>
            </wp:positionV>
            <wp:extent cx="215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-1203960</wp:posOffset>
            </wp:positionV>
            <wp:extent cx="38735"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-1197610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-1197610</wp:posOffset>
            </wp:positionV>
            <wp:extent cx="215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-1203960</wp:posOffset>
            </wp:positionV>
            <wp:extent cx="38735"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-1197610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-1197610</wp:posOffset>
            </wp:positionV>
            <wp:extent cx="215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-1203960</wp:posOffset>
            </wp:positionV>
            <wp:extent cx="38735"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-912495</wp:posOffset>
            </wp:positionV>
            <wp:extent cx="2984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-912495</wp:posOffset>
            </wp:positionV>
            <wp:extent cx="86169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61695" cy="3873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-912495</wp:posOffset>
            </wp:positionV>
            <wp:extent cx="2984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-912495</wp:posOffset>
            </wp:positionV>
            <wp:extent cx="2984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-912495</wp:posOffset>
            </wp:positionV>
            <wp:extent cx="2984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-912495</wp:posOffset>
            </wp:positionV>
            <wp:extent cx="2984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-912495</wp:posOffset>
            </wp:positionV>
            <wp:extent cx="2984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-323215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-323215</wp:posOffset>
            </wp:positionV>
            <wp:extent cx="215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-329565</wp:posOffset>
            </wp:positionV>
            <wp:extent cx="38735"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-323215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-323215</wp:posOffset>
            </wp:positionV>
            <wp:extent cx="215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-38100</wp:posOffset>
            </wp:positionV>
            <wp:extent cx="2984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-38100</wp:posOffset>
            </wp:positionV>
            <wp:extent cx="3041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04165" cy="38735"/>
                    </a:xfrm>
                    <a:prstGeom prst="rect">
                      <a:avLst/>
                    </a:prstGeom>
                    <a:noFill/>
                  </pic:spPr>
                </pic:pic>
              </a:graphicData>
            </a:graphic>
          </wp:anchor>
        </w:drawing>
      </w:r>
    </w:p>
    <w:p>
      <w:pPr>
        <w:spacing w:after="0" w:line="225" w:lineRule="exact"/>
        <w:rPr>
          <w:sz w:val="20"/>
          <w:szCs w:val="20"/>
          <w:color w:val="auto"/>
        </w:rPr>
      </w:pPr>
    </w:p>
    <w:p>
      <w:pPr>
        <w:ind w:left="460" w:right="22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results of Sema plc which was acquired in April 2001. Compared to last year and on a proforma basis (assuming the acquisition occurred on January 1, 2001), SLSEMA revenue for the six months was down 1.4%.</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2001 includes the divested Resource Management Services businesses.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2001 includes goodwill amortization of $100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($4 million in 2002; $3 million in 2001).</w:t>
      </w:r>
    </w:p>
    <w:p>
      <w:pPr>
        <w:spacing w:after="0" w:line="2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ectPr>
          <w:pgSz w:w="11900" w:h="16838" w:orient="portrait"/>
          <w:cols w:equalWidth="0" w:num="1">
            <w:col w:w="11420"/>
          </w:cols>
          <w:pgMar w:left="240" w:top="428" w:right="239" w:bottom="6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904875"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9048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4223385"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223385" cy="215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Oilfield Services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SchlumbergerSema (1)</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rPr>
              <w:t>Other (2)</w:t>
            </w:r>
          </w:p>
        </w:tc>
        <w:tc>
          <w:tcPr>
            <w:tcW w:w="380" w:type="dxa"/>
            <w:vAlign w:val="bottom"/>
          </w:tcPr>
          <w:p>
            <w:pPr>
              <w:spacing w:after="0"/>
              <w:rPr>
                <w:sz w:val="15"/>
                <w:szCs w:val="15"/>
                <w:color w:val="auto"/>
              </w:rPr>
            </w:pPr>
          </w:p>
        </w:tc>
      </w:tr>
      <w:tr>
        <w:trPr>
          <w:trHeight w:val="105"/>
        </w:trPr>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r>
        <w:trPr>
          <w:trHeight w:val="334"/>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7"/>
              </w:rPr>
              <w:t>% chg</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7"/>
              </w:rPr>
              <w:t>% chg</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7"/>
              </w:rPr>
              <w:t>% chg</w:t>
            </w:r>
          </w:p>
        </w:tc>
      </w:tr>
      <w:tr>
        <w:trPr>
          <w:trHeight w:val="105"/>
        </w:trPr>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-306070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-306070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-306070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-306070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-306070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-306070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306070</wp:posOffset>
            </wp:positionH>
            <wp:positionV relativeFrom="paragraph">
              <wp:posOffset>-14605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795020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975360</wp:posOffset>
            </wp:positionH>
            <wp:positionV relativeFrom="paragraph">
              <wp:posOffset>-14605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-14605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-14605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2321560</wp:posOffset>
            </wp:positionH>
            <wp:positionV relativeFrom="paragraph">
              <wp:posOffset>-14605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-14605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-14605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2553335</wp:posOffset>
            </wp:positionH>
            <wp:positionV relativeFrom="paragraph">
              <wp:posOffset>-14605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-14605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-14605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-14605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-14605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-14605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-14605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840" w:space="720"/>
            <w:col w:w="6860"/>
          </w:cols>
          <w:pgMar w:left="240" w:top="428" w:right="239" w:bottom="674"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2,461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2,604</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877</w:t>
            </w:r>
          </w:p>
        </w:tc>
        <w:tc>
          <w:tcPr>
            <w:tcW w:w="8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311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Pretax Operating Income (loss)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381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470</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Six Months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20"/>
        </w:trPr>
        <w:tc>
          <w:tcPr>
            <w:tcW w:w="102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r>
      <w:tr>
        <w:trPr>
          <w:trHeight w:val="105"/>
        </w:trPr>
        <w:tc>
          <w:tcPr>
            <w:tcW w:w="10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4,878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5,031</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4"/>
              </w:rPr>
              <w:t>1,689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8"/>
              </w:rPr>
              <w:t>1,178</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179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616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Pretax Operating Income (loss) (3)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889</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2"/>
              <w:spacing w:after="0"/>
              <w:rPr>
                <w:sz w:val="20"/>
                <w:szCs w:val="20"/>
                <w:color w:val="auto"/>
              </w:rPr>
            </w:pPr>
            <w:r>
              <w:rPr>
                <w:rFonts w:ascii="Arial" w:cs="Arial" w:eastAsia="Arial" w:hAnsi="Arial"/>
                <w:sz w:val="18"/>
                <w:szCs w:val="18"/>
                <w:color w:val="auto"/>
                <w:w w:val="93"/>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wp:posOffset>
            </wp:positionH>
            <wp:positionV relativeFrom="paragraph">
              <wp:posOffset>-359410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left="460" w:right="22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results of Sema plc which was acquired in April 2001. Compared to last year and on a proforma basis (assuming the acquisition occurred on January 1, 2001), SchlumbergerSema revenue for the six months was down 1.4%.</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2001 includes the divested Resource Management Services businesses.</w:t>
      </w:r>
    </w:p>
    <w:p>
      <w:pPr>
        <w:spacing w:after="0" w:line="9" w:lineRule="exact"/>
        <w:rPr>
          <w:rFonts w:ascii="Arial" w:cs="Arial" w:eastAsia="Arial" w:hAnsi="Arial"/>
          <w:sz w:val="18"/>
          <w:szCs w:val="18"/>
          <w:color w:val="auto"/>
        </w:rPr>
      </w:pPr>
    </w:p>
    <w:p>
      <w:pPr>
        <w:jc w:val="both"/>
        <w:ind w:left="460" w:right="8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Pretax operating income (loss) represents income (loss) before taxes and minority interest, excluding interest income, interest expense and amortization of intangibles ($34 million and $92 million for the second quarter in 2002 and 2001, respectively, and $55 million and $125 million for the first six months in 2002 and 2001,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8" w:right="239" w:bottom="674"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 Quarter 2002 Compared to Second Quarter 2001</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Revenue for the second quarter of $3.4 billion decreased 10% over the same period last year. Net income was $196 million compared to a loss of $93 million last year. Diluted earnings were $0.34 per share. This compares with an adjusted $0.45 per share for the same period last year, excluding the impairment charge, and $0.35 per share excluding the charge related to losses following the economic and financial crisis in Argentina in the first quarter of 2002.</w:t>
      </w:r>
    </w:p>
    <w:p>
      <w:pPr>
        <w:spacing w:after="0" w:line="9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Oilfield Services revenue of $2.5 billion increased 2% including WesternGeco versus the first quarter of 2002. The worldwide M-I rig count fell 9% over the same period. Revenue decreased 5% year-on-year, substantially less than the average rig count decline of 23%.</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SchlumbergerSema revenue of $853 million in the second quarter increased 2% sequentially despite the continued downturn in the IT services industry. The slight revenue increase reflected stronger mobile communication cards activity, a higher level of IT services in the UK, and euro-dollar exchange rate gains that were partially offset by lower activity in the Energy &amp; Utilities and Telecommunications segments in North America. Compared to last year revenue fell 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Despite the lackluster global economic recovery, and lower US gas demand leading to higher than average gas storage levels, second quarter activity showed signs of resurgence as Asia continued to recover. Activity in Europe, CIS and West Africa remained robust and the US rig count improved modestly, excluding Canada, amid growing concerns surrounding the sustainability of gas production.</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Operating revenue of $2.46 billion in the second quarter decreased 5% versus last year, but increased 2% sequentially. This was in sharp contrast to M-I rig count declines of 23% and 9% respectively. Excluding WesternGeco, revenue declined 4% versus last year but increased 3% sequentially.</w:t>
      </w:r>
    </w:p>
    <w:p>
      <w:pPr>
        <w:spacing w:after="0" w:line="7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Revenue growth was led by the Middle East &amp; Asia and Europe/CIS/West Africa Areas year-on-year and sequentially. The Caspian and India GeoMarkets recorded the largest year-on-year increases while the Caspian, China and Malaysia/Brunei/Philippines GeoMarkets led sequential growth.</w:t>
      </w:r>
    </w:p>
    <w:p>
      <w:pPr>
        <w:spacing w:after="0" w:line="72"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From a technology standpoint, Well Completions &amp; Productivity and Drilling &amp; Measurements experienced strong growth year-on-year at 9% and 5% respectively, due to contract wins, new technology introduction and market share gains. All technology segments grew sequentially, with the exception of WesternGeco, which fell as a result of lower multiclient license sales.</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Pretax operating income decreased 19% year-on-year but increased 3% sequentially. The sequential increase was attributable to sustained pricing levels and higher activity internationally.</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Despite the depressed IT services market, demand rose for the Schlumberger DeXa suite of network and infrastructure solutions in the E&amp;P industry. E&amp;P related revenue increased 88% year-on-year and 33% sequentially.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Revenue of $720 million decreased 26% versus the same quarter last year and 2% sequentially, compared with the M-I rig count which decreased 35% year-on-year and 14% sequentially. Pretax operating income of $108 million decreased 52% year-on-year and 12% sequentially.</w:t>
      </w:r>
    </w:p>
    <w:p>
      <w:pPr>
        <w:spacing w:after="0" w:line="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These results continued to reflect the lower drilling activity on concerns surrounding the recovery of the US economy. Higher revenues in the US Land and Gulf Coast GeoMarkets in the latter part of the quarter due to increased market share in Drilling &amp; Measurements services, together with a higher rig count and sustained pricing in the Gulf Coast, were offset by the Canadian break up resulting in a sequential revenue decrease in North America. Decreased revenue was recorded across all technology segments, particularly WesternGeco, due to low multiclient license sales in the Gulf of Mexico.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Latin America</w:t>
      </w:r>
    </w:p>
    <w:p>
      <w:pPr>
        <w:spacing w:after="0" w:line="16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Revenue of $335 million decreased 15% year-on-year and 13% sequentially in contrast to M-I rig count declines of 25% and 9% respectively. Pretax operating income of $39 million was 13% lower year-on-year and 41% lower sequentially, attributable to one-off contractual gains during the previous quarter.</w:t>
      </w:r>
    </w:p>
    <w:p>
      <w:pPr>
        <w:spacing w:after="0" w:line="7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Ongoing political and economic uncertainty in the region continued to affect business conditions, particularly in Venezuela and Argentina. This was offset to some degree by year-on-year revenue growth in the Mexico &amp; Central America GeoMarket where Schlumberger was awarded an extension for integrated services on the Burgos Alliance II project.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Revenue of $676 million increased 11% year-on-year and 10% sequentially exceeding the M-I rig count (excluding CIS) which was flat year-on-year and decreased 1% sequentially. Pretax operating income of $96 million decreased 2% year-on-year but increased 22% sequentially.</w:t>
      </w:r>
    </w:p>
    <w:p>
      <w:pPr>
        <w:spacing w:after="0" w:line="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Caspian GeoMarket led strong growth in the Area where Schlumberger achieved substantial market share gains in Drilling &amp; Measurements, Wireline and Well Completions &amp; Productivity services. Nigeria, Russia and the UK GeoMarkets also posted solid growth versus last year with activity in Nigeria higher due to the more stable environment. Revenue growth in Russia was due to integrated well construction services on the very successful Sibneft horizontal well project in Siberia, together with increased demand for production enhancement services as operators strive to increase production levels. A large number of new contract wins with independent oil companies in the North Sea, coupled with higher Well Completions &amp; Productivity revenue, contributed to the strong growth in the UK. Sequentially, revenue was up in all GeoMarkets with the exception of Nigeria. Double-digit year-on-year growth was recorded across all technology segments except for WesternGeco and Schlumberger Information Solutions.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of $627 million increased 18% year-on-year and 6% sequentially outpacing the increase in M-I rig count, which grew 7% and 2% respectively. Pretax operating income of $128 million increased 19% year-on-year and 10% sequentially.</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India GeoMarket experienced the strongest year-on-year revenue growth mainly due to increased seismic activity as private operators and the government aim to meet stringent exploration target dates following the 2001 licensing round. In addition, the Malaysia/Brunei/Philippines GeoMarket where a major fracturing campaign is underway, and Saudi Arabia where land seismic levels were high, reported significant revenue increases. Sequentially the China GeoMarket saw the largest growth outpacing the rig count as a result of higher seismic, drilling and pressure pumping services.</w:t>
      </w:r>
    </w:p>
    <w:p>
      <w:pPr>
        <w:spacing w:after="0" w:line="99"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Year-on-year improvements were recorded across all technology segments led by WesternGeco with higher marine activity and multiple long-term land contracts. The Well Completions &amp; Productivity segment led sequential growth and gained significant market share in artificial lift services as a result of a strategy to build world-class artificial lift solutions. This was highlighted by the award of several major artificial lift contracts in the Middle East &amp; Asia Area during the quarter.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Operating revenue of $853 million in the second quarter increased 2% sequentially despite the continued downturn in the IT services industry. The slight revenue increase reflected stronger mobile communication cards activity, a higher level of IT services in the UK, and euro-dollar exchange rate gains that were partially offset by lower activity in the Energy &amp; Utilities and Telecommunications segments in North America. Compared to last year revenue fell 3%.</w:t>
      </w:r>
    </w:p>
    <w:p>
      <w:pPr>
        <w:spacing w:after="0" w:line="9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Pretax operating income of $10 million increased $9 million sequentially due to the effect of the cost synergy plan and as a result of higher margins in smart cards across all markets as well as in IT consulting and systems integration in the UK. Compared to last year pretax operating income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22"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improved by $23 million due to cost synergies, which were partially offset by lower overall margins especially in smart cards.</w:t>
      </w:r>
    </w:p>
    <w:p>
      <w:pPr>
        <w:spacing w:after="0" w:line="158"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The cost reduction plan, announced 12 months ago, achieved $148 million in annualized savings across the organization, exceeding the initial goal of $140 million; however, these cost savings are not sufficient for SchlumbergerSema to achieve its business objectives. Further cost savings, including additional headcount reductions, are being analyzed and may result in a charge in the third quarter. In addition, SchlumbergerSema will embark on preparing a strategic business plan which will reflect the expected operating environment and information gained during the integration of the business. It is expected that this plan will be completed, and reviewed and approved by the Company’s Board of Directors, in the fourth quarter of 2002.</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Volume Products revenue of $201 million decreased 6% versus the same period last year but increased 7% sequentially. The sequential revenue increase was due primarily to significantly higher demand for smart cards across all the GeoMarkets and market segments. Pretax operating income of $6.3 million improved compared to last quarter.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$615 million decreased 5% year-on-year but increased 3% sequentially despite the reduced demand in Europe for systems integration and consulting services. Increased competition and low demand for IT services impacted pricing.</w:t>
      </w:r>
    </w:p>
    <w:p>
      <w:pPr>
        <w:spacing w:after="0" w:line="118"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Sequential revenue growth was driven by the UK GeoMarket due to high demand in the public sector, especially in the health care industry. The Italian GeoMarket also recorded solid growth with strong activity in major events and telecommunications. The Spanish GeoMarket performed well in the public sector despite an across-the-board decline in demand for IT services, in particular by banks exposed to the South American market. The telecommunications market remained weak mainly in Germany, where budgets are frozen and new capital projects delayed. The France GeoMarket remained lackluster, mainly due to lower activity in the public sector during the French elections, which was offset to some degree by higher card activity in the GeoMarket within the banking sector.</w:t>
      </w:r>
    </w:p>
    <w:p>
      <w:pPr>
        <w:spacing w:after="0" w:line="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Pretax operating income of $34 million increased 84% compared to last year and 18% sequentially mainly due to margin improvements in smart cards, the UK and as a result of the cost savings program initiated last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of $157 million declined 15% year-on-year and 3% sequentially reflecting significantly lower Energy and Utilities IT services sales coupled with continued reduced capital spending in telecommunications services. This was partially offset by sustained growth in wireless communications cards to support the development of CDMA/GSM compatible networks.</w:t>
      </w:r>
    </w:p>
    <w:p>
      <w:pPr>
        <w:spacing w:after="0" w:line="12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Pretax operating loss of $11 million halved versus the same period last year and improved 41% sequentially. This is attributed to a better mix of product and service sales, improved margins in smart card sales and the cost savings program.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$89 million declined 5% year-on-year but increased 4% sequentially. Strong demand in smart cards in China and the Philippines was offset by lower activity in managed services and lower demand for IT services in telecommunications.</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Pretax operating income was break-even, representing decreases of $11 million year-on-year and $2 million sequentially. Continuous pricing pressure in telecommunications IT services and on low-end mobile smart cards in China resulted in the year-on-year and sequential decreases.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a comparable basis, excluding the Resource Management Services businesses divested in 2001, revenue was up 3% while the pretax loss improved by $10 million, to $6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STATEMENT</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Interest and other income decreased $21 million from the same period last year due to a $12 million decrease in interest income (2002—$19 million; 2001—$31 million) reflecting a decrease of $463 million in average investment balances and a decrease in average returns on investments from 5.6% to 4.6%; last year, interest and other income included a $9 million gain from the sale of investments. Excluding the $280 million impairment charge in 2001, gross margin was slightly below last year. As a percentage of revenue, research and engineering expense increased 0.2% and marketing expense decreased 0.9% from last year. General expense as a percentage of revenue decreased from 5.1% to 4.8%. Interest expense decreased by $12 million as average debt balances were up $1 billion and the average borrowing rates decreased from 6.4% to 4.9%. The effective tax rate for the second quarter was 26% compared to 24% in the first quarter (excluding the Argentina provision). On a comparable basis, excluding the impairment charge and amortization of goodwill and assembled workforce, the second quarter 2001 effective tax rate was also 26%.</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2002 Compared to Six Months 2001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Six months revenue for Oilfield Services of $4.88 billion was 3% lower compared to the same period last year and was in sharp contrast to worldwide M-I rig count decline of 22%. Despite a lackluster global economic recovery and lower US gas demand leading to higher average gas storage levels, the first six months showed signs of resurgence as activity in the Middle East &amp; Asia and Europe, CIS and West Africa Areas improved robustly mitigating the declines in the North and Latin America Areas.</w:t>
      </w:r>
    </w:p>
    <w:p>
      <w:pPr>
        <w:spacing w:after="0" w:line="130" w:lineRule="exact"/>
        <w:rPr>
          <w:sz w:val="20"/>
          <w:szCs w:val="20"/>
          <w:color w:val="auto"/>
        </w:rPr>
      </w:pPr>
    </w:p>
    <w:p>
      <w:pPr>
        <w:ind w:right="1700"/>
        <w:spacing w:after="0" w:line="332" w:lineRule="auto"/>
        <w:rPr>
          <w:sz w:val="20"/>
          <w:szCs w:val="20"/>
          <w:color w:val="auto"/>
        </w:rPr>
      </w:pPr>
      <w:r>
        <w:rPr>
          <w:rFonts w:ascii="Arial" w:cs="Arial" w:eastAsia="Arial" w:hAnsi="Arial"/>
          <w:sz w:val="16"/>
          <w:szCs w:val="16"/>
          <w:color w:val="auto"/>
        </w:rPr>
        <w:t>Revenue growth was led by GeoMarkets in the Middle East &amp; Asia and Europe, CIS and West Africa Areas. The Caspian, Nigeria, India, Malaysia/Brunei/Philippines and Saudi Arabia/Kuwait/Bahrain GeoMarkets recorded the largest year-on-year increases.</w:t>
      </w:r>
    </w:p>
    <w:p>
      <w:pPr>
        <w:spacing w:after="0" w:line="7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From a technology standpoint, Well Completions &amp; Productivity and Drilling &amp; Measurements experienced strong growth due to contract wins, new technology introduction and market share gains, while SIS (Schlumberger Information Solutions) posted modest gains. The other technology segments fell as a result of rig count decline whereas WesternGeco continued to experience declines as a result of lower multiclient license sales, notably in the Gulf of Mexico.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income decreased 16% year-on-year mostly from lower profitability in North America but mitigated by higher activity internationally.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the depressed IT services market, demand rose for the Schlumberger DeXa suite of network and infrastructure solutions in the E&amp;P industry. E&amp;P related revenue increased 95% year-on-year as demand increased for connectivity and security solutions. Strong growth was posted across all Areas, except for Latin America.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Revenue in North America of $1.46 billion declined 24% versus the same period last year, compared with M-I rig count which decreased 32%. These results reflect lower drilling activity on concerns surrounding the recovery of the US economy coupled with lower US gas demand leading to higher average gas storage levels. All GeoMarkets with the exception of Alaska recorded declines. Decreased revenue was reported across all technology segments, particularly WesternGeco, due to low multiclient license sales in the Gulf of Mexico. Pretax operating income of $231 million decreased 49% due to pricing pressure on drilling related services affected by activity decline and due the to steep reduction in multiclient sales for WesternGeco.</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Latin America revenue of $720 million declined 9% year-over-year, compared to M-I rig count which declined 22%. Ongoing political and economic uncertainty in the region continued to affect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22" w:right="279" w:bottom="1440" w:gutter="0" w:footer="0" w:header="0"/>
        </w:sectPr>
      </w:pPr>
    </w:p>
    <w:bookmarkStart w:id="15" w:name="page16"/>
    <w:bookmarkEnd w:id="1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conditions, particularly in Venezuela and Argentina. This was mitigated to some degree by growth in the Mexico &amp; Central America GeoMarket where Schlumberger was awarded an extension for integrated services on the Burgos Alliance II project. Despite the lower revenue, pretax operating income of $105 million increased 19% year over year due to favorable fall-throughs from WesternGeco multiclient license transfer fees.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16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Europe/CIS/West Africa revenue of $1.29 billion increased 17% versus the same period last year, compared with M-I rig count (excluding CIS) which increased 1%. The Caspian GeoMarket led strong growth in the Area where Schlumberger achieved substantial market share gains in Drilling &amp; Measurements, Wireline and Well Completions &amp; Productivity services. Nigeria, Russia and the UK GeoMarkets also posted solid growth versus last year with activity in Nigeria higher due to the more stable environment. Revenue growth in Russia was due to integrated well construction services on the very successful Sibneft horizontal well project in Siberia, together with increased demand for production enhancement services as operators strive to increase production levels. A large number of new contract wins with independent oil companies in the North Sea, coupled with higher Well Completions &amp; Productivity revenue, contributed to the strong growth in the UK. By technology segment, all segments, with the exception of WesternGeco and IPM, posted strong growth. Pretax operating income of $175 million increased 11% compared to last year.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164"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Six months revenue in the Middle East &amp; Asia Area of $1.22 billion increased 19% year over year compared with M-I rig count which increased 7%. The India GeoMarket experienced the strongest growth mainly due to increased seismic activity as private operators and the government aim to meet stringent exploration target dates following the 2001 licensing round. In addition, the Malaysia/Brunei/Philippines GeoMarket where a major fracturing campaign is underway, and Saudi Arabia where land seismic levels were high, reported significant revenue increases. Improvements were recorded across all technology segments led by WesternGeco with higher marine activity and multiple land long-term contracts. Pretax operating income of $243 million increased 23% compared to last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 was $1.7 billion (43% higher than last year reflecting the acquisition of Sama plc in April 2001) and pretax operating income was $11 million. Pretax operating income for Utilities increased $23 million while revenue decreased $28 million over the same period last year; the increase in pretax operating income was due mainly to a reduction in headcount, other cost reduction programs and also reflected higher margins. Revenue for Volume Products was $388 million down 8% over the same period last year. This was due mostly to sharp price decreases and lower activity in China following China Telecom reorganization. Volume Products pretax operating income was $9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On a comparable basis, excluding the Resource Management Services businesses divested in 2001, revenue was flat while the pretax loss improved by $23 million, to $12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Interest and other income decreased $77 million from the same period last year due to a $59 million decrease in interest income (2002—$37 million; 2001—$96 million) reflecting a decrease of $2.1 billion in average investment balances and a decrease in average returns on investments from 6.1% to 4.3%; last year, interest and other income included a $19 million gain from the sale of investments. Gross margin, excluding charges of $30 million in 2002 and the $280 million in 2001, of 22% was 0.7% below last year. Research and engineering expense and marketing expense as a percentage of revenue decreased 0.3% and 0.5%, respectively, over the same period last year. General expense as a percentage of revenue increased from 4.6% to 4.8%. Interest expense decreased by $6 million as average debt balances were up $1.8 billion and the average borrowing rates decreased from 6.5% to 4.7%. The effective tax rate for the first six month period was 25%</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to 30% (excluding the Argentina provision in 2002 and the RMS impairment charge in 2001 for the same period last year). On a comparable basis, excluding the RMS impairment charge and amortization of goodwill and assembled workforce, the six month 2001 effective tax rate was 26.5%.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June 2001, SFAS 141 (Business Combinations) and SFAS 142 (Goodwill and Other Intangible Assets) were issued. SFAS 141 was adopted by Schlumberger for acquisitions subsequent to June 30, 2001. SFAS 142 was adopted by Schlumberger commencing January 1, 2002 and, based on the findings of an independent valuation undertaken in the first quarter of 2002, Schlumberger determined that there is no impairment write down on the adoption of this standard.</w:t>
      </w:r>
    </w:p>
    <w:p>
      <w:pPr>
        <w:spacing w:after="0" w:line="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$179 million has been reclassified to </w:t>
      </w:r>
      <w:r>
        <w:rPr>
          <w:rFonts w:ascii="Arial" w:cs="Arial" w:eastAsia="Arial" w:hAnsi="Arial"/>
          <w:sz w:val="18"/>
          <w:szCs w:val="18"/>
          <w:i w:val="1"/>
          <w:iCs w:val="1"/>
          <w:color w:val="auto"/>
        </w:rPr>
        <w:t>Goodwill.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in June 2001 and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adopted by Schlumberger commencing January 1, 2002.</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January 1, 2002, Schlumberger adopted the FASB EITF Abstract 01-14, “Income Statement Characterization of Reimbursements Received for “Out-of-Pocket” Expenses Incurred”. Prior year revenue has been restated to include reimbursable costs billed to customers which had been classified as a contra expense and now must be classified as revenue. The reclassification was only required in the Oilfield Services segment as the SchlumbergerSema segment was already in compliance with the new standard. Oilfield Services revenue and cost of goods sold &amp; services increased in the second quarter 2001 by $137 million and in the six months 2001 by $241 million. There was no effect on cash flow or net income.</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29, 2002, the Financial Accounting Standards Board issued SFAS No. 146, Accounting for Costs Associated with Exit or Disposal Activities. The standard requires companies to recognize costs associated with exit or disposal activities when they are incurred rather than at the date of a commitment to an exit or disposal plan. Examples of costs covered by the standard include lease termination costs and certain employee severance costs that are associated with a restructuring, discontinued operation, plant closing, or other exit or disposal activity. Previous accounting guidance was provided by EITF Issue No. 94-3, “Liability Recognition for Certain Employee Termination Benefits and Other Costs to Exit an Activity (including Certain Costs Incurred in a Restructuring).” SFAS 146 replaces Issue 94-3. SFAS 146 is to be applied prospectively to exit or disposal activities initiated after December 31, 2002.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 measure of financial position is liquidity, which Schlumberger defines as cash plus short-term and fixed income investments, less debt. The following summarizes the change in consolidated liquidity for the second quarter and six months ended June 30, 2002.</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millions)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40" w:type="dxa"/>
            <w:vAlign w:val="bottom"/>
            <w:tcBorders>
              <w:bottom w:val="single" w:sz="8" w:color="auto"/>
            </w:tcBorders>
            <w:gridSpan w:val="2"/>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6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05"/>
        </w:trPr>
        <w:tc>
          <w:tcPr>
            <w:tcW w:w="4660" w:type="dxa"/>
            <w:vAlign w:val="bottom"/>
            <w:vMerge w:val="restart"/>
          </w:tcPr>
          <w:p>
            <w:pPr>
              <w:spacing w:after="0"/>
              <w:rPr>
                <w:sz w:val="20"/>
                <w:szCs w:val="20"/>
                <w:color w:val="auto"/>
              </w:rPr>
            </w:pPr>
            <w:r>
              <w:rPr>
                <w:rFonts w:ascii="Arial" w:cs="Arial" w:eastAsia="Arial" w:hAnsi="Arial"/>
                <w:sz w:val="18"/>
                <w:szCs w:val="18"/>
                <w:color w:val="auto"/>
              </w:rPr>
              <w:t>Funds provided by:</w:t>
            </w:r>
          </w:p>
        </w:tc>
        <w:tc>
          <w:tcPr>
            <w:tcW w:w="1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46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0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Non-cash charges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 (1)</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Funds used for:</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Capital expenditures (1)</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Working capital</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8"/>
                <w:szCs w:val="18"/>
                <w:color w:val="auto"/>
              </w:rPr>
              <w:t>Sema plc acquisition payments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Impact of change in exchange rates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2"/>
        </w:trPr>
        <w:tc>
          <w:tcPr>
            <w:tcW w:w="4660" w:type="dxa"/>
            <w:vAlign w:val="bottom"/>
          </w:tcPr>
          <w:p>
            <w:pPr>
              <w:ind w:left="2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liquidity</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Liquidity, beginning of period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112"/>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Liquidity, end of period</w:t>
            </w:r>
          </w:p>
        </w:tc>
        <w:tc>
          <w:tcPr>
            <w:tcW w:w="20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105"/>
        </w:trPr>
        <w:tc>
          <w:tcPr>
            <w:tcW w:w="46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-2664460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-2664460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-2415540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-2415540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-2415540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-2415540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-751840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-751840</wp:posOffset>
            </wp:positionV>
            <wp:extent cx="215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-758190</wp:posOffset>
            </wp:positionV>
            <wp:extent cx="38735"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-751840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-751840</wp:posOffset>
            </wp:positionV>
            <wp:extent cx="215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-758190</wp:posOffset>
            </wp:positionV>
            <wp:extent cx="38735"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-323215</wp:posOffset>
            </wp:positionV>
            <wp:extent cx="215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38735"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215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38735"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-38100</wp:posOffset>
            </wp:positionV>
            <wp:extent cx="6216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21665" cy="3873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-38100</wp:posOffset>
            </wp:positionV>
            <wp:extent cx="2984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cost.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1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in the second quarter decreased $435 million due mainly to the adverse $392 million translation effect from the strengthening of the European currencies. The year to date decrease of $782 million was mainly due to the adverse $355 million currency translation effect, the expected $132 million payment to former LHS/Sema shareholders (under the terms of an exchange agreement to acquire Sema shares) and spending of severance and other 2001 provisions.</w:t>
      </w:r>
    </w:p>
    <w:p>
      <w:pPr>
        <w:spacing w:after="0" w:line="7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January 2002, two principal subsidiaries of Schlumberger in Europe initiated a Euro commercial paper program, which is guaranteed by Schlumberger Limited. At June 30, 2002, Euro commercial paper borrowings totaled $1.5 billion. Euro commercial paper borrowings are supported by a long-term revolving credit facility.</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 rights for life. The proceeds partially replaced US commercial paper borrowings. At June 30, 2002, US commercial paper borrowings totaled $1.5 billion. US commercial paper borrowings are supported by a long-term revolving credit facility.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10-Q report, the second quarter 2002 earnings release and associated web-based publication and other statements we make contain forward looking statements, which include any statements that are not historical facts, such as our expectations regarding business outlook, economic recovery, expected capex, multiclient and depreciation and amortization expenditures, the timing and likelihood of NPTest’s initial public offering, conditions in the oilfield service business, including increases in activity during the second half of 2002 and into 2003, continued deepwater drilling activity, benefits from contract awards, future results of operations, pricing recovery, and cost reductions and improvements in the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the sustainability of gas pricing in NAM; continuing customer commitment to certain key oilfield projects, and continued growth in Schlumberger IT Services for E&amp;P industry; general economic and business conditions in key regions of the world, including potential currency and business exposure in Argentina, Brazil and Venezuela; changes in business strategy, economic, competitive and technological factors affecting markets, services, and prices in SchlumbergerSema businesses including its ability to accelerate synergies with Oilfield Services and to increase cost savings; uncertainties created by deregulation in the utility industry particularly in NAM and the extent and timing of utilities’ investment in integrated solutions to utility management; continuing customer commitment to key long-term services and solutions contracts in our SchlumbergerSema businesses; a reversal of the weak IT environment and a significant increase in IT spending; the extent and timing of a recovery in the telecommunications industry; an increase in the pricing of and a growth in the demand for smart cards in e-commerce and network and Internet-enabled solutions; Schlumberger’s ability to meet its identified liquidity projections, including the generation of sufficient cash flow from oilfield operating results and the successful completion of certain business divestitures, and other factors detailed in this Form 10-Q, in our second quarter 2002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18" w:name="page19"/>
    <w:bookmarkEnd w:id="18"/>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value as foreign exchange rates change, to protect the value of external and intercompany transactions in foreign currencies. Schlumberger does not enter into foreign currency or interest rate transactions for speculative purposes.</w:t>
      </w:r>
    </w:p>
    <w:p>
      <w:pPr>
        <w:spacing w:after="0" w:line="26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II.</w:t>
        <w:tab/>
        <w:t>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5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p>
      <w:pPr>
        <w:ind w:left="920"/>
        <w:spacing w:after="0"/>
        <w:tabs>
          <w:tab w:leader="none" w:pos="19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ind w:left="920"/>
        <w:spacing w:after="0"/>
        <w:tabs>
          <w:tab w:leader="none" w:pos="19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164"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Report 8-K dated May 21, 2002, filed as of May 21, 2002 to report a press release dated May 21, 2002 announcing the filing with the Securities and Exchange Commission of a registration statement by NPTest, Inc., a wholly-owned subsidiary of Schlumberger Limited, for a proposed initial public offering of shares of NPTest’s common stock.</w:t>
      </w:r>
    </w:p>
    <w:p>
      <w:pPr>
        <w:spacing w:after="0" w:line="127"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Report 8-K dated July 17, 2002, furnished as of July 18, 2002 to report under Item 9 a Question and Answer document on the July 17, 2002 Schlumberger Press Release.</w:t>
      </w:r>
    </w:p>
    <w:p>
      <w:pPr>
        <w:spacing w:after="0" w:line="118"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Report 8-K dated July 23, 2002, furnished as of July 26, 2002 to report under Item 9 a transcript of a presentation entitled “Enabling the Promise of the Digital Enterprise”, with accompanying question and answer session, held by management and publicly disseminated via internet webcast.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20"/>
        <w:spacing w:after="0"/>
        <w:tabs>
          <w:tab w:leader="none" w:pos="5840" w:val="left"/>
          <w:tab w:leader="none" w:pos="6200" w:val="left"/>
        </w:tabs>
        <w:rPr>
          <w:sz w:val="20"/>
          <w:szCs w:val="20"/>
          <w:color w:val="auto"/>
        </w:rPr>
      </w:pPr>
      <w:r>
        <w:rPr>
          <w:rFonts w:ascii="Arial" w:cs="Arial" w:eastAsia="Arial" w:hAnsi="Arial"/>
          <w:sz w:val="18"/>
          <w:szCs w:val="18"/>
          <w:color w:val="auto"/>
        </w:rPr>
        <w:t>Date: August 8, 2002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77470</wp:posOffset>
            </wp:positionV>
            <wp:extent cx="3528695" cy="215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528695" cy="21590"/>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Accounting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422" w:right="6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Schlumberger N.V. (Schlumberger Limited), (the “Company”) on Form 10-Q for the period ending June 30, 2002 as filed with the Securities and Exchange Commission on the date hereof (the “Report”), I, D. Euan Baird, Chief Executive Officer of the Company, certify, pursuant to 18 U.S.C. § 1350, as adopted pursuant to § 906 of the Sarbanes-Oxley Act of 2002, that: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 Euan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616075" cy="215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6160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2002</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June 30, 2002 as filed with the Securities and Exchange Commission on the date hereof (the “Report”), I, Jean-Marc Perraud, Chief Financial Officer of the Company, certify, pursuant to 18 U.S.C. § 1350, as adopted pursuant to § 906 of the Sarbanes-Oxley Act of 2002, that: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616075"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6160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2002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2019-12-13T06:36:27Z</dcterms:created>
  <dcterms:modified xsi:type="dcterms:W3CDTF">2019-12-13T06:36:27Z</dcterms:modified>
</cp:coreProperties>
</file>