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4017645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108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30861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34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23412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ANNUAL GENERAL MEETING OF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April 14, 2004</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10, 2004</w:t>
      </w:r>
    </w:p>
    <w:p>
      <w:pPr>
        <w:spacing w:after="0" w:line="181" w:lineRule="exact"/>
        <w:rPr>
          <w:sz w:val="20"/>
          <w:szCs w:val="20"/>
          <w:color w:val="auto"/>
        </w:rPr>
      </w:pPr>
    </w:p>
    <w:p>
      <w:pPr>
        <w:ind w:right="120" w:firstLine="456"/>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14, 2004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10 directors.</w:t>
      </w:r>
    </w:p>
    <w:p>
      <w:pPr>
        <w:spacing w:after="0" w:line="76"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2003, to adopt and approve the Company’s Consolidated Balance Sheet as at December 31, 2003, its Consolidated Statement of Income for the year ended December 31, 2003, and the declaration of dividends by the Board of Directors as reflected in the Company’s 2003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the 2004 Stock and Deferral Plan for Non-Employee Directors.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appointment of PricewaterhouseCoopers LLP as independent public auditors to audit the accounts of the Company for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25, 2004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5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Please sign your proxy card and return it in the enclosed</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envelope so that you may be represented at the Meeting.</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2004 Annual General Meeting of Stockholders. The approximate mailing date of this proxy statement is March 10, 2004.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2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Schlumberger 2003 Annual Report to Stockholders is included in this package as a separate document. The Company’s Consolidated Balance Sheet as at December 31, 2003, its Consolidated Statement of Income for the year ended December 31, 2003 and the supplemental financial information with respect to dividends included in the Annual Report are incorporated by reference as part of this proxy soliciting material.</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bear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the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stockholder of record at the close of business on February 25, 2004 is entitled to one vote for each share registered in the stockholder’s name. On that</w:t>
      </w:r>
    </w:p>
    <w:p>
      <w:pPr>
        <w:spacing w:after="0" w:line="50" w:lineRule="exact"/>
        <w:rPr>
          <w:sz w:val="20"/>
          <w:szCs w:val="20"/>
          <w:color w:val="auto"/>
        </w:rPr>
      </w:pPr>
    </w:p>
    <w:p>
      <w:pPr>
        <w:spacing w:after="0"/>
        <w:tabs>
          <w:tab w:leader="none" w:pos="2020" w:val="left"/>
          <w:tab w:leader="none" w:pos="7540" w:val="left"/>
        </w:tabs>
        <w:rPr>
          <w:sz w:val="20"/>
          <w:szCs w:val="20"/>
          <w:color w:val="auto"/>
        </w:rPr>
      </w:pPr>
      <w:r>
        <w:rPr>
          <w:rFonts w:ascii="Arial" w:cs="Arial" w:eastAsia="Arial" w:hAnsi="Arial"/>
          <w:sz w:val="18"/>
          <w:szCs w:val="18"/>
          <w:color w:val="auto"/>
        </w:rPr>
        <w:t>date 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557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-17780</wp:posOffset>
            </wp:positionV>
            <wp:extent cx="585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taking of any action at the meeting. Abstentions and broker non-votes are counted for determining the presence of a quorum but are not counted as votes cast in the tabulation of votes on any matter brought before the meeting. If a quorum is not present at the meeting, the Board may call a second General Meeting at which the quorum requirement will not apply.</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Election of Directors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intended to fix the number of directors at 10 and to elect a Board of Directors of 10 members, each to hold office until the next Annual General Meeting of Stockholders and until a director’s successor is elected and qualified or until a director’s death, resignation or removal. Each of the nominees, except Tore I. Sandvold, is now a director and was previously elected by the stockholders. Pursuant to the retirement policy under Schlumberger’s Corporate Governance Guidelines, Sven Ullring, who is 68 and has been a director since 1990, is not standing for reelection. Unless instructed otherwise, the proxies will be voted for the election of the 10 nominees named below. If any nominee is unable or unwilling to serve, proxies may be voted for another person designated by the Board of Directors. The Board knows of no reason why any nominee will be unable or unwilling to serve if elected.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Director</w:t>
            </w:r>
          </w:p>
        </w:tc>
      </w:tr>
      <w:tr>
        <w:trPr>
          <w:trHeight w:val="174"/>
        </w:trPr>
        <w:tc>
          <w:tcPr>
            <w:tcW w:w="3260" w:type="dxa"/>
            <w:vAlign w:val="bottom"/>
          </w:tcPr>
          <w:p>
            <w:pPr>
              <w:spacing w:after="0"/>
              <w:rPr>
                <w:sz w:val="15"/>
                <w:szCs w:val="15"/>
                <w:color w:val="auto"/>
              </w:rPr>
            </w:pPr>
          </w:p>
        </w:tc>
        <w:tc>
          <w:tcPr>
            <w:tcW w:w="7380" w:type="dxa"/>
            <w:vAlign w:val="bottom"/>
            <w:gridSpan w:val="2"/>
          </w:tcPr>
          <w:p>
            <w:pPr>
              <w:ind w:left="500"/>
              <w:spacing w:after="0"/>
              <w:rPr>
                <w:sz w:val="20"/>
                <w:szCs w:val="20"/>
                <w:color w:val="auto"/>
              </w:rPr>
            </w:pPr>
            <w:r>
              <w:rPr>
                <w:rFonts w:ascii="Arial" w:cs="Arial" w:eastAsia="Arial" w:hAnsi="Arial"/>
                <w:sz w:val="14"/>
                <w:szCs w:val="14"/>
                <w:b w:val="1"/>
                <w:bCs w:val="1"/>
                <w:color w:val="auto"/>
              </w:rPr>
              <w:t>Nominee, Age and Five-Year Business Experience</w:t>
            </w:r>
          </w:p>
        </w:tc>
        <w:tc>
          <w:tcPr>
            <w:tcW w:w="32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Since</w:t>
            </w:r>
          </w:p>
        </w:tc>
      </w:tr>
      <w:tr>
        <w:trPr>
          <w:trHeight w:val="95"/>
        </w:trPr>
        <w:tc>
          <w:tcPr>
            <w:tcW w:w="326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10640" w:type="dxa"/>
            <w:vAlign w:val="bottom"/>
            <w:gridSpan w:val="3"/>
          </w:tcPr>
          <w:p>
            <w:pPr>
              <w:spacing w:after="0"/>
              <w:rPr>
                <w:sz w:val="20"/>
                <w:szCs w:val="20"/>
                <w:color w:val="auto"/>
              </w:rPr>
            </w:pPr>
            <w:r>
              <w:rPr>
                <w:rFonts w:ascii="Arial" w:cs="Arial" w:eastAsia="Arial" w:hAnsi="Arial"/>
                <w:sz w:val="18"/>
                <w:szCs w:val="18"/>
                <w:color w:val="auto"/>
              </w:rPr>
              <w:t xml:space="preserve">JOHN DEUTCH, 65; Institute Professor, Massachusetts Institute of Technology, Cambridge, Massachusetts. </w:t>
            </w:r>
            <w:r>
              <w:rPr>
                <w:rFonts w:ascii="Arial" w:cs="Arial" w:eastAsia="Arial" w:hAnsi="Arial"/>
                <w:sz w:val="22"/>
                <w:szCs w:val="22"/>
                <w:color w:val="auto"/>
                <w:vertAlign w:val="superscript"/>
              </w:rPr>
              <w:t>(1)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1997</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2"/>
              </w:rPr>
              <w:t>JAMIE S. GORELICK, 53; Partner, Wilmer Cutler Pickering LLP, an international law firm since July 2003, Vice Chair of Fannie Mae, the largest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source of financing for U.S. home mortgages from May 1997 to July 2003, Washington, D.C. </w:t>
            </w:r>
            <w:r>
              <w:rPr>
                <w:rFonts w:ascii="Arial" w:cs="Arial" w:eastAsia="Arial" w:hAnsi="Arial"/>
                <w:sz w:val="22"/>
                <w:szCs w:val="22"/>
                <w:color w:val="auto"/>
                <w:vertAlign w:val="superscript"/>
              </w:rPr>
              <w:t>(2).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7"/>
              </w:rPr>
              <w:t>ANDREW GOULD, 57; Chairman and Chief Executive Officer since February 2003, President and Chief Operating Officer, March 2002 to</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February 2003, Executive Vice President Oilfield Services from January 1999 to March 2002. </w:t>
            </w:r>
            <w:r>
              <w:rPr>
                <w:rFonts w:ascii="Arial" w:cs="Arial" w:eastAsia="Arial" w:hAnsi="Arial"/>
                <w:sz w:val="22"/>
                <w:szCs w:val="22"/>
                <w:color w:val="auto"/>
                <w:vertAlign w:val="superscript"/>
              </w:rPr>
              <w:t>(3)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6"/>
              </w:rPr>
              <w:t>TONY ISAAC, 62; Chief Executive, The BOC Group plc, an international portfolio of companies with three business segments consisting of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rPr>
                <w:sz w:val="20"/>
                <w:szCs w:val="20"/>
                <w:color w:val="auto"/>
              </w:rPr>
            </w:pPr>
            <w:r>
              <w:rPr>
                <w:rFonts w:ascii="Arial" w:cs="Arial" w:eastAsia="Arial" w:hAnsi="Arial"/>
                <w:sz w:val="18"/>
                <w:szCs w:val="18"/>
                <w:color w:val="auto"/>
                <w:w w:val="90"/>
              </w:rPr>
              <w:t>Gases and Related Products, Health Care and Vacuum Technology &amp; Supply Chain Solutions since September 1999, Group Finance Director of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the BOC Group plc from October 1994 to September 1999, Surrey, U.K. </w:t>
            </w:r>
            <w:r>
              <w:rPr>
                <w:rFonts w:ascii="Arial" w:cs="Arial" w:eastAsia="Arial" w:hAnsi="Arial"/>
                <w:sz w:val="22"/>
                <w:szCs w:val="22"/>
                <w:color w:val="auto"/>
                <w:vertAlign w:val="superscript"/>
              </w:rPr>
              <w:t>(4)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5"/>
              </w:rPr>
              <w:t>ADRIAN LAJOUS, 60; Senior Energy Advisor, McKinsey &amp; Company, Houston, Texas, and President of Petrométrica, an energy consulting</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rPr>
                <w:sz w:val="20"/>
                <w:szCs w:val="20"/>
                <w:color w:val="auto"/>
              </w:rPr>
            </w:pPr>
            <w:r>
              <w:rPr>
                <w:rFonts w:ascii="Arial" w:cs="Arial" w:eastAsia="Arial" w:hAnsi="Arial"/>
                <w:sz w:val="18"/>
                <w:szCs w:val="18"/>
                <w:color w:val="auto"/>
                <w:w w:val="92"/>
              </w:rPr>
              <w:t>company, Mexico City, since January 2001; Special Advisor to the President of Mexico (international oil matters), January 2000 to November</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2000; Director and CEO, Pemex, Mexico’s national oil company from 1995 to 1999. </w:t>
            </w:r>
            <w:r>
              <w:rPr>
                <w:rFonts w:ascii="Arial" w:cs="Arial" w:eastAsia="Arial" w:hAnsi="Arial"/>
                <w:sz w:val="22"/>
                <w:szCs w:val="22"/>
                <w:color w:val="auto"/>
                <w:vertAlign w:val="superscript"/>
              </w:rPr>
              <w:t>(5)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4"/>
              </w:rPr>
              <w:t>ANDRE LEVY-LANG, 66; Independent Investor since November 1999; Chairman of the Executive Board of Paribas, an international banking</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group, May 1998 to August 1999, Paris. </w:t>
            </w:r>
            <w:r>
              <w:rPr>
                <w:rFonts w:ascii="Arial" w:cs="Arial" w:eastAsia="Arial" w:hAnsi="Arial"/>
                <w:sz w:val="22"/>
                <w:szCs w:val="22"/>
                <w:color w:val="auto"/>
                <w:vertAlign w:val="superscript"/>
              </w:rPr>
              <w:t>(6)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1992</w:t>
            </w:r>
          </w:p>
        </w:tc>
      </w:tr>
      <w:tr>
        <w:trPr>
          <w:trHeight w:val="216"/>
        </w:trPr>
        <w:tc>
          <w:tcPr>
            <w:tcW w:w="106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DIDIER PRIMAT, 59; President, Primwest Holding N.V., an investment management company, Curaçao, N.A. </w:t>
            </w:r>
            <w:r>
              <w:rPr>
                <w:rFonts w:ascii="Arial" w:cs="Arial" w:eastAsia="Arial" w:hAnsi="Arial"/>
                <w:sz w:val="22"/>
                <w:szCs w:val="22"/>
                <w:color w:val="auto"/>
                <w:vertAlign w:val="superscript"/>
              </w:rPr>
              <w:t>(7)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10640" w:type="dxa"/>
            <w:vAlign w:val="bottom"/>
            <w:gridSpan w:val="3"/>
          </w:tcPr>
          <w:p>
            <w:pPr>
              <w:spacing w:after="0"/>
              <w:rPr>
                <w:sz w:val="20"/>
                <w:szCs w:val="20"/>
                <w:color w:val="auto"/>
              </w:rPr>
            </w:pPr>
            <w:r>
              <w:rPr>
                <w:rFonts w:ascii="Arial" w:cs="Arial" w:eastAsia="Arial" w:hAnsi="Arial"/>
                <w:sz w:val="18"/>
                <w:szCs w:val="18"/>
                <w:color w:val="auto"/>
                <w:w w:val="92"/>
              </w:rPr>
              <w:t>TORE I. SANDVOLD, 56; Chairman, Sandvold Energy AS, an advisory company in the energy business since September 2002, Chairman of the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rPr>
                <w:sz w:val="20"/>
                <w:szCs w:val="20"/>
                <w:color w:val="auto"/>
              </w:rPr>
            </w:pPr>
            <w:r>
              <w:rPr>
                <w:rFonts w:ascii="Arial" w:cs="Arial" w:eastAsia="Arial" w:hAnsi="Arial"/>
                <w:sz w:val="18"/>
                <w:szCs w:val="18"/>
                <w:color w:val="auto"/>
                <w:w w:val="92"/>
              </w:rPr>
              <w:t>Board of Petoro AS, a Norwegian state-owned oil company from May 2001 to September 2002, Director General, Norwegian Ministry of Oil &amp;</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40" w:type="dxa"/>
            <w:vAlign w:val="bottom"/>
            <w:gridSpan w:val="3"/>
          </w:tcPr>
          <w:p>
            <w:pPr>
              <w:ind w:left="220"/>
              <w:spacing w:after="0" w:line="217" w:lineRule="exact"/>
              <w:rPr>
                <w:sz w:val="20"/>
                <w:szCs w:val="20"/>
                <w:color w:val="auto"/>
              </w:rPr>
            </w:pPr>
            <w:r>
              <w:rPr>
                <w:rFonts w:ascii="Arial" w:cs="Arial" w:eastAsia="Arial" w:hAnsi="Arial"/>
                <w:sz w:val="18"/>
                <w:szCs w:val="18"/>
                <w:color w:val="auto"/>
              </w:rPr>
              <w:t xml:space="preserve">Energy from 1990 to May 2001, Oslo, Norway. </w:t>
            </w:r>
            <w:r>
              <w:rPr>
                <w:rFonts w:ascii="Arial" w:cs="Arial" w:eastAsia="Arial" w:hAnsi="Arial"/>
                <w:sz w:val="22"/>
                <w:szCs w:val="22"/>
                <w:color w:val="auto"/>
                <w:vertAlign w:val="superscript"/>
              </w:rPr>
              <w:t>(8)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____</w:t>
            </w:r>
          </w:p>
        </w:tc>
      </w:tr>
      <w:tr>
        <w:trPr>
          <w:trHeight w:val="216"/>
        </w:trPr>
        <w:tc>
          <w:tcPr>
            <w:tcW w:w="106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NICOLAS SEYDOUX, 64; Chairman and Chief Executive Officer, Gaumont, a French filmmaking enterprise, Paris. </w:t>
            </w:r>
            <w:r>
              <w:rPr>
                <w:rFonts w:ascii="Arial" w:cs="Arial" w:eastAsia="Arial" w:hAnsi="Arial"/>
                <w:sz w:val="22"/>
                <w:szCs w:val="22"/>
                <w:color w:val="auto"/>
                <w:vertAlign w:val="superscript"/>
              </w:rPr>
              <w:t>(7)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1982</w:t>
            </w:r>
          </w:p>
        </w:tc>
      </w:tr>
      <w:tr>
        <w:trPr>
          <w:trHeight w:val="286"/>
        </w:trPr>
        <w:tc>
          <w:tcPr>
            <w:tcW w:w="10640" w:type="dxa"/>
            <w:vAlign w:val="bottom"/>
            <w:gridSpan w:val="3"/>
          </w:tcPr>
          <w:p>
            <w:pPr>
              <w:spacing w:after="0"/>
              <w:rPr>
                <w:sz w:val="20"/>
                <w:szCs w:val="20"/>
                <w:color w:val="auto"/>
              </w:rPr>
            </w:pPr>
            <w:r>
              <w:rPr>
                <w:rFonts w:ascii="Arial" w:cs="Arial" w:eastAsia="Arial" w:hAnsi="Arial"/>
                <w:sz w:val="18"/>
                <w:szCs w:val="18"/>
                <w:color w:val="auto"/>
              </w:rPr>
              <w:t xml:space="preserve">LINDA GILLESPIE STUNTZ, 49; Partner, Stuntz, Davis &amp; Staffier P.C., a law firm, Washington, D. C. </w:t>
            </w:r>
            <w:r>
              <w:rPr>
                <w:rFonts w:ascii="Arial" w:cs="Arial" w:eastAsia="Arial" w:hAnsi="Arial"/>
                <w:sz w:val="22"/>
                <w:szCs w:val="22"/>
                <w:color w:val="auto"/>
                <w:vertAlign w:val="superscript"/>
              </w:rPr>
              <w:t>(9)</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1993</w:t>
            </w:r>
          </w:p>
        </w:tc>
      </w:tr>
    </w:tbl>
    <w:p>
      <w:pPr>
        <w:ind w:left="460" w:right="4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Mr. Deutch is a director of Citigroup, a banking and insurance organization, where he serves on its Audit, Public Affairs and Governance and Nominating Committees; Cummins Inc., a manufacturer of diesel engines and components, where he serves on its Technology, Finance and Governance and Nominating Committees; and Raytheon Corporation, a defense technology company, where he serves on its Governance and Nominating and Public Affairs Committees. Mr. Deutch’s adult son, Paul Deutch, is employed by a unit of Schlumberger. The employment of Mr. Deutch’s son was not influenced by John Deutch’s position as a director of the Company.</w:t>
      </w:r>
    </w:p>
    <w:p>
      <w:pPr>
        <w:spacing w:after="0" w:line="64" w:lineRule="exact"/>
        <w:rPr>
          <w:rFonts w:ascii="Arial" w:cs="Arial" w:eastAsia="Arial" w:hAnsi="Arial"/>
          <w:sz w:val="22"/>
          <w:szCs w:val="22"/>
          <w:color w:val="auto"/>
          <w:vertAlign w:val="superscript"/>
        </w:rPr>
      </w:pPr>
    </w:p>
    <w:p>
      <w:pPr>
        <w:ind w:left="460" w:right="120" w:hanging="452"/>
        <w:spacing w:after="0" w:line="241"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Ms. Gorelick is a director of United Technologies Corporation, a provider of high technology products and services to the aerospace industry, where she serves on its Audit, Finance and Public Issues Review Committees and serves on the Harvard Board of Overseers, and the boards of the John D. and Catherine T. MacArthur Foundation, America’s Promise and the Carnegie Endowment for International Peace. She is a member of the National Commission on Terrorism Attacks Upon the United States. Wilmer Cutler Pickering LLP provided legal services to Schlumberger in 2003 but is no longer engaged by the Company.</w:t>
      </w:r>
    </w:p>
    <w:p>
      <w:pPr>
        <w:sectPr>
          <w:pgSz w:w="11900" w:h="16838" w:orient="portrait"/>
          <w:cols w:equalWidth="0" w:num="1">
            <w:col w:w="11420"/>
          </w:cols>
          <w:pgMar w:left="240" w:top="274"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Mr. Gould is a director of Rio Tinto plc and Rio Tinto Limited, a mineral resources group, and is a member of its Audit and Remuneration Committees.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Mr. Isaac is a director of International Power plc and is Chairman of its Audit Committee and serves on its Remuneration and Appointments Committees.</w:t>
      </w:r>
    </w:p>
    <w:p>
      <w:pPr>
        <w:spacing w:after="0" w:line="100" w:lineRule="exact"/>
        <w:rPr>
          <w:sz w:val="20"/>
          <w:szCs w:val="20"/>
          <w:color w:val="auto"/>
        </w:rPr>
      </w:pPr>
    </w:p>
    <w:p>
      <w:pPr>
        <w:sectPr>
          <w:pgSz w:w="11900" w:h="16838" w:orient="portrait"/>
          <w:cols w:equalWidth="0" w:num="2">
            <w:col w:w="140" w:space="320"/>
            <w:col w:w="10960"/>
          </w:cols>
          <w:pgMar w:left="240" w:top="274" w:right="239" w:bottom="1440" w:gutter="0" w:footer="0" w:header="0"/>
          <w:type w:val="continuous"/>
        </w:sectPr>
      </w:pPr>
    </w:p>
    <w:p>
      <w:pPr>
        <w:ind w:left="460" w:right="22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Mr. Lajous is Chairman of Oxford Institute for Energy Studies, Oxford, U.K.; Senior Energy Advisor at Morgan Stanley, London; and a Senior Fellow at the Kennedy School of Government, Harvard University.</w:t>
      </w:r>
    </w:p>
    <w:p>
      <w:pPr>
        <w:spacing w:after="0" w:line="62" w:lineRule="exact"/>
        <w:rPr>
          <w:rFonts w:ascii="Arial" w:cs="Arial" w:eastAsia="Arial" w:hAnsi="Arial"/>
          <w:sz w:val="22"/>
          <w:szCs w:val="22"/>
          <w:color w:val="auto"/>
          <w:vertAlign w:val="superscript"/>
        </w:rPr>
      </w:pPr>
    </w:p>
    <w:p>
      <w:pPr>
        <w:ind w:left="460" w:right="260" w:hanging="452"/>
        <w:spacing w:after="0" w:line="272" w:lineRule="auto"/>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Mr. Lévy-Lang is a director and member of the Compensation Committee of AGF, a French insurance company, a director and member of the Audit and Compensation Committees of SCOR, a French reinsurance company, and a director of Dexia, a Belgian financial services company.</w:t>
      </w: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Mr. Primat and Mr. Seydoux are cousins.</w:t>
      </w:r>
    </w:p>
    <w:p>
      <w:pPr>
        <w:spacing w:after="0" w:line="62" w:lineRule="exact"/>
        <w:rPr>
          <w:rFonts w:ascii="Arial" w:cs="Arial" w:eastAsia="Arial" w:hAnsi="Arial"/>
          <w:sz w:val="22"/>
          <w:szCs w:val="22"/>
          <w:color w:val="auto"/>
          <w:vertAlign w:val="superscript"/>
        </w:rPr>
      </w:pPr>
    </w:p>
    <w:p>
      <w:pPr>
        <w:ind w:left="460" w:right="380" w:hanging="452"/>
        <w:spacing w:after="0" w:line="234"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Mr. Sandvold is a director of Teekay Shipping Corporation, a leading provider of international crude oil and petroleum product transportation services, where he is a member of its Audit Committee and also serves on the boards of Lambert Energy Advisory Ltd., Ruhrgas Norge AS, Energy Policy Foundation of Norway and Stavanger University College.</w:t>
      </w:r>
    </w:p>
    <w:p>
      <w:pPr>
        <w:spacing w:after="0" w:line="63" w:lineRule="exact"/>
        <w:rPr>
          <w:rFonts w:ascii="Arial" w:cs="Arial" w:eastAsia="Arial" w:hAnsi="Arial"/>
          <w:sz w:val="22"/>
          <w:szCs w:val="22"/>
          <w:color w:val="auto"/>
          <w:vertAlign w:val="superscript"/>
        </w:rPr>
      </w:pPr>
    </w:p>
    <w:p>
      <w:pPr>
        <w:ind w:left="460" w:right="660" w:hanging="452"/>
        <w:spacing w:after="0" w:line="272" w:lineRule="auto"/>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Mrs. Stuntz is a director of American Electric Power Company, Inc., an electric and power holding company, where she is Chairman of its Finance Committee and is a member of its Executive, Public Policy, and Corporate Governance Committees; a director of Raytheon Company, a</w:t>
      </w:r>
    </w:p>
    <w:p>
      <w:pPr>
        <w:sectPr>
          <w:pgSz w:w="11900" w:h="16838" w:orient="portrait"/>
          <w:cols w:equalWidth="0" w:num="1">
            <w:col w:w="11420"/>
          </w:cols>
          <w:pgMar w:left="240" w:top="274" w:right="2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74" w:right="239" w:bottom="1440" w:gutter="0" w:footer="0" w:header="0"/>
          <w:type w:val="continuous"/>
        </w:sectPr>
      </w:pPr>
    </w:p>
    <w:bookmarkStart w:id="4" w:name="page5"/>
    <w:bookmarkEnd w:id="4"/>
    <w:p>
      <w:pPr>
        <w:ind w:left="460"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defense technology company, and a director of the Electricity Innovation Institute, a nonprofit public benefit corporation engaged in research and technologies related to electricity production, transmission, distribution and utilization.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Number of</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7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FMR Corp. </w:t>
            </w:r>
            <w:r>
              <w:rPr>
                <w:rFonts w:ascii="Arial" w:cs="Arial" w:eastAsia="Arial" w:hAnsi="Arial"/>
                <w:sz w:val="22"/>
                <w:szCs w:val="22"/>
                <w:color w:val="auto"/>
                <w:vertAlign w:val="superscript"/>
              </w:rPr>
              <w:t>(1)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44,694,259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85 Devonshire Street Boston, Massachusetts 02109</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4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Based on amendment to a Statement on Schedule 13G dated February 17, 2004. Such filing indicates that FMR Corp. has sole voting power with respect to 4,203,618 shares and sole dispositive power with respect to 44,694,259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2004 by all directors and nominees, by each of the named executive officers, and by the directors and executive officers as a group. Except as footnoted, each individual has sole voting and investment power over the shares listed by that individual’s name. As of January 31, 2004, no nominee for director owned more than 1% of the outstanding shares of the Company’s common stock, except Mr. Primat who owned 3.01%. All directors and executive officers as a group owned 3.79% of the outstanding shares of the Company at January 31, 2004.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gridSpan w:val="4"/>
          </w:tcPr>
          <w:p>
            <w:pPr>
              <w:ind w:left="580"/>
              <w:spacing w:after="0"/>
              <w:rPr>
                <w:sz w:val="20"/>
                <w:szCs w:val="20"/>
                <w:color w:val="auto"/>
              </w:rPr>
            </w:pPr>
            <w:r>
              <w:rPr>
                <w:rFonts w:ascii="Arial" w:cs="Arial" w:eastAsia="Arial" w:hAnsi="Arial"/>
                <w:sz w:val="14"/>
                <w:szCs w:val="14"/>
                <w:b w:val="1"/>
                <w:bCs w:val="1"/>
                <w:color w:val="auto"/>
              </w:rPr>
              <w:t>Name</w:t>
            </w:r>
          </w:p>
        </w:tc>
        <w:tc>
          <w:tcPr>
            <w:tcW w:w="256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3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111,920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 Euan Baird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1,939,054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Deutch</w:t>
            </w:r>
          </w:p>
        </w:tc>
        <w:tc>
          <w:tcPr>
            <w:tcW w:w="3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Xavier Flinois</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48,337</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622,670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1,300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André Lévy-Lang</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Jean-Marc Perraud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130,832</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Didier Primat</w:t>
            </w:r>
          </w:p>
        </w:tc>
        <w:tc>
          <w:tcPr>
            <w:tcW w:w="3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17,658,128</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3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106,757</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3560" w:type="dxa"/>
            <w:vAlign w:val="bottom"/>
            <w:gridSpan w:val="3"/>
          </w:tcPr>
          <w:p>
            <w:pPr>
              <w:jc w:val="right"/>
              <w:ind w:right="20"/>
              <w:spacing w:after="0"/>
              <w:rPr>
                <w:sz w:val="20"/>
                <w:szCs w:val="20"/>
                <w:color w:val="auto"/>
              </w:rPr>
            </w:pPr>
            <w:r>
              <w:rPr>
                <w:rFonts w:ascii="Arial" w:cs="Arial" w:eastAsia="Arial" w:hAnsi="Arial"/>
                <w:sz w:val="18"/>
                <w:szCs w:val="18"/>
                <w:color w:val="auto"/>
              </w:rPr>
              <w:t>253,024</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3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Sven Ullring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(29 persons)</w:t>
            </w:r>
          </w:p>
        </w:tc>
        <w:tc>
          <w:tcPr>
            <w:tcW w:w="3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22,232,751</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108,533 shares which may be acquired by Mr. Ayat within 60 days through the exercise of stock options.</w:t>
      </w:r>
    </w:p>
    <w:p>
      <w:pPr>
        <w:spacing w:after="0" w:line="62" w:lineRule="exact"/>
        <w:rPr>
          <w:rFonts w:ascii="Arial" w:cs="Arial" w:eastAsia="Arial" w:hAnsi="Arial"/>
          <w:sz w:val="22"/>
          <w:szCs w:val="22"/>
          <w:color w:val="auto"/>
          <w:vertAlign w:val="superscript"/>
        </w:rPr>
      </w:pPr>
    </w:p>
    <w:p>
      <w:pPr>
        <w:ind w:left="460" w:right="60" w:hanging="452"/>
        <w:spacing w:after="0" w:line="22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696,955 shares held in a revocable grantor trust and 1,239,099 shares, which may be acquired by Mr. Baird within 60 days through the exercise of stock options.</w:t>
      </w:r>
    </w:p>
    <w:p>
      <w:pPr>
        <w:sectPr>
          <w:pgSz w:w="11900" w:h="16838" w:orient="portrait"/>
          <w:cols w:equalWidth="0" w:num="1">
            <w:col w:w="11420"/>
          </w:cols>
          <w:pgMar w:left="240" w:top="280"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600 shares owned by Mr. Deutch’s wife, as to which he disclaims beneficial ownership.</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Includes 87,710 shares which may be acquired by Mr. Flinois within 60 days through the exercise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Includes 510,790 shares which may be acquired by Mr. Gould within 60 days through the exercise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Held in a limited liability company in which Mr. Lajous has an indirect interest.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Includes 115,633 shares which may be acquired by Mr. Perraud within 60 days through the exercise of stock options.</w:t>
      </w:r>
    </w:p>
    <w:p>
      <w:pPr>
        <w:spacing w:after="0" w:line="111" w:lineRule="exact"/>
        <w:rPr>
          <w:sz w:val="20"/>
          <w:szCs w:val="20"/>
          <w:color w:val="auto"/>
        </w:rPr>
      </w:pPr>
    </w:p>
    <w:p>
      <w:pPr>
        <w:sectPr>
          <w:pgSz w:w="11900" w:h="16838" w:orient="portrait"/>
          <w:cols w:equalWidth="0" w:num="2">
            <w:col w:w="140" w:space="320"/>
            <w:col w:w="10960"/>
          </w:cols>
          <w:pgMar w:left="240" w:top="280" w:right="239" w:bottom="1440" w:gutter="0" w:footer="0" w:header="0"/>
          <w:type w:val="continuous"/>
        </w:sectPr>
      </w:pPr>
    </w:p>
    <w:p>
      <w:pPr>
        <w:ind w:left="460" w:right="24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Includes 560,000 shares as to which Mr. Primat shares investment power and 4,499,008 shares held for account of the minor children of Mr. Primat as to which he has joint voting and investment power.</w:t>
      </w:r>
    </w:p>
    <w:p>
      <w:pPr>
        <w:sectPr>
          <w:pgSz w:w="11900" w:h="16838" w:orient="portrait"/>
          <w:cols w:equalWidth="0" w:num="1">
            <w:col w:w="11420"/>
          </w:cols>
          <w:pgMar w:left="240" w:top="280" w:right="2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101,257 shares which may be acquired by Mr. Sbiti through the exercise of 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Includes 15,364 shares owned by Mr. Seydoux’s wife, as to which he shares voting and investment power.</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Includes 3,000 shares as to which Mrs. Stuntz shares voting power and 300 shares owned by a minor child in a trust for which Mrs. Stuntz serves as trustee.</w:t>
      </w:r>
    </w:p>
    <w:p>
      <w:pPr>
        <w:spacing w:after="0" w:line="111" w:lineRule="exact"/>
        <w:rPr>
          <w:sz w:val="20"/>
          <w:szCs w:val="20"/>
          <w:color w:val="auto"/>
        </w:rPr>
      </w:pPr>
    </w:p>
    <w:p>
      <w:pPr>
        <w:sectPr>
          <w:pgSz w:w="11900" w:h="16838" w:orient="portrait"/>
          <w:cols w:equalWidth="0" w:num="2">
            <w:col w:w="200" w:space="260"/>
            <w:col w:w="10960"/>
          </w:cols>
          <w:pgMar w:left="240" w:top="280" w:right="239" w:bottom="1440" w:gutter="0" w:footer="0" w:header="0"/>
          <w:type w:val="continuous"/>
        </w:sectPr>
      </w:pPr>
    </w:p>
    <w:p>
      <w:pPr>
        <w:ind w:left="460" w:hanging="452"/>
        <w:spacing w:after="0"/>
        <w:tabs>
          <w:tab w:leader="none" w:pos="4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Includes 3,201,109 shares which may be acquired by executive officers as a group within 60 days through the exercise of stock options.</w:t>
      </w:r>
    </w:p>
    <w:p>
      <w:pPr>
        <w:sectPr>
          <w:pgSz w:w="11900" w:h="16838" w:orient="portrait"/>
          <w:cols w:equalWidth="0" w:num="1">
            <w:col w:w="11420"/>
          </w:cols>
          <w:pgMar w:left="240" w:top="280" w:right="2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2003 the Board of Directors held six meetings. Schlumberger has an Audit, a Compensation, a Nominating and Governance, a Finance, and a Technology Committee. During 2003, the Audit Committee met five times; the Compensation Committee met five times; the Finance Committee met once; the Nominating and Governance Committee met three times; and the Technology Committee met twice. All incumbent director nominees attended 100% of the aggregate of the meetings of the Board and of the committees of the Board on which such directors served except Didier Primat, who attended 82% of the meetings.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 of each Committee receives an annual fee of $20,000, rather than the $10,000 annual fee for committee service. From 2001 through 2003, each non-employee director received an annual stock award of 500 shares of Schlumberger common stock. If stockholders approve the adoption of the 2004 Stock and Deferral Plan for Non-Employee Directors at the meeting, each non-employee director will receive an annual stock award of 2,000 shares of Schlumberger common stock or units representing the right to receive those shares. See Item 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5,000 shares or 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Audit Committee is comprised of five independent directors who meet the independence and other requirements of the New York Stock Exchange’s listing standards. The Audit Committee assists the Board in its oversight of the integrity of the Company’s financial statements, legal and regulatory compliance, the independent auditor’s qualifications and independence, and the performance of Schlumberger’s internal audit function and of the independent auditors. The Audit Committee recommends for approval by the stockholders, a firm of independent certified public accountants whose duty is to examine the Schlumberger consolidated financial statements. The Audit Committee has the sole authority and responsibility to appoint, subject to stockholder approval, compensate and oversee the independent auditors, and to pre-approve all engagements, fees and terms for audit and other services provided by the Company’s independent auditors. The independent auditors are accountable to the Audit Committee. Mrs. Stuntz is Chair of the Audit Committee. Ms. Gorelick and Messrs. Isaac, Lévy-Lang and Primat are the other members. The Board of Directors has determined that Messrs. Isaac and Lévy-Lang, who are independent under applicable New York Stock Exchange listing standards, are “audit committee financial experts” as defined by applicable SEC rules. The Audit Committee operates pursuant to a written charter. A copy of the Audit Committee Charter, which was revised in January 2004, has been attached to this Proxy Statement as Appendix 1 and is available on the Company’s website at http://investorcenter.slb.com.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Compensation Committee is comprised of four independent directors who meet the independence and other requirements of the New York Stock Exchange’s listing standards. The Committee assists the Board in discharging its responsibilities with regard to executive compensation and oversight of the general compensation philosophy of the Company and prepares a report on executive compensation to the Company’s 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Mr. Ullring is Chair of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6" w:name="page7"/>
    <w:bookmarkEnd w:id="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Ms. Gorelick and Messrs. Lajous and Seydoux are the other members. The Compensation Committee operates pursuant to a written charter. A copy of the Compensation Committee Charter, which was revised in January 2004, has been attached to this Proxy Statement as Appendix 2 and is available on the Company’s website at http://investorcenter.slb.com.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Governance Committee is comprised of four independent directors, as defined by the New York Stock Exchange’s listing standards, and assists the Board in identifying individuals qualified to become directors under criteria approved by the Board. The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and recommending to the Board any improvements to the Company’s corporate governance guidelines as it deems appropriate. The Nominating and Governance Committee also recommends directors to serve on and to chair the Board Committees and leads the Board’s appraisal process. Mr. Seydoux is Chair of the Nominating and Governance Committee, and Mrs. Stuntz and Messrs. Deutch and Lajous are the other members. Mr. Gould resigned from the Committee on January 21, 2004. The Nominating and Governance Committee operates pursuant to a written charter. A copy of the Nominating and Governance Committee Charter, which was revised in January 2004, has been attached to this Proxy Statement as Appendix 3 and is available on the Company’s website at http://investorcenter.slb.com.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83" w:lineRule="exact"/>
        <w:rPr>
          <w:sz w:val="20"/>
          <w:szCs w:val="20"/>
          <w:color w:val="auto"/>
        </w:rPr>
      </w:pPr>
    </w:p>
    <w:p>
      <w:pPr>
        <w:jc w:val="both"/>
        <w:ind w:right="300" w:firstLine="456"/>
        <w:spacing w:after="0" w:line="335" w:lineRule="auto"/>
        <w:rPr>
          <w:sz w:val="20"/>
          <w:szCs w:val="20"/>
          <w:color w:val="auto"/>
        </w:rPr>
      </w:pPr>
      <w:r>
        <w:rPr>
          <w:rFonts w:ascii="Arial" w:cs="Arial" w:eastAsia="Arial" w:hAnsi="Arial"/>
          <w:sz w:val="15"/>
          <w:szCs w:val="15"/>
          <w:color w:val="auto"/>
        </w:rPr>
        <w:t>The Finance Committee operates under a charter approved by the Board in April 2000 and advises on various matters, including dividend and financial policies and the investment and reinvestment of funds. The Finance Committee periodically reviews the administration of the Schlumberger employee benefit plans and those of its subsidiaries. Mr. Lévy-Lang is Chair of the Finance Committee and Messrs. Gould, Lajous and Ullring are the other members.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Committee</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Technology Committee operates under a charter approved by the Board in July 2000 and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Lévy-Lang is also a member.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Matters</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of Directors had determined that each director and nominee is independent, as defined for purposes of the New York Stock Exchange’s listing standards, other than Mr. Gould, who is Chairman and Chief Executive Officer of Schlumberger. In making this determination, the Board affirmatively determined that each independent director or nominee had no material relationship with Schlumberger or management, and that none of the express disqualifications contained in the NYSE rules applied to any of them. As contemplated by NYSE rules, the Board has adopted categorical standards to assist it in making independence determinations, under which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 w:name="page8"/>
    <w:bookmarkEnd w:id="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relationships that fall within the categorical standard are not required to be disclosed in the proxy statement and their impact on independence need not be separately discussed. The Board, however, considers all material relationships with each director in making its independence determinations. A relationship falls within the categorical standard if it:</w:t>
      </w:r>
    </w:p>
    <w:p>
      <w:pPr>
        <w:spacing w:after="0" w:line="46" w:lineRule="exact"/>
        <w:rPr>
          <w:sz w:val="20"/>
          <w:szCs w:val="20"/>
          <w:color w:val="auto"/>
        </w:rPr>
      </w:pPr>
    </w:p>
    <w:p>
      <w:pPr>
        <w:ind w:left="800" w:right="98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 2(b) of the NYSE Listed Company Manual, but under those rules does not preclude a determination of independence; or</w:t>
      </w:r>
    </w:p>
    <w:p>
      <w:pPr>
        <w:spacing w:after="0" w:line="37"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None of the independent directors and nominees had relationships relevant to an independence determination that were outside the scope of the Board’s categorical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83"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securities holders is the same as its process for unsolicited recommendations from other sources. In the case of Mr. Sandvold, who is being nominated as a director for the first time this year, a non-management director suggested his name to the Committee as a candidate for nomination. All potential nominees must be considered by the Committee before being contacted by other Company directors or officers as possible nominees and before having their names formally considered by the full Board. The Nominating and Governance Committee will consider nominees recommended by securities holders who meet the eligibility requirements for submitting stockholder proposals for inclusion in the next proxy statement and submit their recommendations in writing to Chair, Nominating and Governance Committee, care of the Secretary, Schlumberger Limited, 153 East 53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securities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1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or other third parties that could present realistic possibilities of conflict of interest or legal issues. The Nominating and Governance Committee also believes that the Board membership should include appropriate expertise, and reflect gender, cultural and geographical diversity as well as an appropriate mix of inside and independent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Board Members</w:t>
      </w:r>
    </w:p>
    <w:p>
      <w:pPr>
        <w:spacing w:after="0" w:line="83"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Board has established a process for securities holders to send communications, other than sales-related communications, to one or more of its members. Any such communications should be sent by letter addressed to the member or members of the Board to whom the communication is directed, care of the Secretary, Schlumberger Limited, 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 All such communications will be forwarded to the Board member or members specified.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Presiding at Executive Sessions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they are welcome to attend, and that the Company will make all appropriate arrangements for directors that choose to attend. In 2003, no director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http://investorcenter.slb.com.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2003, the Audit Committee periodically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discussed with the Company’s senior management and independent auditors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other provisions of the Sarbanes-Oxley Act of 2002 and rules adopted or proposed to be adopted by the Securities and Exchange Commission and the New York Stock Exchange.</w:t>
      </w:r>
    </w:p>
    <w:p>
      <w:pPr>
        <w:spacing w:after="0" w:line="10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Company’s independent auditors provided the Audit Committee with written disclosures required by Independence Standards Board Standard No. 1 (Independence Discussions with Audit Committees), and the Committee discussed PricewaterhouseCoopers’ independence with them.</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2003 filed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André Lévy-Lang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220" w:space="720"/>
            <w:col w:w="548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7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Certain Other Compensation</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shows the compensation paid by the Company and its subsidiaries to the Chief Executive Officer, the former Chief Executive Officer and to the next four most highly compensated executive officers for the fiscal years ending December 31, 2003, 2002 and 2001.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Long Term Compensation</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Annual Compensation</w:t>
            </w:r>
          </w:p>
        </w:tc>
        <w:tc>
          <w:tcPr>
            <w:tcW w:w="4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All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Underlying</w:t>
            </w:r>
          </w:p>
        </w:tc>
        <w:tc>
          <w:tcPr>
            <w:tcW w:w="460" w:type="dxa"/>
            <w:vAlign w:val="bottom"/>
          </w:tcPr>
          <w:p>
            <w:pPr>
              <w:spacing w:after="0"/>
              <w:rPr>
                <w:sz w:val="12"/>
                <w:szCs w:val="12"/>
                <w:color w:val="auto"/>
              </w:rPr>
            </w:pPr>
          </w:p>
        </w:tc>
        <w:tc>
          <w:tcPr>
            <w:tcW w:w="1220" w:type="dxa"/>
            <w:vAlign w:val="bottom"/>
            <w:gridSpan w:val="2"/>
          </w:tcPr>
          <w:p>
            <w:pPr>
              <w:jc w:val="center"/>
              <w:ind w:right="20"/>
              <w:spacing w:after="0" w:line="144"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98"/>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180" w:type="dxa"/>
            <w:vAlign w:val="bottom"/>
          </w:tcPr>
          <w:p>
            <w:pPr>
              <w:spacing w:after="0"/>
              <w:rPr>
                <w:sz w:val="24"/>
                <w:szCs w:val="24"/>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Year</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xml:space="preserve">Salary ($) </w:t>
            </w:r>
            <w:r>
              <w:rPr>
                <w:rFonts w:ascii="Arial" w:cs="Arial" w:eastAsia="Arial" w:hAnsi="Arial"/>
                <w:sz w:val="22"/>
                <w:szCs w:val="22"/>
                <w:b w:val="1"/>
                <w:bCs w:val="1"/>
                <w:color w:val="auto"/>
                <w:w w:val="89"/>
                <w:vertAlign w:val="superscript"/>
              </w:rPr>
              <w:t>(5)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5"/>
              </w:rPr>
              <w:t xml:space="preserve">Bonus ($) </w:t>
            </w:r>
            <w:r>
              <w:rPr>
                <w:rFonts w:ascii="Arial" w:cs="Arial" w:eastAsia="Arial" w:hAnsi="Arial"/>
                <w:sz w:val="22"/>
                <w:szCs w:val="22"/>
                <w:b w:val="1"/>
                <w:bCs w:val="1"/>
                <w:color w:val="auto"/>
                <w:w w:val="85"/>
                <w:vertAlign w:val="superscript"/>
              </w:rPr>
              <w:t>(5)</w:t>
            </w:r>
          </w:p>
        </w:tc>
        <w:tc>
          <w:tcPr>
            <w:tcW w:w="4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 xml:space="preserve">Options (#) </w:t>
            </w:r>
            <w:r>
              <w:rPr>
                <w:rFonts w:ascii="Arial" w:cs="Arial" w:eastAsia="Arial" w:hAnsi="Arial"/>
                <w:sz w:val="22"/>
                <w:szCs w:val="22"/>
                <w:b w:val="1"/>
                <w:bCs w:val="1"/>
                <w:color w:val="auto"/>
                <w:w w:val="83"/>
                <w:vertAlign w:val="superscript"/>
              </w:rPr>
              <w:t>(6)</w:t>
            </w:r>
          </w:p>
        </w:tc>
        <w:tc>
          <w:tcPr>
            <w:tcW w:w="460" w:type="dxa"/>
            <w:vAlign w:val="bottom"/>
          </w:tcPr>
          <w:p>
            <w:pPr>
              <w:spacing w:after="0"/>
              <w:rPr>
                <w:sz w:val="24"/>
                <w:szCs w:val="2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 xml:space="preserve">Compensation ($) </w:t>
            </w:r>
            <w:r>
              <w:rPr>
                <w:rFonts w:ascii="Arial" w:cs="Arial" w:eastAsia="Arial" w:hAnsi="Arial"/>
                <w:sz w:val="22"/>
                <w:szCs w:val="22"/>
                <w:b w:val="1"/>
                <w:bCs w:val="1"/>
                <w:color w:val="auto"/>
                <w:w w:val="85"/>
                <w:vertAlign w:val="superscript"/>
              </w:rPr>
              <w:t>(7)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A. Gould </w:t>
            </w:r>
            <w:r>
              <w:rPr>
                <w:rFonts w:ascii="Arial" w:cs="Arial" w:eastAsia="Arial" w:hAnsi="Arial"/>
                <w:sz w:val="22"/>
                <w:szCs w:val="22"/>
                <w:color w:val="auto"/>
                <w:vertAlign w:val="superscript"/>
              </w:rPr>
              <w:t>(1) (2)</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1,500,000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and</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966,667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Executive Officer</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2001</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1,120,000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 xml:space="preserve">D. E. Baird </w:t>
            </w:r>
            <w:r>
              <w:rPr>
                <w:rFonts w:ascii="Arial" w:cs="Arial" w:eastAsia="Arial" w:hAnsi="Arial"/>
                <w:sz w:val="22"/>
                <w:szCs w:val="22"/>
                <w:color w:val="auto"/>
                <w:vertAlign w:val="superscript"/>
              </w:rPr>
              <w:t>(1)</w:t>
            </w:r>
          </w:p>
        </w:tc>
        <w:tc>
          <w:tcPr>
            <w:tcW w:w="1980" w:type="dxa"/>
            <w:vAlign w:val="bottom"/>
            <w:gridSpan w:val="3"/>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125,000</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224,893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former Chairman and</w:t>
            </w:r>
          </w:p>
        </w:tc>
        <w:tc>
          <w:tcPr>
            <w:tcW w:w="1980" w:type="dxa"/>
            <w:vAlign w:val="bottom"/>
            <w:gridSpan w:val="3"/>
          </w:tcPr>
          <w:p>
            <w:pPr>
              <w:jc w:val="center"/>
              <w:ind w:left="632"/>
              <w:spacing w:after="0"/>
              <w:rPr>
                <w:sz w:val="20"/>
                <w:szCs w:val="20"/>
                <w:color w:val="auto"/>
              </w:rPr>
            </w:pPr>
            <w:r>
              <w:rPr>
                <w:rFonts w:ascii="Arial" w:cs="Arial" w:eastAsia="Arial" w:hAnsi="Arial"/>
                <w:sz w:val="18"/>
                <w:szCs w:val="18"/>
                <w:color w:val="auto"/>
                <w:w w:val="84"/>
              </w:rPr>
              <w:t>2002</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1,500,000</w:t>
            </w: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209,500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w:t>
            </w:r>
          </w:p>
        </w:tc>
        <w:tc>
          <w:tcPr>
            <w:tcW w:w="1980" w:type="dxa"/>
            <w:vAlign w:val="bottom"/>
            <w:gridSpan w:val="3"/>
          </w:tcPr>
          <w:p>
            <w:pPr>
              <w:jc w:val="center"/>
              <w:ind w:left="632"/>
              <w:spacing w:after="0"/>
              <w:rPr>
                <w:sz w:val="20"/>
                <w:szCs w:val="20"/>
                <w:color w:val="auto"/>
              </w:rPr>
            </w:pPr>
            <w:r>
              <w:rPr>
                <w:rFonts w:ascii="Arial" w:cs="Arial" w:eastAsia="Arial" w:hAnsi="Arial"/>
                <w:sz w:val="18"/>
                <w:szCs w:val="18"/>
                <w:color w:val="auto"/>
                <w:w w:val="84"/>
              </w:rPr>
              <w:t>2001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C. Sbiti </w:t>
            </w:r>
            <w:r>
              <w:rPr>
                <w:rFonts w:ascii="Arial" w:cs="Arial" w:eastAsia="Arial" w:hAnsi="Arial"/>
                <w:sz w:val="22"/>
                <w:szCs w:val="22"/>
                <w:color w:val="auto"/>
                <w:vertAlign w:val="superscript"/>
              </w:rPr>
              <w:t>(3)</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559,284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629,195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w:t>
            </w: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 xml:space="preserve">X. Flinois </w:t>
            </w:r>
            <w:r>
              <w:rPr>
                <w:rFonts w:ascii="Arial" w:cs="Arial" w:eastAsia="Arial" w:hAnsi="Arial"/>
                <w:sz w:val="22"/>
                <w:szCs w:val="22"/>
                <w:color w:val="auto"/>
                <w:vertAlign w:val="superscript"/>
              </w:rPr>
              <w:t>(4)</w:t>
            </w:r>
          </w:p>
        </w:tc>
        <w:tc>
          <w:tcPr>
            <w:tcW w:w="1980" w:type="dxa"/>
            <w:vAlign w:val="bottom"/>
            <w:gridSpan w:val="3"/>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520,325</w:t>
            </w:r>
          </w:p>
        </w:tc>
        <w:tc>
          <w:tcPr>
            <w:tcW w:w="780" w:type="dxa"/>
            <w:vAlign w:val="bottom"/>
          </w:tcPr>
          <w:p>
            <w:pPr>
              <w:jc w:val="right"/>
              <w:spacing w:after="0"/>
              <w:rPr>
                <w:sz w:val="20"/>
                <w:szCs w:val="20"/>
                <w:color w:val="auto"/>
              </w:rPr>
            </w:pPr>
            <w:r>
              <w:rPr>
                <w:rFonts w:ascii="Arial" w:cs="Arial" w:eastAsia="Arial" w:hAnsi="Arial"/>
                <w:sz w:val="18"/>
                <w:szCs w:val="18"/>
                <w:color w:val="auto"/>
              </w:rPr>
              <w:t>472,195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w:t>
            </w:r>
          </w:p>
        </w:tc>
        <w:tc>
          <w:tcPr>
            <w:tcW w:w="198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4"/>
              </w:rPr>
              <w:t>2002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430,395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and Chief Financial Officer</w:t>
            </w: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 xml:space="preserve">S. Ayat </w:t>
            </w:r>
            <w:r>
              <w:rPr>
                <w:rFonts w:ascii="Arial" w:cs="Arial" w:eastAsia="Arial" w:hAnsi="Arial"/>
                <w:sz w:val="22"/>
                <w:szCs w:val="22"/>
                <w:color w:val="auto"/>
                <w:vertAlign w:val="superscript"/>
              </w:rPr>
              <w:t>(3)</w:t>
            </w:r>
          </w:p>
        </w:tc>
        <w:tc>
          <w:tcPr>
            <w:tcW w:w="1980" w:type="dxa"/>
            <w:vAlign w:val="bottom"/>
            <w:gridSpan w:val="3"/>
          </w:tcPr>
          <w:p>
            <w:pPr>
              <w:jc w:val="center"/>
              <w:ind w:left="632"/>
              <w:spacing w:after="0"/>
              <w:rPr>
                <w:sz w:val="20"/>
                <w:szCs w:val="20"/>
                <w:color w:val="auto"/>
              </w:rPr>
            </w:pPr>
            <w:r>
              <w:rPr>
                <w:rFonts w:ascii="Arial" w:cs="Arial" w:eastAsia="Arial" w:hAnsi="Arial"/>
                <w:sz w:val="18"/>
                <w:szCs w:val="18"/>
                <w:color w:val="auto"/>
                <w:w w:val="84"/>
              </w:rPr>
              <w:t>2003</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391,499</w:t>
            </w:r>
          </w:p>
        </w:tc>
        <w:tc>
          <w:tcPr>
            <w:tcW w:w="780" w:type="dxa"/>
            <w:vAlign w:val="bottom"/>
          </w:tcPr>
          <w:p>
            <w:pPr>
              <w:jc w:val="right"/>
              <w:spacing w:after="0"/>
              <w:rPr>
                <w:sz w:val="20"/>
                <w:szCs w:val="20"/>
                <w:color w:val="auto"/>
              </w:rPr>
            </w:pPr>
            <w:r>
              <w:rPr>
                <w:rFonts w:ascii="Arial" w:cs="Arial" w:eastAsia="Arial" w:hAnsi="Arial"/>
                <w:sz w:val="18"/>
                <w:szCs w:val="18"/>
                <w:color w:val="auto"/>
              </w:rPr>
              <w:t>274,049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28,669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Vice President, Controller and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color w:val="auto"/>
              </w:rPr>
              <w:t>Business Processes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Mr. Baird retired on February 1, 2003 and Mr. Gould became Chairman and Chief Executive Officer on that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Mr. Gould was President and Chief Operating Officer until February 2003.</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Messrs. Sbiti and Ayat are paid in Euros.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Mr. Flinois was paid in Pounds Sterling. In connection with the sale of the Sema business, Mr. Flinois left the company.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5"/>
          <w:szCs w:val="15"/>
          <w:color w:val="auto"/>
        </w:rPr>
        <w:t>Salary and bonus amounts include cash compensation earned and received and any amounts deferred under the Schlumberger Restoration Savings Plan.</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Company has granted no stock appreciation rights or restricted stock.</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2003 amounts disclosed in this column include:</w:t>
      </w:r>
    </w:p>
    <w:p>
      <w:pPr>
        <w:spacing w:after="0" w:line="77" w:lineRule="exact"/>
        <w:rPr>
          <w:sz w:val="20"/>
          <w:szCs w:val="20"/>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contributions to Schlumberger Profit Sharing Plans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contributions to the International Staff Profit Sharing Plan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unfunded credits to the Schlumberger Supplementary Benefit Plan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unfunded matching credits to the Schlumberger Restoration Savings Plan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unused vacation payout</w:t>
      </w:r>
    </w:p>
    <w:p>
      <w:pPr>
        <w:spacing w:after="0" w:line="153" w:lineRule="exact"/>
        <w:rPr>
          <w:sz w:val="20"/>
          <w:szCs w:val="20"/>
          <w:color w:val="auto"/>
        </w:rPr>
      </w:pPr>
    </w:p>
    <w:p>
      <w:pPr>
        <w:sectPr>
          <w:pgSz w:w="11900" w:h="16838" w:orient="portrait"/>
          <w:cols w:equalWidth="0" w:num="2">
            <w:col w:w="100" w:space="354"/>
            <w:col w:w="10966"/>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(b)($)</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w:t>
            </w: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5"/>
                <w:szCs w:val="15"/>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Mr. Gould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Mr. Baird</w:t>
            </w:r>
          </w:p>
        </w:tc>
        <w:tc>
          <w:tcPr>
            <w:tcW w:w="58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11,250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Mr. Sbiti</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49,452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Mr. Flinois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Mr. Perraud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13,020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Mr. Ayat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28,669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The Company’s matching credits under the Schlumberger Restoration Savings Plan are vested one-third at three years of service, two-thirds at four years, fully at five years or upon reaching the earliest of age 60, death or change of control. The amounts accumulated under the Schlumberger Restoration Savings Plan and the International Staff Profit Sharing Plan will be paid upon the satisfaction of certain conditions on termination or retirement, death, disability or change in control.</w:t>
      </w:r>
    </w:p>
    <w:p>
      <w:pPr>
        <w:sectPr>
          <w:pgSz w:w="11900" w:h="16838" w:orient="portrait"/>
          <w:cols w:equalWidth="0" w:num="1">
            <w:col w:w="11420"/>
          </w:cols>
          <w:pgMar w:left="240" w:top="274" w:right="23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table sets forth certain information concerning options granted during 2003 to the named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w w:val="94"/>
              </w:rPr>
              <w:t>Individual Grants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1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Assumed Annual Rates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 Appreciation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1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for Option Term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380" w:type="dxa"/>
            <w:vAlign w:val="bottom"/>
          </w:tcPr>
          <w:p>
            <w:pPr>
              <w:spacing w:after="0"/>
              <w:rPr>
                <w:sz w:val="9"/>
                <w:szCs w:val="9"/>
                <w:color w:val="auto"/>
              </w:rPr>
            </w:pPr>
          </w:p>
        </w:tc>
        <w:tc>
          <w:tcPr>
            <w:tcW w:w="13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9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4"/>
                <w:szCs w:val="4"/>
                <w:color w:val="auto"/>
              </w:rPr>
            </w:pPr>
          </w:p>
        </w:tc>
        <w:tc>
          <w:tcPr>
            <w:tcW w:w="13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9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rPr>
              <w:t>Expiration</w:t>
            </w: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 xml:space="preserve">Granted (#) </w:t>
            </w:r>
            <w:r>
              <w:rPr>
                <w:rFonts w:ascii="Arial" w:cs="Arial" w:eastAsia="Arial" w:hAnsi="Arial"/>
                <w:sz w:val="22"/>
                <w:szCs w:val="22"/>
                <w:color w:val="auto"/>
                <w:w w:val="87"/>
                <w:vertAlign w:val="superscript"/>
              </w:rPr>
              <w:t>(1)</w:t>
            </w:r>
          </w:p>
        </w:tc>
        <w:tc>
          <w:tcPr>
            <w:tcW w:w="38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Fiscal Year</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 xml:space="preserve">($/SH) </w:t>
            </w:r>
            <w:r>
              <w:rPr>
                <w:rFonts w:ascii="Arial" w:cs="Arial" w:eastAsia="Arial" w:hAnsi="Arial"/>
                <w:sz w:val="22"/>
                <w:szCs w:val="22"/>
                <w:color w:val="auto"/>
                <w:w w:val="86"/>
                <w:vertAlign w:val="superscript"/>
              </w:rPr>
              <w:t>(2)</w:t>
            </w: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right"/>
              <w:ind w:right="121"/>
              <w:spacing w:after="0"/>
              <w:rPr>
                <w:sz w:val="20"/>
                <w:szCs w:val="20"/>
                <w:color w:val="auto"/>
              </w:rPr>
            </w:pPr>
            <w:r>
              <w:rPr>
                <w:rFonts w:ascii="Arial" w:cs="Arial" w:eastAsia="Arial" w:hAnsi="Arial"/>
                <w:sz w:val="14"/>
                <w:szCs w:val="14"/>
                <w:b w:val="1"/>
                <w:bCs w:val="1"/>
                <w:color w:val="auto"/>
              </w:rPr>
              <w:t>5%($)</w:t>
            </w:r>
          </w:p>
        </w:tc>
        <w:tc>
          <w:tcPr>
            <w:tcW w:w="440" w:type="dxa"/>
            <w:vAlign w:val="bottom"/>
          </w:tcPr>
          <w:p>
            <w:pPr>
              <w:spacing w:after="0"/>
              <w:rPr>
                <w:sz w:val="24"/>
                <w:szCs w:val="24"/>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3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5"/>
              </w:rPr>
              <w:t>8.67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41.295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01/15/2013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7,791,061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19,744,078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 E. Baird</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360" w:type="dxa"/>
            <w:vAlign w:val="bottom"/>
            <w:gridSpan w:val="2"/>
          </w:tcPr>
          <w:p>
            <w:pPr>
              <w:jc w:val="center"/>
              <w:ind w:left="187"/>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3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5"/>
              </w:rPr>
              <w:t>2.89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41.295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01/15/2013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2,597,020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X. Flinois</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360" w:type="dxa"/>
            <w:vAlign w:val="bottom"/>
            <w:gridSpan w:val="2"/>
          </w:tcPr>
          <w:p>
            <w:pPr>
              <w:jc w:val="center"/>
              <w:ind w:left="187"/>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5"/>
              </w:rPr>
              <w:t>1.73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46.020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07/16/2013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1,736,504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jc w:val="center"/>
              <w:ind w:left="972"/>
              <w:spacing w:after="0"/>
              <w:rPr>
                <w:sz w:val="20"/>
                <w:szCs w:val="20"/>
                <w:color w:val="auto"/>
              </w:rPr>
            </w:pPr>
            <w:r>
              <w:rPr>
                <w:rFonts w:ascii="Arial" w:cs="Arial" w:eastAsia="Arial" w:hAnsi="Arial"/>
                <w:sz w:val="18"/>
                <w:szCs w:val="18"/>
                <w:color w:val="auto"/>
                <w:w w:val="85"/>
              </w:rPr>
              <w:t>0.87</w:t>
            </w:r>
          </w:p>
        </w:tc>
        <w:tc>
          <w:tcPr>
            <w:tcW w:w="3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41.295</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01/15/2013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779,106</w:t>
            </w:r>
          </w:p>
        </w:tc>
        <w:tc>
          <w:tcPr>
            <w:tcW w:w="900" w:type="dxa"/>
            <w:vAlign w:val="bottom"/>
          </w:tcPr>
          <w:p>
            <w:pPr>
              <w:jc w:val="right"/>
              <w:spacing w:after="0"/>
              <w:rPr>
                <w:sz w:val="20"/>
                <w:szCs w:val="20"/>
                <w:color w:val="auto"/>
              </w:rPr>
            </w:pPr>
            <w:r>
              <w:rPr>
                <w:rFonts w:ascii="Arial" w:cs="Arial" w:eastAsia="Arial" w:hAnsi="Arial"/>
                <w:sz w:val="18"/>
                <w:szCs w:val="18"/>
                <w:color w:val="auto"/>
              </w:rPr>
              <w:t>1,974,408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60" w:hanging="452"/>
        <w:spacing w:after="0" w:line="277" w:lineRule="auto"/>
        <w:tabs>
          <w:tab w:leader="none" w:pos="46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The Company has not granted any stock appreciation rights. Options listed above become exercisable in installments of 25% each year following the date of grant, except that Mr. Gould’s, Mr. Sbiti’s and Mr. Ayat’s options become exercisable in installments of 20% each year following the date of grant. The gain on Mr. Perraud’s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33" w:lineRule="exact"/>
        <w:rPr>
          <w:rFonts w:ascii="Arial" w:cs="Arial" w:eastAsia="Arial" w:hAnsi="Arial"/>
          <w:sz w:val="20"/>
          <w:szCs w:val="20"/>
          <w:color w:val="auto"/>
          <w:vertAlign w:val="superscript"/>
        </w:rPr>
      </w:pPr>
    </w:p>
    <w:p>
      <w:pPr>
        <w:ind w:left="460" w:right="240" w:hanging="452"/>
        <w:spacing w:after="0" w:line="235"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 Stock Option Value Table</w:t>
      </w:r>
    </w:p>
    <w:p>
      <w:pPr>
        <w:spacing w:after="0" w:line="7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following table shows certain information concerning options exercised during 2003 by the named executive officers and the number and value of unexercised options at December 31, 2003. Schlumberger has not granted stock appreciation rights. The values of unexercised in-the-money stock options at December 31, 2003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 Securities Underlying</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600" w:type="dxa"/>
            <w:vAlign w:val="bottom"/>
          </w:tcPr>
          <w:p>
            <w:pPr>
              <w:spacing w:after="0"/>
              <w:rPr>
                <w:sz w:val="12"/>
                <w:szCs w:val="12"/>
                <w:color w:val="auto"/>
              </w:rPr>
            </w:pPr>
          </w:p>
        </w:tc>
        <w:tc>
          <w:tcPr>
            <w:tcW w:w="2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Unexercised Options at FY-End</w:t>
            </w:r>
          </w:p>
        </w:tc>
        <w:tc>
          <w:tcPr>
            <w:tcW w:w="1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600" w:type="dxa"/>
            <w:vAlign w:val="bottom"/>
          </w:tcPr>
          <w:p>
            <w:pPr>
              <w:spacing w:after="0"/>
              <w:rPr>
                <w:sz w:val="12"/>
                <w:szCs w:val="12"/>
                <w:color w:val="auto"/>
              </w:rPr>
            </w:pPr>
          </w:p>
        </w:tc>
        <w:tc>
          <w:tcPr>
            <w:tcW w:w="2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 Exercisable /</w:t>
            </w:r>
          </w:p>
        </w:tc>
        <w:tc>
          <w:tcPr>
            <w:tcW w:w="17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 xml:space="preserve">at FY-End ($) </w:t>
            </w:r>
            <w:r>
              <w:rPr>
                <w:rFonts w:ascii="Arial" w:cs="Arial" w:eastAsia="Arial" w:hAnsi="Arial"/>
                <w:sz w:val="17"/>
                <w:szCs w:val="17"/>
                <w:b w:val="1"/>
                <w:bCs w:val="1"/>
                <w:color w:val="auto"/>
                <w:vertAlign w:val="superscript"/>
              </w:rPr>
              <w:t>(2)</w:t>
            </w:r>
            <w:r>
              <w:rPr>
                <w:rFonts w:ascii="Arial" w:cs="Arial" w:eastAsia="Arial" w:hAnsi="Arial"/>
                <w:sz w:val="11"/>
                <w:szCs w:val="11"/>
                <w:b w:val="1"/>
                <w:bCs w:val="1"/>
                <w:color w:val="auto"/>
              </w:rPr>
              <w:t xml:space="preserve"> Exercisable /</w:t>
            </w:r>
          </w:p>
        </w:tc>
        <w:tc>
          <w:tcPr>
            <w:tcW w:w="0" w:type="dxa"/>
            <w:vAlign w:val="bottom"/>
          </w:tcPr>
          <w:p>
            <w:pPr>
              <w:spacing w:after="0"/>
              <w:rPr>
                <w:sz w:val="1"/>
                <w:szCs w:val="1"/>
                <w:color w:val="auto"/>
              </w:rPr>
            </w:pPr>
          </w:p>
        </w:tc>
      </w:tr>
      <w:tr>
        <w:trPr>
          <w:trHeight w:val="284"/>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Exercises (#)</w:t>
            </w:r>
          </w:p>
        </w:tc>
        <w:tc>
          <w:tcPr>
            <w:tcW w:w="1360" w:type="dxa"/>
            <w:vAlign w:val="bottom"/>
            <w:gridSpan w:val="2"/>
          </w:tcPr>
          <w:p>
            <w:pPr>
              <w:jc w:val="center"/>
              <w:ind w:left="523"/>
              <w:spacing w:after="0" w:line="284" w:lineRule="exact"/>
              <w:rPr>
                <w:sz w:val="20"/>
                <w:szCs w:val="20"/>
                <w:color w:val="auto"/>
              </w:rPr>
            </w:pPr>
            <w:r>
              <w:rPr>
                <w:rFonts w:ascii="Arial" w:cs="Arial" w:eastAsia="Arial" w:hAnsi="Arial"/>
                <w:sz w:val="27"/>
                <w:szCs w:val="27"/>
                <w:b w:val="1"/>
                <w:bCs w:val="1"/>
                <w:color w:val="auto"/>
                <w:w w:val="82"/>
                <w:vertAlign w:val="subscript"/>
              </w:rPr>
              <w:t>($)</w:t>
            </w:r>
            <w:r>
              <w:rPr>
                <w:rFonts w:ascii="Arial" w:cs="Arial" w:eastAsia="Arial" w:hAnsi="Arial"/>
                <w:sz w:val="11"/>
                <w:szCs w:val="11"/>
                <w:b w:val="1"/>
                <w:bCs w:val="1"/>
                <w:color w:val="auto"/>
                <w:w w:val="82"/>
              </w:rPr>
              <w:t xml:space="preserve"> (1)</w:t>
            </w:r>
          </w:p>
        </w:tc>
        <w:tc>
          <w:tcPr>
            <w:tcW w:w="600" w:type="dxa"/>
            <w:vAlign w:val="bottom"/>
          </w:tcPr>
          <w:p>
            <w:pPr>
              <w:spacing w:after="0"/>
              <w:rPr>
                <w:sz w:val="24"/>
                <w:szCs w:val="24"/>
                <w:color w:val="auto"/>
              </w:rPr>
            </w:pPr>
          </w:p>
        </w:tc>
        <w:tc>
          <w:tcPr>
            <w:tcW w:w="2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Unexercisable</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7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1,637,750</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439,800/ 690,990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2,017,412/ 4,136,048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 E. Baird</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1,623,749/ 0</w:t>
            </w:r>
          </w:p>
        </w:tc>
        <w:tc>
          <w:tcPr>
            <w:tcW w:w="1720" w:type="dxa"/>
            <w:vAlign w:val="bottom"/>
          </w:tcPr>
          <w:p>
            <w:pPr>
              <w:jc w:val="right"/>
              <w:spacing w:after="0"/>
              <w:rPr>
                <w:sz w:val="20"/>
                <w:szCs w:val="20"/>
                <w:color w:val="auto"/>
              </w:rPr>
            </w:pPr>
            <w:r>
              <w:rPr>
                <w:rFonts w:ascii="Arial" w:cs="Arial" w:eastAsia="Arial" w:hAnsi="Arial"/>
                <w:sz w:val="18"/>
                <w:szCs w:val="18"/>
                <w:color w:val="auto"/>
              </w:rPr>
              <w:t>23,775,215/ 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96,643/ 158,198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793,223/ 1,364,210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X. Flinois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87,710/ 62,791</w:t>
            </w:r>
          </w:p>
        </w:tc>
        <w:tc>
          <w:tcPr>
            <w:tcW w:w="1720" w:type="dxa"/>
            <w:vAlign w:val="bottom"/>
          </w:tcPr>
          <w:p>
            <w:pPr>
              <w:jc w:val="right"/>
              <w:spacing w:after="0"/>
              <w:rPr>
                <w:sz w:val="20"/>
                <w:szCs w:val="20"/>
                <w:color w:val="auto"/>
              </w:rPr>
            </w:pPr>
            <w:r>
              <w:rPr>
                <w:rFonts w:ascii="Arial" w:cs="Arial" w:eastAsia="Arial" w:hAnsi="Arial"/>
                <w:sz w:val="18"/>
                <w:szCs w:val="18"/>
                <w:color w:val="auto"/>
              </w:rPr>
              <w:t>353,012/ 14,169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 Perraud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111,435/ 132,198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1,195,092/ 543,710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960" w:type="dxa"/>
            <w:vAlign w:val="bottom"/>
          </w:tcPr>
          <w:p>
            <w:pPr>
              <w:jc w:val="right"/>
              <w:spacing w:after="0"/>
              <w:rPr>
                <w:sz w:val="20"/>
                <w:szCs w:val="20"/>
                <w:color w:val="auto"/>
              </w:rPr>
            </w:pPr>
            <w:r>
              <w:rPr>
                <w:rFonts w:ascii="Arial" w:cs="Arial" w:eastAsia="Arial" w:hAnsi="Arial"/>
                <w:sz w:val="18"/>
                <w:szCs w:val="18"/>
                <w:color w:val="auto"/>
              </w:rPr>
              <w:t>6,594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127,146</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102,533/ 84,395</w:t>
            </w:r>
          </w:p>
        </w:tc>
        <w:tc>
          <w:tcPr>
            <w:tcW w:w="1720" w:type="dxa"/>
            <w:vAlign w:val="bottom"/>
          </w:tcPr>
          <w:p>
            <w:pPr>
              <w:jc w:val="right"/>
              <w:spacing w:after="0"/>
              <w:rPr>
                <w:sz w:val="20"/>
                <w:szCs w:val="20"/>
                <w:color w:val="auto"/>
              </w:rPr>
            </w:pPr>
            <w:r>
              <w:rPr>
                <w:rFonts w:ascii="Arial" w:cs="Arial" w:eastAsia="Arial" w:hAnsi="Arial"/>
                <w:sz w:val="18"/>
                <w:szCs w:val="18"/>
                <w:color w:val="auto"/>
              </w:rPr>
              <w:t>499,798/ 402,750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Market value of stock on date of exercise less exercise price.</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Closing price of stock on December 31, 2003 ($54.72) less exercise price.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$124,237 for Mr. Gould, $87,183 for Mr. Sbiti, $62,361 for Mr. Flinois, $12,338 for Mr. Perraud and $45,647 for Mr. Ayat. Mr. Baird’s annual benefit is $37,052.</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$4,769 for Mr. Sbiti, $81,932 for Mr. Flinois, $5,107 for Mr. Ayat and, assuming admissible compensation continues at the December 31, 2003 levels, $413,734 for Mr. Gould and $166,216 for Mr. Perraud. Mr. Baird’s annual benefit is $752,295.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w:t>
      </w: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line="178" w:lineRule="exact"/>
              <w:rPr>
                <w:sz w:val="20"/>
                <w:szCs w:val="20"/>
                <w:color w:val="auto"/>
              </w:rPr>
            </w:pPr>
            <w:r>
              <w:rPr>
                <w:rFonts w:ascii="Arial" w:cs="Arial" w:eastAsia="Arial" w:hAnsi="Arial"/>
                <w:sz w:val="18"/>
                <w:szCs w:val="18"/>
                <w:color w:val="auto"/>
                <w:w w:val="89"/>
              </w:rPr>
              <w:t>on page</w:t>
            </w:r>
          </w:p>
        </w:tc>
        <w:tc>
          <w:tcPr>
            <w:tcW w:w="8620" w:type="dxa"/>
            <w:vAlign w:val="bottom"/>
            <w:gridSpan w:val="2"/>
          </w:tcPr>
          <w:p>
            <w:pPr>
              <w:jc w:val="right"/>
              <w:ind w:right="8132"/>
              <w:spacing w:after="0" w:line="178" w:lineRule="exact"/>
              <w:rPr>
                <w:sz w:val="20"/>
                <w:szCs w:val="20"/>
                <w:color w:val="auto"/>
              </w:rPr>
            </w:pPr>
            <w:r>
              <w:rPr>
                <w:rFonts w:ascii="Arial" w:cs="Arial" w:eastAsia="Arial" w:hAnsi="Arial"/>
                <w:sz w:val="18"/>
                <w:szCs w:val="18"/>
                <w:color w:val="auto"/>
              </w:rPr>
              <w:t>.</w:t>
            </w:r>
          </w:p>
        </w:tc>
      </w:tr>
      <w:tr>
        <w:trPr>
          <w:trHeight w:val="371"/>
        </w:trPr>
        <w:tc>
          <w:tcPr>
            <w:tcW w:w="6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60" w:type="dxa"/>
            <w:vAlign w:val="bottom"/>
          </w:tcPr>
          <w:p>
            <w:pPr>
              <w:jc w:val="center"/>
              <w:ind w:left="1152"/>
              <w:spacing w:after="0"/>
              <w:rPr>
                <w:sz w:val="20"/>
                <w:szCs w:val="20"/>
                <w:color w:val="auto"/>
              </w:rPr>
            </w:pPr>
            <w:r>
              <w:rPr>
                <w:rFonts w:ascii="Arial" w:cs="Arial" w:eastAsia="Arial" w:hAnsi="Arial"/>
                <w:sz w:val="18"/>
                <w:szCs w:val="18"/>
                <w:b w:val="1"/>
                <w:bCs w:val="1"/>
                <w:color w:val="auto"/>
                <w:w w:val="99"/>
              </w:rPr>
              <w:t>COMPARISON OF FIVE-YEAR CUMULATIVE TOTAL RETURN</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tcPr>
          <w:p>
            <w:pPr>
              <w:jc w:val="center"/>
              <w:ind w:left="1152"/>
              <w:spacing w:after="0"/>
              <w:rPr>
                <w:sz w:val="20"/>
                <w:szCs w:val="20"/>
                <w:color w:val="auto"/>
              </w:rPr>
            </w:pPr>
            <w:r>
              <w:rPr>
                <w:rFonts w:ascii="Arial" w:cs="Arial" w:eastAsia="Arial" w:hAnsi="Arial"/>
                <w:sz w:val="18"/>
                <w:szCs w:val="18"/>
                <w:b w:val="1"/>
                <w:bCs w:val="1"/>
                <w:color w:val="auto"/>
                <w:w w:val="99"/>
              </w:rPr>
              <w:t>AMONG SCHLUMBERGER LIMITED, S&amp;P 500 INDEX AND VALUE LINE’S OILFIELD</w:t>
            </w:r>
          </w:p>
        </w:tc>
      </w:tr>
      <w:tr>
        <w:trPr>
          <w:trHeight w:val="228"/>
        </w:trPr>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60" w:type="dxa"/>
            <w:vAlign w:val="bottom"/>
          </w:tcPr>
          <w:p>
            <w:pPr>
              <w:jc w:val="center"/>
              <w:ind w:left="1172"/>
              <w:spacing w:after="0"/>
              <w:rPr>
                <w:sz w:val="20"/>
                <w:szCs w:val="20"/>
                <w:color w:val="auto"/>
              </w:rPr>
            </w:pPr>
            <w:r>
              <w:rPr>
                <w:rFonts w:ascii="Arial" w:cs="Arial" w:eastAsia="Arial" w:hAnsi="Arial"/>
                <w:sz w:val="18"/>
                <w:szCs w:val="18"/>
                <w:b w:val="1"/>
                <w:bCs w:val="1"/>
                <w:color w:val="auto"/>
                <w:w w:val="98"/>
              </w:rPr>
              <w:t>SERVICES INDUSTRY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95885</wp:posOffset>
            </wp:positionV>
            <wp:extent cx="4802505" cy="2358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250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Assumes $100 invested on December 31, 1998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8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Compensation Committee of the Board is responsible for reviewing the compensation and benefits of Schlumberger officers and reviewing and approving general compensation and retirement programs, as well as administering the stock option program for all employees. In addition, it is also responsible for reviewing and approving the objectives, evaluating the performance, and reviewing and recommending the compensation of the Chief Executive Officer.</w:t>
      </w:r>
    </w:p>
    <w:p>
      <w:pPr>
        <w:spacing w:after="0" w:line="75"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Schlumberger’s compensation philosophy is to pay for performance through competitive programs that relate directly to the Company’s short and long-term goals, and to reward executives, managers and professionals who achieve these goals. Schlumberger’s compensation program has three basic components: base salary, annual cash incentive awards and stock option grants. In line with Schlumberger’s philosophy that annual cash compensation varies with Company performance, base salaries are targeted at the average of the competitive market with cash incentive awards based on individual and Company performance. This combination of base salary and cash incentive is targeted between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 the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percentiles of the competitive market in years of strong performance. The addition of stock option awards over a career further provides compensation commensurate with the Company’s long-term performance.</w:t>
      </w:r>
    </w:p>
    <w:p>
      <w:pPr>
        <w:spacing w:after="0" w:line="8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are reviewed annually against competitive company information provided by outside consultants. The companies are from broad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segments in which Schlumberger competes to provide integrated solutions for oilfield, high tech and information technology businesses. There are changes in the survey companies each year due to mergers and acquisitions, as well as the normal movement in and out of surveys at the companies’ volition.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competitive market used for compensation analyses differs from those in the Corporate Performance Graph (the Value Line Oilfield Services Industry Index).</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While executive officer base salaries are reviewed annually, they are adjusted less frequently. Except for significant changes in responsibility, the cycle for base salary change is typically three to five years. This less frequent change of base salary emphasizes the at-risk portion of variable compensation.</w:t>
      </w:r>
    </w:p>
    <w:p>
      <w:pPr>
        <w:spacing w:after="0" w:line="7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Mr. Chakib Sbiti became Executive Vice President of Oilfield Services in 2003. His base salary was increased to E500,000 ($559,284). Mr. Jean-Marc Perraud’s base salary was increased to $550,000 to be more competitively positioned against the selected market.</w:t>
      </w:r>
    </w:p>
    <w:p>
      <w:pPr>
        <w:spacing w:after="0" w:line="66"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for each executive officer are payable early in the calendar (fiscal) year and reflect performance against targets 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objectives in the preceding year.</w:t>
      </w:r>
    </w:p>
    <w:p>
      <w:pPr>
        <w:spacing w:after="0" w:line="11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incentive targets of the named executive officers range from 60% to 100%, reflecting the level of responsibility of each position. The incentive awards are calculated as a percentage of base salary and in years of exceptional results may exceed the incentive target.</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One-half of the incentive for each executive is based on achievement of financial objectives of the business sector for which the executive has responsibility and/or specific financial goals for the Company. Messrs. Perraud and Ayat had an incentive based on the Company’s financial objective. Messrs. Sbiti and Flinois had a combination of business sector and Company financial goals.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second half of the incentive relates to objectives that are specific to the executive. These objectives may be strategic or personal and may relate to one-year goals or be interim measures against longer-term objectives. The evaluation of achievement of these objectives is discretionary and subject to the approval of the Committee.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ind w:right="58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financial half of the incentive for Messrs. Perraud and Ayat was based on earnings goals for 2003. Messrs. Sbiti and Flinois received payouts commensurate with the financial performance of their business sectors against the established financial objectives and the earnings goals of the Company.</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second half of the incentives for Messrs. Perraud and Ayat was based on the overall performance of the Company, as well as some objectives specific to their areas of responsibility. The second half of the incentives for Messrs. Sbiti and Flinois was based on results of specific financial and business objectives for Oilfield Services and SchlumbergerSema respectively. Mr. Ayat received an additional special award for his work on the divestiture of SchlumbergerSema. The cash compensation for all four named executives places them at or above the median of the competitive market.</w:t>
      </w:r>
    </w:p>
    <w:p>
      <w:pPr>
        <w:spacing w:after="0" w:line="93"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are awarded on a discretionary basis to eligible employees who demonstrate superior performance in their current position,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likelihood of continued high-level performance in the future. Terms of the plan are the same for all employees.</w:t>
      </w:r>
    </w:p>
    <w:p>
      <w:pPr>
        <w:spacing w:after="0" w:line="11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Beginning in 2003 stock option grants will generally be awarded on an annual cycle with additional grants awarded to recognize promotions, substantial changes in responsibility, individual or team achievements and other special circumstances. Previously grants were generally awarded on an 18-month cycle. The annual cycle is more typical of competitive market practice.</w:t>
      </w:r>
    </w:p>
    <w:p>
      <w:pPr>
        <w:spacing w:after="0" w:line="12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the third quarter of 2003, retroactive to January 1, 2003, the Company adopted FAS 123 for stock option expensing purposes. A cap on the gain of the grant was implemented to reduce expenses, while at the same time maintaining the incentive of the program. The cap is set at 125% of the price on the date of grant. Vesting was changed to 25% each year following the date of grant. Previously grants provided for 20% vesting over five years from the date of grant. In particular circumstances the Company grants awards with different vesting schedules.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ten-year term remains the same and the option price remains equal to the fair market value on the date of grant.</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Messrs. Gould, Sbiti and Ayat received an uncapped grant in January 2003 with 20% vesting over five years from date of grant. Mr. Perraud received a capped grant in July 2003 with 25% vesting over four years from date of grant.</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The Committee does not believe that the cash compensation payable in excess of this amount for fiscal year 2003 will result in any material loss of a tax deduction. Therefore, the Committee has elected not to follow the provisions of Section 162(m) with regard to cash compensation. The Company’s stock option plans are believed to be in compliance with the provisions of Section 162(m).</w:t>
      </w:r>
    </w:p>
    <w:p>
      <w:pPr>
        <w:spacing w:after="0" w:line="124"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b w:val="1"/>
          <w:bCs w:val="1"/>
          <w:color w:val="auto"/>
        </w:rPr>
        <w:t xml:space="preserve">Certain provisions of the Schlumberger Discounted Stock Purchase Plan </w:t>
      </w:r>
      <w:r>
        <w:rPr>
          <w:rFonts w:ascii="Arial" w:cs="Arial" w:eastAsia="Arial" w:hAnsi="Arial"/>
          <w:sz w:val="15"/>
          <w:szCs w:val="15"/>
          <w:color w:val="auto"/>
        </w:rPr>
        <w:t>were changed in 2003 to reduce expenses under FAS 123 accounting. The</w:t>
      </w:r>
      <w:r>
        <w:rPr>
          <w:rFonts w:ascii="Arial" w:cs="Arial" w:eastAsia="Arial" w:hAnsi="Arial"/>
          <w:sz w:val="15"/>
          <w:szCs w:val="15"/>
          <w:b w:val="1"/>
          <w:bCs w:val="1"/>
          <w:color w:val="auto"/>
        </w:rPr>
        <w:t xml:space="preserve"> </w:t>
      </w:r>
      <w:r>
        <w:rPr>
          <w:rFonts w:ascii="Arial" w:cs="Arial" w:eastAsia="Arial" w:hAnsi="Arial"/>
          <w:sz w:val="15"/>
          <w:szCs w:val="15"/>
          <w:color w:val="auto"/>
        </w:rPr>
        <w:t>plan purchase period was reduced from 12 months to 6 months and the discount on the lower of the enrollment date price or the end of period price was reduced from 15% to 7.5%. These changes were implemented to reduce the accounting expense of the plan, and at the same time to maintain the attractiveness of the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the Chief Executive Officer</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Compensation Committee reviews and approves the objectives and the performance of the Chief Executive Officer, and sets his compensation subject to Board review.</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Mr. Gould participates in the same compensation plans that are provided to other executives, management and professional employees in Schlumberger. In 2003, when Mr. Gould was appointed Chief Executive Officer and Chairman, his base salary was increased to $1,500,000. The annual incentive range for Mr. Gould is 100% of base salary.</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One-half of the 2003 incentive award was based on earnings per share goals. Mr. Gould received a payout commensurate with the results achieved against those goals.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award reflects the Committee’s evaluation of Mr. Gould’s performance against strategic and business objectives established early in</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2003. These specific objectives were a combination of business development, divestitures and financial goals. Disclosure of these objectives could adversely affect the Company’s competitive position.</w:t>
      </w:r>
    </w:p>
    <w:p>
      <w:pPr>
        <w:spacing w:after="0" w:line="12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cash incentive awarded Mr. Gould for 2003 was $1,125,000. Mr. Gould’s total cash compensation for 2003 places him above the median of the comparator market. In addition, on January 21, 2004, the Compensation Committee awarded Mr. Gould a stock option grant of 415,000 shares with the gain capped at 125% of the exercise price, a ten-year term and 25% vesting each year following the date of grant.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Gould has no employment agreement with the Company.</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January 2003, Mr. Baird completed his service as Chief Executive Officer, and the compensation listed in the summary compensation table for 2003 represents amounts paid for this final month of service at the base salary rate in effect during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Sven Ullring, Chair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Jamie S. Gorelick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Nicolas Seydoux</w:t>
      </w:r>
    </w:p>
    <w:p>
      <w:pPr>
        <w:spacing w:after="0" w:line="185" w:lineRule="exact"/>
        <w:rPr>
          <w:sz w:val="20"/>
          <w:szCs w:val="20"/>
          <w:color w:val="auto"/>
        </w:rPr>
      </w:pPr>
    </w:p>
    <w:p>
      <w:pPr>
        <w:sectPr>
          <w:pgSz w:w="11900" w:h="16838" w:orient="portrait"/>
          <w:cols w:equalWidth="0" w:num="2">
            <w:col w:w="5320" w:space="720"/>
            <w:col w:w="53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Consolidated Balance Sheet as at December 31, 2003, its Consolidated Statement of Income for the year ended December 31, 2003, as audited by PricewaterhouseCoopers LLP, and the amount of dividends declared by the Board of Directors during 2003 are submitted to the stockholders pursuant to the Schlumberger Deed of Incorporation.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2003 Annual Report to Stockholders.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ind w:left="4660" w:right="3020" w:hanging="1619"/>
        <w:spacing w:after="0" w:line="275" w:lineRule="auto"/>
        <w:tabs>
          <w:tab w:leader="none" w:pos="32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Schlumberger Limited 2004 Stock and Deferral Plan for Non-Employee Directors</w:t>
      </w:r>
    </w:p>
    <w:p>
      <w:pPr>
        <w:spacing w:after="0" w:line="11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22, 2004, but effective as of April 14, 2004, the Board of Directors adopted the Schlumberger Limited 2004 Stock and Deferral Plan for Non-Employee Directors (“2004 Director Plan”), subject to stockholder approval. The 2004 Director Plan was adopted for the purpose of providing our non-employee directors regular grants of shares of common stock (or units representing such shares) in order to:</w:t>
      </w:r>
    </w:p>
    <w:p>
      <w:pPr>
        <w:spacing w:after="0" w:line="46"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directors of outstanding competence and ability;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align the interests of such directors with the interests of our stockholders generally.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requesting that our stockholders approve the 2004 Director Plan. The following is a description of the material provisions of the 2004 Director Plan. The summary that follows is not intended to be complete, and we refer you to the copy of the 2004 Director Plan set forth in Appendix 4 to this proxy statement for a complete statement of its terms and provisions.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the date of the 2004 Annual General Meeting, we expect to have nine non-employee directors, all of whom will be eligible to participate in the 2004 Director Plan. The number of individuals who will receive awards under the director plan will depend on the number of non-employee directors serving on the Board of Directors during any given year, and we are unable to determine future award recipients. As of the date of this proxy statement, no awards have been granted under the 2004 Director Plan.</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approved by the stockholders, the 2004 Director Plan will become effective April 14, 2004 and the Schlumberger Limited Stock and Deferral Plan for Non-Employee Directors established in 2001 will be frozen, and no additional awards will be made under that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8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2004 Director Plan is administered by a committee designated by the Board of Directors, which initially will be the Nominating and Governance Committee. In the absence of such a committee, the 2004 Director Plan will be administered by the Board of Directors. The committee has full and exclusive power and authority to:</w:t>
      </w:r>
    </w:p>
    <w:p>
      <w:pPr>
        <w:spacing w:after="0" w:line="46"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interpret and waive provisions of the 2004 Director Plan;</w:t>
      </w:r>
    </w:p>
    <w:p>
      <w:pPr>
        <w:spacing w:after="0" w:line="76"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 rules, regulations and guidelines for carrying out the 2004 Director Plan, including to accommodate specific requirements of local laws and procedures in foreign jurisdictions;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eligibility of participants and the amount of any stock award eligible for deferral.</w:t>
      </w:r>
    </w:p>
    <w:p>
      <w:pPr>
        <w:spacing w:after="0" w:line="158" w:lineRule="exact"/>
        <w:rPr>
          <w:sz w:val="20"/>
          <w:szCs w:val="20"/>
          <w:color w:val="auto"/>
        </w:rPr>
      </w:pPr>
    </w:p>
    <w:p>
      <w:pPr>
        <w:jc w:val="center"/>
        <w:ind w:right="200"/>
        <w:spacing w:after="0" w:line="440" w:lineRule="auto"/>
        <w:rPr>
          <w:sz w:val="20"/>
          <w:szCs w:val="20"/>
          <w:color w:val="auto"/>
        </w:rPr>
      </w:pPr>
      <w:r>
        <w:rPr>
          <w:rFonts w:ascii="Arial" w:cs="Arial" w:eastAsia="Arial" w:hAnsi="Arial"/>
          <w:sz w:val="18"/>
          <w:szCs w:val="18"/>
          <w:color w:val="auto"/>
        </w:rPr>
        <w:t>The committee may delegate duties under the 2004 Director Plan to our chief executive officer and other officers, other than its granting authority. 16</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Reserved</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 aggregate of 150,000 shares of our common stock is available for stock awards. Shares of our common stock will be made available either from authorized but unissued shares or from treasury shares that have been issued but reacquired by us. The last reported sale price per share of our common stock on February 20, 2004 on the NYSE composite transaction reporting system was $63.11.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Grants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2004 Director Plan, each eligible director will automatically be granted an annual stock award with respect to 2,000 shares of our common stock, commencing in 2004 if stockholders approve the 2004 Director Plan. The annual stock award may be in the form of shares of common stock, shares of restricted common stock or restricted stock units, each of which will represent the right to receive one share of our common stock. The form of stock award and its terms, conditions and restrictions (including vesting) will be determined by the committee. No more than 30,000 shares of common stock, restricted common stock or restricted stock units may be awarded in any calendar year. In the event that there are an insufficient number of shares reserved to make the automatic grants, the number of shares subject to the stock awards made to each eligible director will be reduced on a pro rata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of Stock Awards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the discretion of the committee, a non-employee director may irrevocably elect to defer the receipt of all or part of a stock award by submitting a deferral election in the manner specified by the committee. The deferral election must specify the number of shares of common stock, restricted common stock or restricted stock units, the receipt of which is to be deferred and the period of deferral.</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Any deferred stock awards will be credited to a bookkeeping account, which we call a stock account, established for the non-employee director as of the date the shares of common stock, shares of restricted stock or restricted stock units would otherwise have been delivered under the 2004 Director Plan. Stock units will be credited to a director’s stock account with respect to both (i) stock awards consisting of shares of common stock that are deferred under the plan procedures and (ii) stock awards initially consisting of stock units. No interest will be credited to an eligible director’s stock account with respect to any stock units. In the event that a dividend is paid on our common stock during the period that restricted stock units are credited to the eligible director’s stock account, an amount equivalent to the amount of the dividend will be credited to the eligible director’s stock account and the accumulated amount will be paid out without interest at the end of the deferral period.</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respect to stock awards consisting of shares of common stock, the non-employee director may elect that delivery be made or commence on the date of termination of the director’s status as a director or one year after such termination. With respect to stock awards initially consisting of stock units, the committee will determine the date of, and conditions to be satisfied prior to, delivery. Shares of common stock to be delivered at the end of the deferral period, together with a cash payment equal to the amount of any dividends, will be made within 60 days after the end of the deferral period.</w:t>
      </w:r>
    </w:p>
    <w:p>
      <w:pPr>
        <w:spacing w:after="0" w:line="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an eligible director dies prior to delivery of all shares and funds, any remaining shares and funds will be delivered to the eligible director’s estate within 60 days following the notification of such eligible director’s death. If an eligible director becomes incompetent, we may deliver shares and funds to a guardian or legal representative, or directly to the director, as determined by the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event of any subdivision or consolidation of outstanding shares of common stock, declaration of a dividend payable in shares of common stock or other stock split, then the following items will be proportionately adjusted to reflect such transaction:</w:t>
      </w:r>
    </w:p>
    <w:p>
      <w:pPr>
        <w:spacing w:after="0" w:line="37"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restricted stock units relating to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appropriate fair market value and other price determinations for such restricted stock units,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2004 Director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limitation on the annual grant of stock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adjustments will be made by the Board of Directors in the event of any other recapitalization or capital reorganization, any consolidation or merger of Schlumberger with another corporation or entity, the adoption by Schlumberger of any plan of exchange affecting any class of common stock or any distribution to holders of any class of common stock of securities or property (other than normal cash dividends or dividends payable in common stock), provided that such adjustments do not increase the value of such items.</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event of a corporate merger, consolidation, acquisition of property or stock, separation, reorganization or liquidation, the Board of Directors is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of Directors may amend, modify, suspend or terminate the 2004 Director Plan for the purpose of meeting or addressing any changes in legal requirements or for any other purpose permitted by law, except that (i) no amendment, modification or termination will, without the consent of the eligible director, impair the rights of any eligible director to the number of restricted stock units credited to such eligible director’s stock account as of the date of such amendment, modification or termination and (ii) no amendment or modification will be effective prior to its approval by the stockholders of Schlumberger to the extent such approval is required by applicable legal requirements or the requirements of any securities exchange on which the common stock is listed. The Board of Directors may at any time and from time to time delegate to the committee any or all of this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2004 Director Plan and does not attempt to describe all possible federal or other tax consequences of such participation or tax consequences based on particular circumstances. This summary does not describe any state, local or non-U.S. tax consequences.</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general, a director will recognize ordinary compensation income as a result of the receipt of common stock pursuant to a stock award in an amount equal to the fair market value of the common stock when such stock is received.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Upon the disposition of the common stock acquired pursuant to a stock award, the director will recognize a capital gain or loss in an amount equal to the difference between the sale price of the common stock and the director’s tax basis in the common stock. This capital gain or loss will be a long-term capital gain or loss if the shares are held for more than one year. For this purpose, the holding period begins on the day after the shares of common stock are received by the director.</w:t>
      </w:r>
    </w:p>
    <w:p>
      <w:pPr>
        <w:spacing w:after="0" w:line="13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director will not have U.S. taxable income upon the grant of a stock award in the form of units denominated in common stock but rather will generally recognize ordinary compensation income at the time the director receives shares of common stock or cash in satisfaction of such stock unit award in an amount equal to the fair market value of the common stock or cash received.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Compensation deferred by directors in accordance with the procedures established under the 2004 Director Plan will generally not be included in U.S. income by the directors until unrestricted shares or cash are actually paid to the director. Once payments from the 2004 Director Plan are made upon expiration of the deferral, directors may have U.S. taxable compensation income in the year received to the extent of the fair market value of any shares of common stock received and the amount of any cash payments for dividend equivalents.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Dividends paid on shares of outstanding common stock held by a director will be taxed as dividend income. Cash payments of dividend equivalents with respect to stock units under the 2004 Director Plan will be subject to taxation as ordinary compensation income when received by the director.</w:t>
      </w:r>
    </w:p>
    <w:p>
      <w:pPr>
        <w:spacing w:after="0" w:line="7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To the extent allowable by relevant laws and regulations, Schlumberger may be entitled to a deduction for U.S. federal income tax purposes that corresponds as to timing and amount with the compensation income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 w:name="page21"/>
    <w:bookmarkEnd w:id="20"/>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recognized by the participant under the foregoing rules. No deduction will be available on any dividends which are paid on outstanding shares of stock and taxable as dividend income to the recipient.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the Board of Directors’ Recommendation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majority of the votes cast is required for approval of the 2004 Director Plan, provided that the total vote cast on the proposal represents over 50% of all outstanding shares. Brokers do not have discretion to vote on this proposal without your instruction. If you do not 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280"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table below sets forth the following information as of the end of Schlumberger’s 2003 fiscal year for (i) all compensation plans previously approved by our stockholders and (ii) all compensation plans not previously approved by our stockholders. The table does not include information regarding the 2004 Director Plan which is subject to stockholder approval at the Annual General Meeting.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500" w:type="dxa"/>
            <w:vAlign w:val="bottom"/>
          </w:tcPr>
          <w:p>
            <w:pPr>
              <w:spacing w:after="0"/>
              <w:rPr>
                <w:sz w:val="12"/>
                <w:szCs w:val="12"/>
                <w:color w:val="auto"/>
              </w:rPr>
            </w:pPr>
          </w:p>
        </w:tc>
        <w:tc>
          <w:tcPr>
            <w:tcW w:w="26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outstanding options, warrants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price of such outstanding</w:t>
            </w: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(excluding securities reflected</w:t>
            </w:r>
          </w:p>
        </w:tc>
        <w:tc>
          <w:tcPr>
            <w:tcW w:w="0" w:type="dxa"/>
            <w:vAlign w:val="bottom"/>
          </w:tcPr>
          <w:p>
            <w:pPr>
              <w:spacing w:after="0"/>
              <w:rPr>
                <w:sz w:val="1"/>
                <w:szCs w:val="1"/>
                <w:color w:val="auto"/>
              </w:rPr>
            </w:pPr>
          </w:p>
        </w:tc>
      </w:tr>
      <w:tr>
        <w:trPr>
          <w:trHeight w:val="174"/>
        </w:trPr>
        <w:tc>
          <w:tcPr>
            <w:tcW w:w="41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and rights</w:t>
            </w:r>
          </w:p>
        </w:tc>
        <w:tc>
          <w:tcPr>
            <w:tcW w:w="31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options, warrants and rights</w:t>
            </w: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37,556,547</w:t>
            </w:r>
          </w:p>
        </w:tc>
        <w:tc>
          <w:tcPr>
            <w:tcW w:w="5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56.497</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4,317,569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3"/>
          </w:tcPr>
          <w:p>
            <w:pPr>
              <w:ind w:left="200"/>
              <w:spacing w:after="0"/>
              <w:rPr>
                <w:sz w:val="20"/>
                <w:szCs w:val="20"/>
                <w:color w:val="auto"/>
              </w:rPr>
            </w:pPr>
            <w:r>
              <w:rPr>
                <w:rFonts w:ascii="Arial" w:cs="Arial" w:eastAsia="Arial" w:hAnsi="Arial"/>
                <w:sz w:val="18"/>
                <w:szCs w:val="18"/>
                <w:color w:val="auto"/>
              </w:rPr>
              <w:t>security holders</w:t>
            </w:r>
          </w:p>
        </w:tc>
        <w:tc>
          <w:tcPr>
            <w:tcW w:w="2240" w:type="dxa"/>
            <w:vAlign w:val="bottom"/>
            <w:gridSpan w:val="2"/>
          </w:tcPr>
          <w:p>
            <w:pPr>
              <w:ind w:left="144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jc w:val="right"/>
              <w:ind w:right="100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13,200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37,556,547</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56.497</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4,330,769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Represents stock awards available for grant under the Stock and Deferral Plan for Non-Employee Directors.</w:t>
      </w:r>
    </w:p>
    <w:p>
      <w:pPr>
        <w:spacing w:after="0" w:line="14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Equity compensation plans approved by our stockholders include the Schlumberger 1989 Stock Incentive Plan as amended, the Schlumberger 1994 Stock Option Plan as amended, the Schlumberger 1998 Stock Option Plan as amended, and the Schlumberger 2001 Stock Option Plan. The only equity compensation plan that has not been approved by our stockholders is the Schlumberger Stock and Deferral Plan for Non-Employee Directors established on April 19, 2001, or the 2001 director plan.</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When established, there were 25,000 shares of our common stock available for grant under the 2001 director plan. Non-employee directors are automatically granted 500 shares of our common stock as of the last day of the month following the first Board meeting after our regular annual stockholders meeting. Non-employee directors are entitled to defer the receipt of the annual stock award until up to one year after their termination as a director. During the period of deferral, non-employee directors are credited with any dividends paid on shares of our common stock in the interim, and such dividends are paid out in cash, without interest at the same time that the shares are ultimately delivered. The 2001 director plan is administered by a committee appointed by the Board of Directors. As described above, if the 2004 Director Plan is approved by stockholders, the 2001 director plan will be frozen, and no additional awards will be made under that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Auditors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PricewaterhouseCoopers LLP have been selected by the Board of Directors as independent auditors to audit the accounts of the Company for the year 2004. A majority of the votes cast is required for such approval. A representative of PricewaterhouseCoopers LLP will attend the 2004 Annual General Meeting and will have the opportunity to make a statement and respond to questions.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2003 and 2002 annual financial statements and reviews of quarterly financial statements and other audit services and (ii) the other services described below that were billed in 2003 and 2002.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i w:val="1"/>
                <w:iCs w:val="1"/>
                <w:color w:val="auto"/>
                <w:w w:val="83"/>
              </w:rPr>
              <w:t>Year Ended December 31,</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4760" w:type="dxa"/>
            <w:vAlign w:val="bottom"/>
            <w:gridSpan w:val="2"/>
          </w:tcPr>
          <w:p>
            <w:pPr>
              <w:jc w:val="right"/>
              <w:ind w:right="92"/>
              <w:spacing w:after="0"/>
              <w:rPr>
                <w:sz w:val="20"/>
                <w:szCs w:val="20"/>
                <w:color w:val="auto"/>
              </w:rPr>
            </w:pPr>
            <w:r>
              <w:rPr>
                <w:rFonts w:ascii="Arial" w:cs="Arial" w:eastAsia="Arial" w:hAnsi="Arial"/>
                <w:sz w:val="14"/>
                <w:szCs w:val="14"/>
                <w:b w:val="1"/>
                <w:bCs w:val="1"/>
                <w:i w:val="1"/>
                <w:iCs w:val="1"/>
                <w:color w:val="auto"/>
              </w:rPr>
              <w:t>2003</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i w:val="1"/>
                <w:i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i w:val="1"/>
                <w:iCs w:val="1"/>
                <w:color w:val="auto"/>
                <w:w w:val="82"/>
              </w:rPr>
              <w:t>(in thousands)</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2"/>
                <w:szCs w:val="22"/>
                <w:color w:val="auto"/>
                <w:vertAlign w:val="superscript"/>
              </w:rPr>
              <w:t>(1)</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$ 18,960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2"/>
                <w:szCs w:val="22"/>
                <w:color w:val="auto"/>
                <w:vertAlign w:val="superscript"/>
              </w:rPr>
              <w:t>(2)</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4,280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2"/>
                <w:szCs w:val="22"/>
                <w:color w:val="auto"/>
                <w:vertAlign w:val="superscript"/>
              </w:rPr>
              <w:t>(3)</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22"/>
                <w:szCs w:val="22"/>
                <w:color w:val="auto"/>
                <w:vertAlign w:val="superscript"/>
              </w:rPr>
              <w:t>(4)</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Includes fees for carve out audits of $9.4 million in 2003 and $4.9 million in 2002.</w:t>
      </w:r>
    </w:p>
    <w:p>
      <w:pPr>
        <w:spacing w:after="0" w:line="62" w:lineRule="exact"/>
        <w:rPr>
          <w:rFonts w:ascii="Arial" w:cs="Arial" w:eastAsia="Arial" w:hAnsi="Arial"/>
          <w:sz w:val="22"/>
          <w:szCs w:val="22"/>
          <w:color w:val="auto"/>
          <w:vertAlign w:val="superscript"/>
        </w:rPr>
      </w:pPr>
    </w:p>
    <w:p>
      <w:pPr>
        <w:ind w:left="460" w:right="220" w:hanging="452"/>
        <w:spacing w:after="0" w:line="227"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Consists of fees for employee benefit plan audits, due diligence relating to acquisition transactions, non-audit accounting related advice, internal controls reviews and other items.</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Consists primarily of fees for tax compliance and fees for tax advice and other tax services.</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Consists primarily of expatriate tax services, tax certificates and other agreed upon procedures.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independence.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auditors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2003,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2005 Annual General Meeting</w:t>
      </w:r>
    </w:p>
    <w:p>
      <w:pPr>
        <w:spacing w:after="0" w:line="83" w:lineRule="exact"/>
        <w:rPr>
          <w:sz w:val="20"/>
          <w:szCs w:val="20"/>
          <w:color w:val="auto"/>
        </w:rPr>
      </w:pPr>
    </w:p>
    <w:p>
      <w:pPr>
        <w:ind w:firstLine="456"/>
        <w:spacing w:after="0" w:line="297" w:lineRule="auto"/>
        <w:rPr>
          <w:sz w:val="20"/>
          <w:szCs w:val="20"/>
          <w:color w:val="auto"/>
        </w:rPr>
      </w:pPr>
      <w:r>
        <w:rPr>
          <w:rFonts w:ascii="Arial" w:cs="Arial" w:eastAsia="Arial" w:hAnsi="Arial"/>
          <w:sz w:val="15"/>
          <w:szCs w:val="15"/>
          <w:color w:val="auto"/>
        </w:rPr>
        <w:t>In order for a stockholder proposal to be considered for inclusion in the proxy statement for the 2005 Annual General Meeting of Stockholders, written proposals must be received by the Secretary of the Company, 153 East 53 Street, 57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10022-4624, no later than November 10, 2004. Pursuant to the rules under the Securities Exchange Act of 1934, the Company may use discretionary authority to vote with respect to stockholder proposals presented in person at the 2004 Annual General Meeting if the stockholder making the proposal has not given notice to the Company by January 24, 2005.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3" w:lineRule="exact"/>
        <w:rPr>
          <w:sz w:val="20"/>
          <w:szCs w:val="20"/>
          <w:color w:val="auto"/>
        </w:rPr>
      </w:pPr>
    </w:p>
    <w:p>
      <w:pPr>
        <w:ind w:right="480" w:firstLine="456"/>
        <w:spacing w:after="0" w:line="29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Audit Committee of the Board of Directors of Schlumberger shall consist of at least three Directors. The members of the Committee shall be appointed by the Board, upon the recommendation of the Nominating and Governance Committee and may be removed by the Board at its discretion. All members of the Committee shall, in the Board’s judgment, meet the applicable independence requirements of the New York Stock Exchange (“NYSE”) and all other applicable laws and regulations, and shall have sufficient financial experience and ability at the time of appointment to the Committee, or within a reasonable period of time thereafter, to discharge their responsibilities. No member of the Committee may serve on more than two other audit committees of listed company boards. At least one member of the Committee shall, in the Board’s judgment, qualify as an “audit committee financial expert” as defined by applicable regulations and summarized in Appendix 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purpose of the Audit Committee is to assist the Board in its oversight of the integrity of Schlumberger’s financial statements, legal and regulatory compliance, the independent auditor’s qualifications and independence, and the performance of Schlumberger’s internal audit function and of the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authority and responsibilities of the Audit Committee are:</w:t>
      </w:r>
    </w:p>
    <w:p>
      <w:pPr>
        <w:spacing w:after="0" w:line="77" w:lineRule="exact"/>
        <w:rPr>
          <w:sz w:val="20"/>
          <w:szCs w:val="20"/>
          <w:color w:val="auto"/>
        </w:rPr>
      </w:pPr>
    </w:p>
    <w:p>
      <w:pPr>
        <w:ind w:left="900" w:right="12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recommend, for stockholder approval, the independent auditor to audit the accounts of the Company for the year. The Committee shall have the sole authority and responsibility to appoint, compensate, retain, and oversee the independent auditors, and to pre-approve all engagements, fees and terms for audit and other services provided by the Company’s independent auditors. The Committee shall establish pre-approval procedures consistent with applicable law and regulation, and may delegate pre-approval of permitted services to one or more of its members, subject to review by the Committee at its next meeting.</w:t>
      </w:r>
    </w:p>
    <w:p>
      <w:pPr>
        <w:spacing w:after="0" w:line="48" w:lineRule="exact"/>
        <w:rPr>
          <w:rFonts w:ascii="Arial" w:cs="Arial" w:eastAsia="Arial" w:hAnsi="Arial"/>
          <w:sz w:val="18"/>
          <w:szCs w:val="18"/>
          <w:color w:val="auto"/>
        </w:rPr>
      </w:pPr>
    </w:p>
    <w:p>
      <w:pPr>
        <w:ind w:left="900" w:right="22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evaluate the independence and qualification of the independent auditor, based upon discussions with the auditing firm and management, and on review of periodic reports by the independent auditor describing all circumstances or relationships between the independent auditor and Schlumberger or its management that are relevant to a determination of independence, as well as a report on the firm’s internal quality-control; including any material issues raised by relevant internal or peer quality-control reviews, or in any registration with, or inquiry or investigation by, governmental or professional authorities.</w:t>
      </w:r>
    </w:p>
    <w:p>
      <w:pPr>
        <w:spacing w:after="0" w:line="48" w:lineRule="exact"/>
        <w:rPr>
          <w:rFonts w:ascii="Arial" w:cs="Arial" w:eastAsia="Arial" w:hAnsi="Arial"/>
          <w:sz w:val="18"/>
          <w:szCs w:val="18"/>
          <w:color w:val="auto"/>
        </w:rPr>
      </w:pPr>
    </w:p>
    <w:p>
      <w:pPr>
        <w:ind w:left="900" w:right="72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review with the independent auditor the scope and results of its audit, and any audit problems or difficulties and management’s response (including resolution of any disagreement between management and the auditor regarding financial reporting).</w:t>
      </w:r>
    </w:p>
    <w:p>
      <w:pPr>
        <w:spacing w:after="0" w:line="1"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discuss the Schlumberger annual audited financial statements and quarterly financial statements with management and the independent auditor, including Schlumberger’s disclosures under “Management’s Discussion and Analysis of Financial Condition and Results of Operations” and other matters required to be reviewed under applicable legal, regulatory or NYSE requirements, and all matters raised by the independent auditors pursuant to applicable standards, and to determine whether to recommend to the Board that the audited financial statements be included in Schlumberger’s annual report on Form 10-K.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5" w:name="page26"/>
    <w:bookmarkEnd w:id="25"/>
    <w:p>
      <w:pPr>
        <w:ind w:left="900" w:right="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review with management, the internal audit department and the independent auditor the adequacy and effectiveness of the Company’s disclosure and internal control procedures, including any material changes or deficiencies in such controls.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discuss with management Schlumberger’s risk assessment and risk management policies, including the Company’s major financial risk exposure and steps taken by management to monitor and mitigate such exposure.</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discuss with management and the independent auditor Schlumberger’s earnings press releases, as well as the type of financial information and earnings guidance, if any, provided to analysts and rating agencies.</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review Schlumberger’s financial reporting and accounting standards and principles, significant changes in such standards or principles or in their application and the key accounting decisions affecting the Company’s financial statements, including alternatives to, and the rationale for, the decisions made.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set policies for the hiring of employees or former employees of the Company’s independent auditors.</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review with the internal audit department the status and results of the annual internal audit plan, assessments of the adequacy and effectiveness of internal controls, and the sufficiency of the department’s resources.</w:t>
      </w:r>
    </w:p>
    <w:p>
      <w:pPr>
        <w:spacing w:after="0" w:line="3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prepare an annual committee report for the Schlumberger annual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8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shall meet at least quarterly, keep minutes of its proceedings and report regularly to the Board.</w:t>
      </w:r>
    </w:p>
    <w:p>
      <w:pPr>
        <w:spacing w:after="0" w:line="76"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may invite to its meetings any director, officer of the Company or such other person as it deems appropriate to assist it in performing its responsibilities.</w:t>
      </w:r>
    </w:p>
    <w:p>
      <w:pPr>
        <w:spacing w:after="0" w:line="37"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shall meet separately in executive session with representatives of the Company’s independent auditors and representatives of the Company’s internal audit department at least quarterly, and with representatives of management periodically as the Committee deems appropriate. The Committee shall also have unlimited access, as appropriate, to Schlumberger management, its internal audit department, and other Schlumberger personnel.</w:t>
      </w:r>
    </w:p>
    <w:p>
      <w:pPr>
        <w:spacing w:after="0" w:line="48"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Audit Committee has the authority to retain independent legal, accounting or other consultants in its sole discretion and to approve related fees and retention terms. The Committee shall also receive any funding it deems necessary or appropriate for ordinary administrative expenses.</w:t>
      </w:r>
    </w:p>
    <w:p>
      <w:pPr>
        <w:spacing w:after="0" w:line="1"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may delegate specific responsibilities to one or more individual Audit Committee members to the extent permitted by law, regulation, NYSE Listing Standards and the Articles of Incorporation of the Company.</w:t>
      </w:r>
    </w:p>
    <w:p>
      <w:pPr>
        <w:spacing w:after="0" w:line="37" w:lineRule="exact"/>
        <w:rPr>
          <w:rFonts w:ascii="Arial" w:cs="Arial" w:eastAsia="Arial" w:hAnsi="Arial"/>
          <w:sz w:val="18"/>
          <w:szCs w:val="18"/>
          <w:color w:val="auto"/>
        </w:rPr>
      </w:pPr>
    </w:p>
    <w:p>
      <w:pPr>
        <w:ind w:left="900" w:right="4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Audit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AUDIT COMMITTEE FINANCIAL EXPERT</w:t>
      </w:r>
    </w:p>
    <w:p>
      <w:pPr>
        <w:spacing w:after="0" w:line="16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“audit committee financial expert” means a member of the Audit Committee who has all of the following attributes: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understanding of GAAP and financial statements;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ability to assess the general application of such principles in connection with the accounting for estimates, accruals and reserves;</w:t>
      </w:r>
    </w:p>
    <w:p>
      <w:pPr>
        <w:spacing w:after="0" w:line="99"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Schlumberger’s financial statements, or experience actively supervising one or more persons engaged in such activities;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understanding of internal controls and procedures for financial reporting;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understanding of audit committee functions.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required attributes described in 1 above must have been acquired through one or more of the following:</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Education and experience as a principal financial officer, principal accounting officer, controller, public accountant or auditor or experience in one or more positions that involve the performance of similar functions;</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Experience actively supervising a principal financial officer, principal accounting officer, controller, public accountant, auditor or person performing similar functions;</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Experience overseeing or assessing the performance of companies or public accountants with respect to the preparation, auditing or evaluation of financial statements;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relevant experience.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Compensation Committee of the Board of Directors of Schlumberger shall consist of at least three Directors. The members of the Committee and its Chair shall be appointed by the Board, upon the recommendation of the Nominating and Governance Committee, and may be removed by the Board at its discretion. All members of the Committee shall, in the Board’s judgment, meet the applicable independence requirements of the New York Stock Exchange (“NYSE”), and all other applicable laws and regulations.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purpose of the Committee is to assist the Board in discharging its responsibilities with regard to executive compensation, oversee the general compensation philosophy of Schlumberger, serve as the Stock Option Committee under Schlumberger’s stock option plans, and report on executive compensation to the Company’s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Compensation Committee are:</w:t>
      </w:r>
    </w:p>
    <w:p>
      <w:pPr>
        <w:spacing w:after="0" w:line="77" w:lineRule="exact"/>
        <w:rPr>
          <w:sz w:val="20"/>
          <w:szCs w:val="20"/>
          <w:color w:val="auto"/>
        </w:rPr>
      </w:pPr>
    </w:p>
    <w:p>
      <w:pPr>
        <w:ind w:left="460" w:right="100" w:hanging="452"/>
        <w:spacing w:after="0" w:line="34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To review and approve the objectives, evaluate the performance, and review and recommend the compensation of Schlumberger’s Chief Executive Officer to the full Board meeting in an executive session of independent directors. The Committee bases its recommendations regarding CEO compensation on:</w:t>
      </w: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Schlumberger financial and business progress, and relative stockholder returns,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of compensation practices in businesses similar to those of Schlumberger.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review the compensation and benefits of Schlumberger’s officers.</w:t>
      </w:r>
    </w:p>
    <w:p>
      <w:pPr>
        <w:spacing w:after="0" w:line="76"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review incentive compensation and equity based plans, and to advise management and the Board on the design and structure of Schlumberger’s compensation and benefits programs and policies.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administer and make awards under Schlumberger’s stock option plans.</w:t>
      </w:r>
    </w:p>
    <w:p>
      <w:pPr>
        <w:spacing w:after="0" w:line="7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prepare the annual report on executive compensation required by the rules of the Securities and Exchange Commission to be included in the Company’s annual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shall meet at least three times a year, or more often as circumstances require, keep minutes of its proceeding and report regularly to the Board.</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Compensation Committee may invite to its meetings any director, officer of the Company or such other person as it deems appropriate to assist it in performing its responsibilities, and has the authority to retain independent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or other consultants to assist it in its responsibilities, and to approve related fees and other retention provisions.</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regulation, NYSE Listing Standards and the Articles of Incorporation of the Company.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Governance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8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Nominating and Governance Committee of the Board of Directors of Schlumberger shall consist of at least three Directors. The members of the Committee and its Chair shall be appointed by the Board and may be removed by the Board at its discretion. All members of the Committee shall, in the Board’s judgment, meet the applicable independence requirements of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83" w:lineRule="exact"/>
        <w:rPr>
          <w:sz w:val="20"/>
          <w:szCs w:val="20"/>
          <w:color w:val="auto"/>
        </w:rPr>
      </w:pPr>
    </w:p>
    <w:p>
      <w:pPr>
        <w:jc w:val="both"/>
        <w:ind w:right="500"/>
        <w:spacing w:after="0" w:line="335" w:lineRule="auto"/>
        <w:rPr>
          <w:sz w:val="20"/>
          <w:szCs w:val="20"/>
          <w:color w:val="auto"/>
        </w:rPr>
      </w:pPr>
      <w:r>
        <w:rPr>
          <w:rFonts w:ascii="Arial" w:cs="Arial" w:eastAsia="Arial" w:hAnsi="Arial"/>
          <w:sz w:val="15"/>
          <w:szCs w:val="15"/>
          <w:color w:val="auto"/>
        </w:rPr>
        <w:t>The purpose of the Nominating and Governance Committee is to assist the Board in identifying individuals qualified to become Directors under the criteria approved by the Board, nominate Directors to serve on and to chair the Board Committees, periodically review director compensation and benefits, review corporate governance trends, and recommend to the Board any improvements to the Company’s corporate governance guidelines as it deems appropriate.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Nominating and Governance Committee are:</w:t>
      </w:r>
    </w:p>
    <w:p>
      <w:pPr>
        <w:spacing w:after="0" w:line="77" w:lineRule="exact"/>
        <w:rPr>
          <w:sz w:val="20"/>
          <w:szCs w:val="20"/>
          <w:color w:val="auto"/>
        </w:rPr>
      </w:pPr>
    </w:p>
    <w:p>
      <w:pPr>
        <w:ind w:left="900" w:right="60" w:hanging="446"/>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lead the search for individuals qualified to become members of the Board. In obtaining the names of possible new nominees, the Committee may make its own inquiries and may solicit suggestions from other Directors, management, stockholders and other sources. The Committee will establish and maintain procedures for the submission of unsolicited recommendations for nominees, including appropriate deadlines and the type of information that must be provided with recommendations. All potential nominees must first be considered by the Committee before being contacted as possible nominees and before having their names formally considered by the full Board.</w:t>
      </w:r>
    </w:p>
    <w:p>
      <w:pPr>
        <w:spacing w:after="0" w:line="21"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the suitability of potential nominees for membership on the Board, taking into consideration the Board’s current composition, including expertise; gender, cultural and geographical diversity; and balance of inside, outside and independent directors and considering the general qualifications of the potential nominees, including:</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Integrity and honesty,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ability to exercise sound, mature and independent business judgment in the best interests of the stockholders as a whole,</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Recognized leadership in business or professional activity,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background and experience which will complement the talents of the other Board members,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Willingness and capability to take the time to actively participate in Board and Committee meetings and related activities,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Ability to work professionally and effectively with other Board members and Schlumberger management,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Availability to remain on the Board long enough to make an effective contribution,</w:t>
      </w:r>
    </w:p>
    <w:p>
      <w:pPr>
        <w:spacing w:after="0" w:line="76"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Absence of material relationships with competitors or other third parties that could present realistic possibilities of conflict of interest or legal issues, and see that all necessary and appropriate inquiries are made into the backgrounds of such candidates.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0" w:name="page31"/>
    <w:bookmarkEnd w:id="30"/>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periodically review the qualifications and criteria taken into consideration in the evaluation of potential nominees for membership on the Board.</w:t>
      </w:r>
    </w:p>
    <w:p>
      <w:pPr>
        <w:spacing w:after="0" w:line="99"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recommend to the Board the number and names of proposed nominees for election as Director at the Annual Meeting of Stockholders and, in the case of a vacancy on the Board, the name of an individual to fill the vacancy.</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consider the resignation of a director who has changed his or her principal occupation and inform the Board as to whether or not the Committee recommends that the Board accept the resignation.</w:t>
      </w:r>
    </w:p>
    <w:p>
      <w:pPr>
        <w:spacing w:after="0" w:line="37"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review the direct and indirect relationships of members of the Board with the Company or its management and assist the Board with its determination of the independence of its members.</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45"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monitor trends and best practices in Director compensation, benefits and stock ownership guidelines and recommend changes to the Board as it deems appropriate in accordance with the Corporate Governance Guidelines.</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annually review and make recommendations to the Board regarding its process for evaluating the effectiveness of the Board and its Committees. The Committee shall oversee the annual assessment of Board effectiveness and report to the Board.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periodically review and make recommendations to the Board regarding new Director orientation and Director continuing education.</w:t>
      </w:r>
    </w:p>
    <w:p>
      <w:pPr>
        <w:spacing w:after="0" w:line="99"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annually recommend to the Board following the annual meeting of stockholders, Committee membership and chairs and review periodically with the Board Committee rotation practices. The Committee also has the authority and responsibility to recommend to the Board, as needed, the formation of ad hoc committees of the board to deal with specific issues, as well as the membership and chairs of ad hoc committees, and for the assignment of specific tasks that fall outside the scope of the Committees to individual members of the Board.</w:t>
      </w:r>
    </w:p>
    <w:p>
      <w:pPr>
        <w:spacing w:after="0" w:line="18" w:lineRule="exact"/>
        <w:rPr>
          <w:rFonts w:ascii="Arial" w:cs="Arial" w:eastAsia="Arial" w:hAnsi="Arial"/>
          <w:sz w:val="16"/>
          <w:szCs w:val="16"/>
          <w:color w:val="auto"/>
        </w:rPr>
      </w:pPr>
    </w:p>
    <w:p>
      <w:pPr>
        <w:jc w:val="both"/>
        <w:ind w:left="900" w:right="2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approve the membership of any executive director or officer on a non-SLB listed company board, and to be timely informed by non-executive directors of any new listed company board to which they have been nominated for election as director and of any change in their existing status as director on any other listed company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Nominating and Governance Committee shall meet at least two times a year, or more often as circumstances require, keep minutes of its proceedings and report regularly to the Board.</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Nominating and Governance Committee may invite to its meetings any director, officer of the Company or such other person as it deems appropriate to assist it in performing its responsibilities, and has the authority to retain independent search or other consultants to assist it in identifying potential Director nominees, and to terminate any such search, in its sole discretion, and to approve related fees and other retention provisions.</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Nominating and Governance Committee may delegate specific responsibilities to one or more individual Committee members to the extent permitted by law, regulation, NYSE Listing Standards and the Articles of Incorporation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1" w:name="page32"/>
    <w:bookmarkEnd w:id="31"/>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Nominating and Governance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80" w:right="4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(As Established Effective April 14, 2004)</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5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Directors to attain and maintain the highest standards of performance, to attract and retain Directors of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 The Plan has been established effective April 14, 2004, subject to the approval of the stockholders of the Company at the April 2004 annual meeting.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left="460" w:right="560" w:firstLine="438"/>
        <w:spacing w:after="0" w:line="268"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77"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means Schlumberger Limited, a Netherlands Antilles corporation.</w:t>
      </w:r>
    </w:p>
    <w:p>
      <w:pPr>
        <w:spacing w:after="0" w:line="77" w:lineRule="exact"/>
        <w:rPr>
          <w:sz w:val="20"/>
          <w:szCs w:val="20"/>
          <w:color w:val="auto"/>
        </w:rPr>
      </w:pPr>
    </w:p>
    <w:p>
      <w:pPr>
        <w:ind w:left="460" w:right="800" w:firstLine="438"/>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is made or commences, as determined in accordance with Section 5.1.</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“Effective Date” means April 14, 2004.</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77"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“Stock Account” means the bookkeeping account maintained for each Participant to record certain amounts deferred by the Participant in accordance with Article IV 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33" w:name="page34"/>
    <w:bookmarkEnd w:id="3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Award” means an award of shares of Common Stock, restricted Common Stock or restricted Stock Units pursuant to Article III.</w:t>
      </w:r>
    </w:p>
    <w:p>
      <w:pPr>
        <w:spacing w:after="0" w:line="100"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0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Committee Liability</w:t>
      </w:r>
      <w:r>
        <w:rPr>
          <w:rFonts w:ascii="Arial" w:cs="Arial" w:eastAsia="Arial" w:hAnsi="Arial"/>
          <w:sz w:val="16"/>
          <w:szCs w:val="16"/>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93"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5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shall be available for Stock Awards during the term of this Plan an aggregate of 150,000 shares of Common Stock. Shares of Common Stock will be made available from either the Company’s authorized but unissued shares or treasury shares that have been issued but reacquired by the Company.</w:t>
      </w:r>
    </w:p>
    <w:p>
      <w:pPr>
        <w:spacing w:after="0" w:line="12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On each Annual Director Award Date, each Eligible Director shall automatically be granted a Stock Award with respect to 2,000 shares of Common Stock in the form of a number of shares of Common Stock, restricted Common Stock or restricted Stock Units, with the form of such Stock Award to be determined by the Committee; provided, however, that no more than 30,000 shares of Common Stock, restricted Common Stock or restricted Stock Units may be awarded in any calendar year. The Stock Award shall be subject to such terms, conditions and restrictions (including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as the Committee may determine in its discretion in connection with such award. In the event that on any Annual Director Award Date there are an insufficient number of shares reserved to make the automatic grants contemplated by this section, the number of shares subject to the Stock Awards made to each Eligible Director shall be reduced on a pro rata basis.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by submitting a Deferral Election in the manner specified by the Committee. The Deferral Election (i) shall specify the number of shares of Common Stock the receipt of which the Participant elects to defer, (ii) shall designate the period of deferral among the choices provided in Section 5.1, and (iii) may not be revoked or modified without the prior written approval of the Committee.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For the initial grants of Stock Awards in 2004 pursuant to Section 3.2, Deferral Elections must be made no later than April 13,</w:t>
      </w:r>
    </w:p>
    <w:p>
      <w:pPr>
        <w:spacing w:after="0" w:line="38"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2004. For annual grants of Stock Awards pursuant to Section 3.2 after 2004, Deferral Elections must be made no later than the last day of the calendar year preceding the Annual Director Award Date. For newly appointed directors, Deferral Elections must be completed no later than the date 15 days after commencement of services as a Director. The Committee shall be authorized to adopt such other rules and limitations as it shall determine are necessary or appropriate with respect to the timing of elections to defer Stock Awards under the Plan.</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Establishment of Accounts</w:t>
      </w:r>
      <w:r>
        <w:rPr>
          <w:rFonts w:ascii="Arial" w:cs="Arial" w:eastAsia="Arial" w:hAnsi="Arial"/>
          <w:sz w:val="18"/>
          <w:szCs w:val="18"/>
          <w:color w:val="auto"/>
        </w:rPr>
        <w:t>. The Company shall also set up an appropriate record (hereinafter called the “Stock Account”) which will from time to time reflect the name of each Participant and the number of restricted Stock Units and, if applicable, dividend equivalents credited to such Participant pursuant to Section 4.4.</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shall be credited to the Participant’s Stock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Stock Account as of such date. No interest will be credited to a Participant’s Stock Account with respect to any restricted Stock Units. In the event that a dividend is paid on Common Stock during the period that restricted Stock Units are credited to the Participant’s Stock Account, an amount equivalent to the amount of the dividend will be credited to the Participant’s Stock Account and the accumulated amount will be paid out without interest at the end of the period of deferral.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77" w:lineRule="exact"/>
        <w:rPr>
          <w:sz w:val="20"/>
          <w:szCs w:val="20"/>
          <w:color w:val="auto"/>
        </w:rPr>
      </w:pPr>
    </w:p>
    <w:p>
      <w:pPr>
        <w:ind w:left="460" w:right="40" w:firstLine="4"/>
        <w:spacing w:after="0" w:line="291" w:lineRule="auto"/>
        <w:tabs>
          <w:tab w:leader="none" w:pos="69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5" w:lineRule="exact"/>
        <w:rPr>
          <w:rFonts w:ascii="Arial" w:cs="Arial" w:eastAsia="Arial" w:hAnsi="Arial"/>
          <w:sz w:val="16"/>
          <w:szCs w:val="16"/>
          <w:color w:val="auto"/>
        </w:rPr>
      </w:pPr>
    </w:p>
    <w:p>
      <w:pPr>
        <w:ind w:left="460" w:right="440" w:firstLine="4"/>
        <w:spacing w:after="0" w:line="332" w:lineRule="auto"/>
        <w:tabs>
          <w:tab w:leader="none" w:pos="70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5" w:name="page36"/>
    <w:bookmarkEnd w:id="35"/>
    <w:p>
      <w:pPr>
        <w:ind w:left="46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such class of Common Stock; (ii) the appropriate fair market value and other price determinations for such restricted Stock Units; (iii) the number of shares reserved for issuance under this Plan in Section 3.1 and (iv) the limitation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DEFERRED SHARES</w:t>
      </w:r>
    </w:p>
    <w:p>
      <w:pPr>
        <w:spacing w:after="0" w:line="1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Period of Deferral</w:t>
      </w:r>
      <w:r>
        <w:rPr>
          <w:rFonts w:ascii="Arial" w:cs="Arial" w:eastAsia="Arial" w:hAnsi="Arial"/>
          <w:sz w:val="18"/>
          <w:szCs w:val="18"/>
          <w:color w:val="auto"/>
        </w:rPr>
        <w:t>. With respect to (a) Stock Awards deferred pursuant to Section 4.1, a Participant may elect that delivery of deferred Stock Awards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3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Delivery of Deferred Stock Awards</w:t>
      </w:r>
      <w:r>
        <w:rPr>
          <w:rFonts w:ascii="Arial" w:cs="Arial" w:eastAsia="Arial" w:hAnsi="Arial"/>
          <w:sz w:val="15"/>
          <w:szCs w:val="15"/>
          <w:color w:val="auto"/>
        </w:rPr>
        <w:t>. As of the Determination Date, the aggregate number of restricted Stock Units and, if applicable, dividend equivalents credited to a Participant’s Stock Account as of such Determination Date shall be calculated. A Participant shall receive delivery of a number of shares of Common Stock equal to the aggregate number of restricted Stock Units and a cash payment equal to the amount of the aggregate dividend equivalents.</w:t>
      </w:r>
    </w:p>
    <w:p>
      <w:pPr>
        <w:spacing w:after="0" w:line="7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Death Prior to Payment</w:t>
      </w:r>
      <w:r>
        <w:rPr>
          <w:rFonts w:ascii="Arial" w:cs="Arial" w:eastAsia="Arial" w:hAnsi="Arial"/>
          <w:sz w:val="16"/>
          <w:szCs w:val="16"/>
          <w:color w:val="auto"/>
        </w:rPr>
        <w:t>. In the event that a Participant dies prior to delivery of all shares and funds deliverable pursuant to the Plan, any remaining shares and funds shall be delivered to the Participant’s estate within 60 days following the Company’s notification of the Participant’s death.</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Delivery to Incompetents</w:t>
      </w:r>
      <w:r>
        <w:rPr>
          <w:rFonts w:ascii="Arial" w:cs="Arial" w:eastAsia="Arial" w:hAnsi="Arial"/>
          <w:sz w:val="18"/>
          <w:szCs w:val="18"/>
          <w:color w:val="auto"/>
        </w:rPr>
        <w:t>. To the extent allowed under applicable law, should the Participant become incompetent, the Company shall be authorized to deliver shares and funds deliverable pursuant to the Plan to a guardian or legal representative of such incompetent, or directly to such incompetent, whichever manner the Committee shall determine in its sole discretion.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Unfunded Plan</w:t>
      </w:r>
      <w:r>
        <w:rPr>
          <w:rFonts w:ascii="Arial" w:cs="Arial" w:eastAsia="Arial" w:hAnsi="Arial"/>
          <w:sz w:val="18"/>
          <w:szCs w:val="18"/>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Stock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Stock Account as of a recent date designated by the Committee.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or Title I of the Employee Retirement Income Security Act of 1974, as amended, or the rules thereunder. Any attempted assignment of any benefit under this Plan in violation of this Section 6.4 shall be null and void.</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Amendment, Modification, Suspension or Termination</w:t>
      </w:r>
      <w:r>
        <w:rPr>
          <w:rFonts w:ascii="Arial" w:cs="Arial" w:eastAsia="Arial" w:hAnsi="Arial"/>
          <w:sz w:val="16"/>
          <w:szCs w:val="16"/>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Stock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10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New York.</w:t>
      </w:r>
    </w:p>
    <w:p>
      <w:pPr>
        <w:spacing w:after="0" w:line="4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Effect on Prior Plan’s Term</w:t>
      </w:r>
      <w:r>
        <w:rPr>
          <w:rFonts w:ascii="Arial" w:cs="Arial" w:eastAsia="Arial" w:hAnsi="Arial"/>
          <w:sz w:val="18"/>
          <w:szCs w:val="18"/>
          <w:color w:val="auto"/>
        </w:rPr>
        <w:t>. Effective as of the date of stockholder approval of the Plan as contemplated in the last sentence of Section 1.1, the Schlumberger Limited Stock and Deferral Plan for Non-Employee Directors, as established effective April 19, 2001 (the “Prior Plan”), shall be frozen, and no additional Stock Awards shall be made under the Prior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86"/>
              </w:rPr>
              <w:t>(Stated in thousands except per share amounts)</w:t>
            </w:r>
          </w:p>
        </w:tc>
        <w:tc>
          <w:tcPr>
            <w:tcW w:w="0" w:type="dxa"/>
            <w:vAlign w:val="bottom"/>
          </w:tcPr>
          <w:p>
            <w:pPr>
              <w:spacing w:after="0"/>
              <w:rPr>
                <w:sz w:val="1"/>
                <w:szCs w:val="1"/>
                <w:color w:val="auto"/>
              </w:rPr>
            </w:pPr>
          </w:p>
        </w:tc>
      </w:tr>
      <w:tr>
        <w:trPr>
          <w:trHeight w:val="174"/>
        </w:trPr>
        <w:tc>
          <w:tcPr>
            <w:tcW w:w="77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0" w:type="dxa"/>
            <w:vAlign w:val="bottom"/>
          </w:tcPr>
          <w:p>
            <w:pPr>
              <w:spacing w:after="0"/>
              <w:rPr>
                <w:sz w:val="15"/>
                <w:szCs w:val="15"/>
                <w:color w:val="auto"/>
              </w:rPr>
            </w:pPr>
          </w:p>
        </w:tc>
        <w:tc>
          <w:tcPr>
            <w:tcW w:w="81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86"/>
              </w:rPr>
              <w:t>13,892,604</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13,117,562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13,755,926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14,059,097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13,256,630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13,998,184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Cost of goods sold and services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w w:val="86"/>
              </w:rPr>
              <w:t>11,419,873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13,525,742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10,816,096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350,996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353,622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167,801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334,336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13,491,354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15,483,653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12,911,324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(2,227,023)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209,386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(2,509,093)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114,200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(28,545)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(2,417,214)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10" w:type="dxa"/>
            <w:vAlign w:val="bottom"/>
          </w:tcPr>
          <w:p>
            <w:pPr>
              <w:spacing w:after="0"/>
              <w:rPr>
                <w:sz w:val="19"/>
                <w:szCs w:val="19"/>
                <w:color w:val="auto"/>
              </w:rPr>
            </w:pPr>
          </w:p>
        </w:tc>
        <w:tc>
          <w:tcPr>
            <w:tcW w:w="91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(89,555)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383,002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(2,319,995)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Add back amortization of goodwill</w:t>
            </w:r>
          </w:p>
        </w:tc>
        <w:tc>
          <w:tcPr>
            <w:tcW w:w="110" w:type="dxa"/>
            <w:vAlign w:val="bottom"/>
          </w:tcPr>
          <w:p>
            <w:pPr>
              <w:spacing w:after="0"/>
              <w:rPr>
                <w:sz w:val="19"/>
                <w:szCs w:val="19"/>
                <w:color w:val="auto"/>
              </w:rPr>
            </w:pPr>
          </w:p>
        </w:tc>
        <w:tc>
          <w:tcPr>
            <w:tcW w:w="91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Add back amortization of goodwill</w:t>
            </w:r>
          </w:p>
        </w:tc>
        <w:tc>
          <w:tcPr>
            <w:tcW w:w="110" w:type="dxa"/>
            <w:vAlign w:val="bottom"/>
          </w:tcPr>
          <w:p>
            <w:pPr>
              <w:spacing w:after="0"/>
              <w:rPr>
                <w:sz w:val="19"/>
                <w:szCs w:val="19"/>
                <w:color w:val="auto"/>
              </w:rPr>
            </w:pPr>
          </w:p>
        </w:tc>
        <w:tc>
          <w:tcPr>
            <w:tcW w:w="91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earnings (loss) per share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586,491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578,588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-2933700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-2933700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-2933700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-2933700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-2933700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-2933700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-2933700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-2933700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-2933700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-1656080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-1656080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-1656080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-1656080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-1656080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-1656080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-1656080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-1656080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-1656080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-377825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-377825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-377825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-377825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-377825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-377825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-377825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-377825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-377825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w w:val="91"/>
              </w:rPr>
              <w:t>(Stated in thousands)</w:t>
            </w:r>
          </w:p>
        </w:tc>
        <w:tc>
          <w:tcPr>
            <w:tcW w:w="0" w:type="dxa"/>
            <w:vAlign w:val="bottom"/>
          </w:tcPr>
          <w:p>
            <w:pPr>
              <w:spacing w:after="0"/>
              <w:rPr>
                <w:sz w:val="1"/>
                <w:szCs w:val="1"/>
                <w:color w:val="auto"/>
              </w:rPr>
            </w:pPr>
          </w:p>
        </w:tc>
      </w:tr>
      <w:tr>
        <w:trPr>
          <w:trHeight w:val="174"/>
        </w:trPr>
        <w:tc>
          <w:tcPr>
            <w:tcW w:w="86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10" w:type="dxa"/>
            <w:vAlign w:val="bottom"/>
          </w:tcPr>
          <w:p>
            <w:pPr>
              <w:spacing w:after="0"/>
              <w:rPr>
                <w:sz w:val="15"/>
                <w:szCs w:val="15"/>
                <w:color w:val="auto"/>
              </w:rPr>
            </w:pPr>
          </w:p>
        </w:tc>
        <w:tc>
          <w:tcPr>
            <w:tcW w:w="79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5"/>
                <w:szCs w:val="15"/>
                <w:color w:val="auto"/>
              </w:rPr>
            </w:pPr>
          </w:p>
        </w:tc>
        <w:tc>
          <w:tcPr>
            <w:tcW w:w="79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10" w:type="dxa"/>
            <w:vAlign w:val="bottom"/>
            <w:tcBorders>
              <w:top w:val="single" w:sz="8" w:color="CCEEFF"/>
            </w:tcBorders>
            <w:shd w:val="clear" w:color="auto" w:fill="CCEEFF"/>
          </w:tcPr>
          <w:p>
            <w:pPr>
              <w:spacing w:after="0" w:line="20" w:lineRule="exact"/>
              <w:rPr>
                <w:sz w:val="1"/>
                <w:szCs w:val="1"/>
                <w:color w:val="auto"/>
              </w:rPr>
            </w:pPr>
          </w:p>
        </w:tc>
        <w:tc>
          <w:tcPr>
            <w:tcW w:w="79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Current Assets</w:t>
            </w: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234,192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2,874,781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(2003—$128,199; 2002—$172,871)</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2,568,425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796,559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315,350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Other current assets</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341,973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Assets held for sale</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3,237,841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10,369,121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5"/>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10" w:type="dxa"/>
            <w:vAlign w:val="bottom"/>
          </w:tcPr>
          <w:p>
            <w:pPr>
              <w:spacing w:after="0"/>
              <w:rPr>
                <w:sz w:val="24"/>
                <w:szCs w:val="24"/>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223,300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776,965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3,799,711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505,784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Goodwill</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3,284,254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403,319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Deferred Taxes</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316,277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362,595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20,041,326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AND STOCKHOLDERS’ EQUITY</w:t>
            </w:r>
          </w:p>
        </w:tc>
        <w:tc>
          <w:tcPr>
            <w:tcW w:w="5000" w:type="dxa"/>
            <w:vAlign w:val="bottom"/>
            <w:tcBorders>
              <w:bottom w:val="single" w:sz="8" w:color="CCEEFF"/>
            </w:tcBorders>
            <w:shd w:val="clear" w:color="auto" w:fill="CCEEFF"/>
          </w:tcPr>
          <w:p>
            <w:pPr>
              <w:spacing w:after="0"/>
              <w:rPr>
                <w:sz w:val="17"/>
                <w:szCs w:val="17"/>
                <w:color w:val="auto"/>
              </w:rPr>
            </w:pPr>
          </w:p>
        </w:tc>
        <w:tc>
          <w:tcPr>
            <w:tcW w:w="110" w:type="dxa"/>
            <w:vAlign w:val="bottom"/>
            <w:tcBorders>
              <w:bottom w:val="single" w:sz="8" w:color="CCEEFF"/>
            </w:tcBorders>
            <w:shd w:val="clear" w:color="auto" w:fill="CCEEFF"/>
          </w:tcPr>
          <w:p>
            <w:pPr>
              <w:spacing w:after="0"/>
              <w:rPr>
                <w:sz w:val="17"/>
                <w:szCs w:val="17"/>
                <w:color w:val="auto"/>
              </w:rPr>
            </w:pPr>
          </w:p>
        </w:tc>
        <w:tc>
          <w:tcPr>
            <w:tcW w:w="79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Current Liabilities</w:t>
            </w: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3,247,545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807,938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Long-term debt—current portion</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889,678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Bank &amp; short-term loans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521,490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Liabilities held for sale</w:t>
            </w: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1,217,568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6,794,730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5"/>
          </w:tcPr>
          <w:p>
            <w:pPr>
              <w:spacing w:after="0"/>
              <w:rPr>
                <w:sz w:val="20"/>
                <w:szCs w:val="20"/>
                <w:color w:val="auto"/>
              </w:rPr>
            </w:pPr>
            <w:r>
              <w:rPr>
                <w:rFonts w:ascii="Arial" w:cs="Arial" w:eastAsia="Arial" w:hAnsi="Arial"/>
                <w:sz w:val="18"/>
                <w:szCs w:val="18"/>
                <w:i w:val="1"/>
                <w:iCs w:val="1"/>
                <w:color w:val="auto"/>
              </w:rPr>
              <w:t>Long-term Debt</w:t>
            </w:r>
          </w:p>
        </w:tc>
        <w:tc>
          <w:tcPr>
            <w:tcW w:w="110" w:type="dxa"/>
            <w:vAlign w:val="bottom"/>
          </w:tcPr>
          <w:p>
            <w:pPr>
              <w:spacing w:after="0"/>
              <w:rPr>
                <w:sz w:val="24"/>
                <w:szCs w:val="24"/>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6,097,418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6,028,549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614,850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4"/>
          </w:tcPr>
          <w:p>
            <w:pPr>
              <w:spacing w:after="0"/>
              <w:rPr>
                <w:sz w:val="20"/>
                <w:szCs w:val="20"/>
                <w:color w:val="auto"/>
              </w:rPr>
            </w:pPr>
            <w:r>
              <w:rPr>
                <w:rFonts w:ascii="Arial" w:cs="Arial" w:eastAsia="Arial" w:hAnsi="Arial"/>
                <w:sz w:val="18"/>
                <w:szCs w:val="18"/>
                <w:i w:val="1"/>
                <w:iCs w:val="1"/>
                <w:color w:val="auto"/>
              </w:rPr>
              <w:t>Other Liabilities</w:t>
            </w: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rPr>
              <w:t>254,709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13,761,707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13,275,530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398,330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Common Stock</w:t>
            </w:r>
          </w:p>
        </w:tc>
        <w:tc>
          <w:tcPr>
            <w:tcW w:w="11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b w:val="1"/>
                <w:bCs w:val="1"/>
                <w:color w:val="auto"/>
                <w:w w:val="94"/>
              </w:rPr>
              <w:t>2,258,488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Income retained for use in the business</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5,505,744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tcPr>
          <w:p>
            <w:pPr>
              <w:ind w:left="420"/>
              <w:spacing w:after="0"/>
              <w:rPr>
                <w:sz w:val="20"/>
                <w:szCs w:val="20"/>
                <w:color w:val="auto"/>
              </w:rPr>
            </w:pPr>
            <w:r>
              <w:rPr>
                <w:rFonts w:ascii="Arial" w:cs="Arial" w:eastAsia="Arial" w:hAnsi="Arial"/>
                <w:sz w:val="18"/>
                <w:szCs w:val="18"/>
                <w:color w:val="auto"/>
              </w:rPr>
              <w:t>Treasury stock at cost</w:t>
            </w:r>
          </w:p>
        </w:tc>
        <w:tc>
          <w:tcPr>
            <w:tcW w:w="110" w:type="dxa"/>
            <w:vAlign w:val="bottom"/>
          </w:tcPr>
          <w:p>
            <w:pPr>
              <w:spacing w:after="0"/>
              <w:rPr>
                <w:sz w:val="18"/>
                <w:szCs w:val="18"/>
                <w:color w:val="auto"/>
              </w:rPr>
            </w:pPr>
          </w:p>
        </w:tc>
        <w:tc>
          <w:tcPr>
            <w:tcW w:w="145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89"/>
              </w:rPr>
              <w:t>(1,508,239)</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(1,578,358)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10" w:type="dxa"/>
            <w:vAlign w:val="bottom"/>
            <w:shd w:val="clear" w:color="auto" w:fill="CCEEFF"/>
          </w:tcPr>
          <w:p>
            <w:pPr>
              <w:spacing w:after="0"/>
              <w:rPr>
                <w:sz w:val="18"/>
                <w:szCs w:val="18"/>
                <w:color w:val="auto"/>
              </w:rPr>
            </w:pPr>
          </w:p>
        </w:tc>
        <w:tc>
          <w:tcPr>
            <w:tcW w:w="145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(374,704)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5,881,289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20,041,326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spacing w:after="0"/>
              <w:rPr>
                <w:sz w:val="11"/>
                <w:szCs w:val="11"/>
                <w:color w:val="auto"/>
              </w:rPr>
            </w:pPr>
          </w:p>
        </w:tc>
        <w:tc>
          <w:tcPr>
            <w:tcW w:w="2980" w:type="dxa"/>
            <w:vAlign w:val="bottom"/>
            <w:gridSpan w:val="2"/>
          </w:tcPr>
          <w:p>
            <w:pPr>
              <w:spacing w:after="0"/>
              <w:rPr>
                <w:sz w:val="11"/>
                <w:szCs w:val="11"/>
                <w:color w:val="auto"/>
              </w:rPr>
            </w:pPr>
          </w:p>
        </w:tc>
        <w:tc>
          <w:tcPr>
            <w:tcW w:w="50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8620" w:type="dxa"/>
            <w:vAlign w:val="bottom"/>
            <w:gridSpan w:val="5"/>
          </w:tcPr>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tc>
        <w:tc>
          <w:tcPr>
            <w:tcW w:w="11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-4356735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-4356735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-4356735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-4356735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-4356735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-4356735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-231775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-231775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-231775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-231775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-231775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-231775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4"/>
                <w:szCs w:val="14"/>
                <w:i w:val="1"/>
                <w:iCs w:val="1"/>
                <w:color w:val="auto"/>
              </w:rPr>
              <w:t>(Stated in thousands)</w:t>
            </w:r>
          </w:p>
        </w:tc>
        <w:tc>
          <w:tcPr>
            <w:tcW w:w="0" w:type="dxa"/>
            <w:vAlign w:val="bottom"/>
          </w:tcPr>
          <w:p>
            <w:pPr>
              <w:spacing w:after="0"/>
              <w:rPr>
                <w:sz w:val="1"/>
                <w:szCs w:val="1"/>
                <w:color w:val="auto"/>
              </w:rPr>
            </w:pPr>
          </w:p>
        </w:tc>
      </w:tr>
      <w:tr>
        <w:trPr>
          <w:trHeight w:val="174"/>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0" w:type="dxa"/>
            <w:vAlign w:val="bottom"/>
          </w:tcPr>
          <w:p>
            <w:pPr>
              <w:spacing w:after="0"/>
              <w:rPr>
                <w:sz w:val="15"/>
                <w:szCs w:val="15"/>
                <w:color w:val="auto"/>
              </w:rPr>
            </w:pPr>
          </w:p>
        </w:tc>
        <w:tc>
          <w:tcPr>
            <w:tcW w:w="77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472,557</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(2,417,214)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w w:val="92"/>
              </w:rPr>
              <w:t>1,570,851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1,533,406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1,875,559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the sale of Grant Prideco stock</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(1,320)</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Non-cash charges and gains on sale of businesses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439,976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3,196,923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drilling rigs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(86,858)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(74,596)</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(64,280)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(12,286)</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(48,702)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Provision for losses on accounts receivable</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53,303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66,425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(Increase) decrease in receivables</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(74,118)</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542,669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inventories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(Increase) decrease in other current assets</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(47,274)</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47,938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payable and accrued liabilities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(535,121)</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(592,878)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175,857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28,470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postretirement benefits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70,394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gridSpan w:val="2"/>
          </w:tcPr>
          <w:p>
            <w:pPr>
              <w:ind w:left="860"/>
              <w:spacing w:after="0"/>
              <w:rPr>
                <w:sz w:val="20"/>
                <w:szCs w:val="20"/>
                <w:color w:val="auto"/>
              </w:rPr>
            </w:pPr>
            <w:r>
              <w:rPr>
                <w:rFonts w:ascii="Arial" w:cs="Arial" w:eastAsia="Arial" w:hAnsi="Arial"/>
                <w:sz w:val="18"/>
                <w:szCs w:val="18"/>
                <w:color w:val="auto"/>
              </w:rPr>
              <w:t>Other—net</w:t>
            </w:r>
          </w:p>
        </w:tc>
        <w:tc>
          <w:tcPr>
            <w:tcW w:w="110" w:type="dxa"/>
            <w:vAlign w:val="bottom"/>
          </w:tcPr>
          <w:p>
            <w:pPr>
              <w:spacing w:after="0"/>
              <w:rPr>
                <w:sz w:val="19"/>
                <w:szCs w:val="19"/>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(21,830)</w:t>
            </w:r>
          </w:p>
        </w:tc>
        <w:tc>
          <w:tcPr>
            <w:tcW w:w="12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(144,158)</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(162,602)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2,112,999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2,173,783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1,561,405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Purchases of fixed assets</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(1,025,264)</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(1,357,741)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(2,036,508)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(149,765)</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(344,705)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(77,104)</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Sales/retirements of fixed assets &amp; other</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Sale of Grant Prideco stock</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105,590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PIGAP settlement</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Hanover Compressor note</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176,955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Sema plc</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(132,155)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(4,778,498)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Other business acquisitions</w:t>
            </w:r>
          </w:p>
        </w:tc>
        <w:tc>
          <w:tcPr>
            <w:tcW w:w="110" w:type="dxa"/>
            <w:vAlign w:val="bottom"/>
          </w:tcPr>
          <w:p>
            <w:pPr>
              <w:spacing w:after="0"/>
              <w:rPr>
                <w:sz w:val="18"/>
                <w:szCs w:val="18"/>
                <w:color w:val="auto"/>
              </w:rPr>
            </w:pPr>
          </w:p>
        </w:tc>
        <w:tc>
          <w:tcPr>
            <w:tcW w:w="129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(44,431)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acquisition related payments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(70,340)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from business divestitures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298,674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259,271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drilling rigs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Option payment on sale of drilling rigs</w:t>
            </w:r>
          </w:p>
        </w:tc>
        <w:tc>
          <w:tcPr>
            <w:tcW w:w="110" w:type="dxa"/>
            <w:vAlign w:val="bottom"/>
          </w:tcPr>
          <w:p>
            <w:pPr>
              <w:spacing w:after="0"/>
              <w:rPr>
                <w:sz w:val="18"/>
                <w:szCs w:val="18"/>
                <w:color w:val="auto"/>
              </w:rPr>
            </w:pPr>
          </w:p>
        </w:tc>
        <w:tc>
          <w:tcPr>
            <w:tcW w:w="129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24,900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(purchase) of investments, net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(1,145,700)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2,430,911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(1,486,619)</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(1,412,199)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(4,349,239)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(437,023)</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(433,134)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132,741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39,752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debentures (net of fees)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1,399,612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Payment of debt extinguishment costs</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(167,801)</w:t>
            </w:r>
          </w:p>
        </w:tc>
        <w:tc>
          <w:tcPr>
            <w:tcW w:w="1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2,041,304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933,709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Payments of principal on long-term debt</w:t>
            </w:r>
          </w:p>
        </w:tc>
        <w:tc>
          <w:tcPr>
            <w:tcW w:w="110" w:type="dxa"/>
            <w:vAlign w:val="bottom"/>
          </w:tcPr>
          <w:p>
            <w:pPr>
              <w:spacing w:after="0"/>
              <w:rPr>
                <w:sz w:val="18"/>
                <w:szCs w:val="18"/>
                <w:color w:val="auto"/>
              </w:rPr>
            </w:pPr>
          </w:p>
        </w:tc>
        <w:tc>
          <w:tcPr>
            <w:tcW w:w="129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(3,399,773)</w:t>
            </w: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(1,179,321)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(2,092,670)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increase in short-term debt</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(167,150)</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(308,623)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(558,338)</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(812,284)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2,784,398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(8,415)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b w:val="1"/>
                <w:bCs w:val="1"/>
                <w:color w:val="auto"/>
              </w:rPr>
              <w:t>6,455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20" w:type="dxa"/>
            <w:vAlign w:val="bottom"/>
            <w:gridSpan w:val="3"/>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4"/>
        </w:trPr>
        <w:tc>
          <w:tcPr>
            <w:tcW w:w="7620" w:type="dxa"/>
            <w:vAlign w:val="bottom"/>
            <w:gridSpan w:val="3"/>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multiclient seismic data costs.</w:t>
            </w: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20" w:type="dxa"/>
            <w:vAlign w:val="bottom"/>
            <w:gridSpan w:val="3"/>
          </w:tcPr>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-557530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-557530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-557530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-557530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-557530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-557530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-557530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672"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w w:val="91"/>
              </w:rPr>
              <w:t>(Stated in thousands)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10"/>
          </w:tcPr>
          <w:p>
            <w:pPr>
              <w:jc w:val="center"/>
              <w:ind w:right="880"/>
              <w:spacing w:after="0"/>
              <w:rPr>
                <w:sz w:val="20"/>
                <w:szCs w:val="20"/>
                <w:color w:val="auto"/>
              </w:rPr>
            </w:pPr>
            <w:r>
              <w:rPr>
                <w:rFonts w:ascii="Arial" w:cs="Arial" w:eastAsia="Arial" w:hAnsi="Arial"/>
                <w:sz w:val="14"/>
                <w:szCs w:val="14"/>
                <w:b w:val="1"/>
                <w:bCs w:val="1"/>
                <w:color w:val="auto"/>
                <w:w w:val="86"/>
              </w:rPr>
              <w:t>Accumulated Other Comprehensive 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Marked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Pension</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Translation</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Issued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Income</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to Market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Liability</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Adjustment</w:t>
            </w: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$ 1,963,905</w:t>
            </w:r>
          </w:p>
        </w:tc>
        <w:tc>
          <w:tcPr>
            <w:tcW w:w="15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(1,752,961)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8,223,476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(139,204)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(171,930)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RMS disposition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(49,569)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Sales to optionees less shares exchanged</w:t>
            </w:r>
          </w:p>
        </w:tc>
        <w:tc>
          <w:tcPr>
            <w:tcW w:w="820" w:type="dxa"/>
            <w:vAlign w:val="bottom"/>
          </w:tcPr>
          <w:p>
            <w:pPr>
              <w:jc w:val="right"/>
              <w:spacing w:after="0"/>
              <w:rPr>
                <w:sz w:val="20"/>
                <w:szCs w:val="20"/>
                <w:color w:val="auto"/>
              </w:rPr>
            </w:pPr>
            <w:r>
              <w:rPr>
                <w:rFonts w:ascii="Arial" w:cs="Arial" w:eastAsia="Arial" w:hAnsi="Arial"/>
                <w:sz w:val="18"/>
                <w:szCs w:val="18"/>
                <w:color w:val="auto"/>
              </w:rPr>
              <w:t>17,130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25,420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820" w:type="dxa"/>
            <w:vAlign w:val="bottom"/>
          </w:tcPr>
          <w:p>
            <w:pPr>
              <w:jc w:val="right"/>
              <w:spacing w:after="0"/>
              <w:rPr>
                <w:sz w:val="20"/>
                <w:szCs w:val="20"/>
                <w:color w:val="auto"/>
              </w:rPr>
            </w:pPr>
            <w:r>
              <w:rPr>
                <w:rFonts w:ascii="Arial" w:cs="Arial" w:eastAsia="Arial" w:hAnsi="Arial"/>
                <w:sz w:val="18"/>
                <w:szCs w:val="18"/>
                <w:color w:val="auto"/>
              </w:rPr>
              <w:t>46,397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32,568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Dividends declared ($0.75 per share)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(430,927)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2,045,437</w:t>
            </w:r>
          </w:p>
        </w:tc>
        <w:tc>
          <w:tcPr>
            <w:tcW w:w="15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(1,694,884)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8,314,766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(49,569)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(237,269)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Reed Hycalog disposition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Minimum pension liability (US/UK Plans)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(313,564)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Investment in Grant Prideco stock</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Sales to optionees less shares 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41,671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(2,319,995)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(2,319,995)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($0.75 per share)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(434,059)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Technoguide acquisition</w:t>
            </w:r>
          </w:p>
        </w:tc>
        <w:tc>
          <w:tcPr>
            <w:tcW w:w="820" w:type="dxa"/>
            <w:vAlign w:val="bottom"/>
          </w:tcPr>
          <w:p>
            <w:pPr>
              <w:jc w:val="right"/>
              <w:spacing w:after="0"/>
              <w:rPr>
                <w:sz w:val="20"/>
                <w:szCs w:val="20"/>
                <w:color w:val="auto"/>
              </w:rPr>
            </w:pPr>
            <w:r>
              <w:rPr>
                <w:rFonts w:ascii="Arial" w:cs="Arial" w:eastAsia="Arial" w:hAnsi="Arial"/>
                <w:sz w:val="18"/>
                <w:szCs w:val="18"/>
                <w:color w:val="auto"/>
              </w:rPr>
              <w:t>34,496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25,036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2,170,965</w:t>
            </w:r>
          </w:p>
        </w:tc>
        <w:tc>
          <w:tcPr>
            <w:tcW w:w="15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(1,578,358)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5,560,712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(72,989)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(203,564)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(270,628)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(2,580,338)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201,503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Derivatives marked to market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60,356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(US/UK Plans)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(114,236)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Tax benefit on minimum pension liability</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8"/>
              </w:rPr>
              <w:t>Sale of investment in Grant Prideco stock</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Sales to optionees less shares exchanged</w:t>
            </w:r>
          </w:p>
        </w:tc>
        <w:tc>
          <w:tcPr>
            <w:tcW w:w="820" w:type="dxa"/>
            <w:vAlign w:val="bottom"/>
          </w:tcPr>
          <w:p>
            <w:pPr>
              <w:jc w:val="right"/>
              <w:spacing w:after="0"/>
              <w:rPr>
                <w:sz w:val="20"/>
                <w:szCs w:val="20"/>
                <w:color w:val="auto"/>
              </w:rPr>
            </w:pPr>
            <w:r>
              <w:rPr>
                <w:rFonts w:ascii="Arial" w:cs="Arial" w:eastAsia="Arial" w:hAnsi="Arial"/>
                <w:sz w:val="18"/>
                <w:szCs w:val="18"/>
                <w:color w:val="auto"/>
              </w:rPr>
              <w:t>15,335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24,271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820" w:type="dxa"/>
            <w:vAlign w:val="bottom"/>
          </w:tcPr>
          <w:p>
            <w:pPr>
              <w:jc w:val="right"/>
              <w:spacing w:after="0"/>
              <w:rPr>
                <w:sz w:val="20"/>
                <w:szCs w:val="20"/>
                <w:color w:val="auto"/>
              </w:rPr>
            </w:pPr>
            <w:r>
              <w:rPr>
                <w:rFonts w:ascii="Arial" w:cs="Arial" w:eastAsia="Arial" w:hAnsi="Arial"/>
                <w:sz w:val="18"/>
                <w:szCs w:val="18"/>
                <w:color w:val="auto"/>
              </w:rPr>
              <w:t>51,302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45,783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employee stock plans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383,002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($0.75 per share)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(437,970)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Tax benefit on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7,576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$ 2,258,488</w:t>
            </w:r>
          </w:p>
        </w:tc>
        <w:tc>
          <w:tcPr>
            <w:tcW w:w="15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(1,508,239)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5,505,744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(22,504)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(283,075)</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-6032500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-6032500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-6032500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-4351655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-4351655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-4351655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-2121535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-2121535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-2121535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Issued</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In Treasury</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667,085,793</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(94,361,099)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572,724,694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1,752,833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1,752,833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020" w:type="dxa"/>
            <w:vAlign w:val="bottom"/>
          </w:tcPr>
          <w:p>
            <w:pPr>
              <w:jc w:val="right"/>
              <w:spacing w:after="0"/>
              <w:rPr>
                <w:sz w:val="20"/>
                <w:szCs w:val="20"/>
                <w:color w:val="auto"/>
              </w:rPr>
            </w:pPr>
            <w:r>
              <w:rPr>
                <w:rFonts w:ascii="Arial" w:cs="Arial" w:eastAsia="Arial" w:hAnsi="Arial"/>
                <w:sz w:val="18"/>
                <w:szCs w:val="18"/>
                <w:color w:val="auto"/>
              </w:rPr>
              <w:t>8,385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1,399,686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667,094,178</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(91,203,780)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575,890,398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020" w:type="dxa"/>
            <w:vAlign w:val="bottom"/>
          </w:tcPr>
          <w:p>
            <w:pPr>
              <w:jc w:val="right"/>
              <w:spacing w:after="0"/>
              <w:rPr>
                <w:sz w:val="20"/>
                <w:szCs w:val="20"/>
                <w:color w:val="auto"/>
              </w:rPr>
            </w:pPr>
            <w:r>
              <w:rPr>
                <w:rFonts w:ascii="Arial" w:cs="Arial" w:eastAsia="Arial" w:hAnsi="Arial"/>
                <w:sz w:val="18"/>
                <w:szCs w:val="18"/>
                <w:color w:val="auto"/>
              </w:rPr>
              <w:t>10,490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2,243,400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2,253,890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Technoguide</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667,104,668</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(84,931,553)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2,464,088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2,464,088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020" w:type="dxa"/>
            <w:vAlign w:val="bottom"/>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1,306,305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667,105,988</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(81,157,660)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585,948,328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7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8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Founded in 1927, Schlumberger Limited is a global technology services company consisting of four business segments: first, Schlumberger Oilfield Services, one of the leading providers of technology services and solutions to the international petroleum industry; second,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 third, SchlumbergerSema, an IT services company providing consulting and systems integration services, and network and infrastructure solutions, primarily to the global energy sector, and other regional markets spanning the finance and public sectors and fourth, the Other business segment which principally comprises the Axalto (Smart Cards and Point-of-Sale Terminals), Electricity Meters, Business Continuity, Infodata, Telecom Software Products, Water Services, Essentis and Pay Phones businesses, all of which are in active divestiture negotiations.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September 22, 2003, Schlumberger announced the signing of an agreement with Atos Origin for the sale of the SchlumbergerSema business. The sale closed on January 29, 2004.</w:t>
      </w:r>
    </w:p>
    <w:p>
      <w:pPr>
        <w:spacing w:after="0" w:line="112"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Consolidated Financial Statements of Schlumberger Limited and its subsidiaries have been prepared in accordance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 xml:space="preserve">In July 2003, Schlumberger completed the sale of its NPTest semiconductor testing business to a partnership led by Francisco Partners and Shah Management. The proceeds were $220 million in cash. Additionally, the partnership has a contingent obligation to make a further payment to Schlumberger upon a subsequent qualifying disposition or an initial public offering of NPTest by the partnership, under certain circumstances. The results of NPTest are reported as </w:t>
      </w:r>
      <w:r>
        <w:rPr>
          <w:rFonts w:ascii="Arial" w:cs="Arial" w:eastAsia="Arial" w:hAnsi="Arial"/>
          <w:sz w:val="15"/>
          <w:szCs w:val="15"/>
          <w:i w:val="1"/>
          <w:iCs w:val="1"/>
          <w:color w:val="auto"/>
        </w:rPr>
        <w:t>Discontinued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Operations </w:t>
      </w:r>
      <w:r>
        <w:rPr>
          <w:rFonts w:ascii="Arial" w:cs="Arial" w:eastAsia="Arial" w:hAnsi="Arial"/>
          <w:sz w:val="15"/>
          <w:szCs w:val="15"/>
          <w:color w:val="auto"/>
        </w:rPr>
        <w:t>in the</w:t>
      </w:r>
      <w:r>
        <w:rPr>
          <w:rFonts w:ascii="Arial" w:cs="Arial" w:eastAsia="Arial" w:hAnsi="Arial"/>
          <w:sz w:val="15"/>
          <w:szCs w:val="15"/>
          <w:i w:val="1"/>
          <w:iCs w:val="1"/>
          <w:color w:val="auto"/>
        </w:rPr>
        <w:t xml:space="preserve"> Consolidated Statement of Income </w:t>
      </w:r>
      <w:r>
        <w:rPr>
          <w:rFonts w:ascii="Arial" w:cs="Arial" w:eastAsia="Arial" w:hAnsi="Arial"/>
          <w:sz w:val="15"/>
          <w:szCs w:val="15"/>
          <w:color w:val="auto"/>
        </w:rPr>
        <w:t>and include a net loss of $12 million on the sale. The net assets were $202 million.</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August 2003, Schlumberger completed the sale of its Verification Systems business by a proceed-free management buyout. The results of Verification Systems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a net loss of $18 million on the sale. The net assets were $17 million.</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October 2003, Schlumberger completed the sale of its e-City ‘pay &amp; display’ parking solutions business to Apax Partners.The proceeds were $84 million in cash. The results of e-City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a net loss of $56 million on the sale. The net assets were $120 million, including a $65 million allocation of goodwill.</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In December, 2002, Schlumberger completed the sale of its Reed Hycalog drillbits business. The proceeds included $259 million in cash and 9.7 million shares of Grant Prideco common stock with a value of $103 million. The results for the Reed Hycalog operations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and, in 2002, include results of operations of $32 million and gain on sale of $66 million. The net assets were $185 million.</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and operating income (loss) from discontinued operations for 2003, 2002 and 2001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thousands)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color w:val="auto"/>
              </w:rPr>
              <w:t>2002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e-City:</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Revenue</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99,388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124,500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(4,328)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NPTest &amp; Verification Systems: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120,318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240,113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180,865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(11,045)</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Reed Hycalog:</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Revenue</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212,433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All inter-company accounts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9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Certain revenues are recognized on a time and materials basis, or on a percentage of completion basis, depending on the contract, as services are provided. Revenue from time and material service contracts is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Revenue derived from the sale of licenses for its software, maintenance and related services may include installation, consulting and training services.</w:t>
      </w:r>
    </w:p>
    <w:p>
      <w:pPr>
        <w:sectPr>
          <w:pgSz w:w="11900" w:h="16838" w:orient="portrait"/>
          <w:cols w:equalWidth="0" w:num="1">
            <w:col w:w="11420"/>
          </w:cols>
          <w:pgMar w:left="240" w:top="280" w:right="2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 and Collectibility</w:t>
      </w:r>
    </w:p>
    <w:p>
      <w:pPr>
        <w:spacing w:after="0" w:line="7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Many sales are generated from complex contractual arrangements that require significant revenue recognition judgments, particularly in the areas of multiple element arrangements. Revenues from contracts with multiple element arrangements, such as those including installation and integration services, are recognized as each element is earned based on the relative fair value of each element and when the delivered elements have stand alone value to the customers.</w:t>
      </w:r>
    </w:p>
    <w:p>
      <w:pPr>
        <w:spacing w:after="0" w:line="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assessment of collectibility is particularly critical in determining whether revenue should be recognized in the current market environment. As part of the revenue recognition process, Schlumberger determines whether trade and notes receivables are reasonably assured of collection based on various factors, including the ability to sell those receivables and whether there has been deterioration in the credit quality of customers that could result in the inability to sell the receivables. In situations where Schlumberger has the ability to sell the receivables without recourse, revenue is recognized to the extent of the value Schlumberger could reasonably expect to realize from the sale. Schlumberger defers revenue and related costs when it is uncertain as to whether it will be able to collect or sell the receivable. Schlumberger defers revenue but recognizes costs when it determines that the collection or sale of the receivable is unlikely.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Non-US Currencies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Oilfield Services and WesternGeco segments functional currency is primarily the US dollar. The SchlumbergerSema segment and Other segment functional currencies are primarily local currencies.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2003 results were transaction gains of $1 million, compared with losses of $2 million and $7 million in 2002 and 2001, respectively.</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2003, contracts were outstanding for the US dollar equivalent of $2.2 billion in various foreign currencies. These contracts mature on various dates in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at December 31, 2003 were not significant.</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they generally have original maturities in excess of three months.</w:t>
      </w:r>
    </w:p>
    <w:p>
      <w:pPr>
        <w:sectPr>
          <w:pgSz w:w="11900" w:h="16838" w:orient="portrait"/>
          <w:cols w:equalWidth="0" w:num="1">
            <w:col w:w="11380"/>
          </w:cols>
          <w:pgMar w:left="240"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and Depreciation</w:t>
      </w:r>
    </w:p>
    <w:p>
      <w:pPr>
        <w:spacing w:after="0" w:line="8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Schlumberger capitalizes the cost of obtaining multiclient surveys.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a percentage of estimated total revenue that Schlumberger expects to receive from the sales of such data. The carrying value of individual surveys is reviewed, at least annually, and adjustments to the value are made based upon the revised estimated revenues for the surveys.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costs incurred for the development of computer software that will be sold, leased or otherwise marketed are capitalized when technological feasibility has been established, generally when all of the planning, designing, coding and testing activities that are necessary in order to establish that the product can be produced to meet its design specifications including functions, features and technical performance requirements are completed. These capitalized costs are subject to an ongoing assessment of recoverability based on anticipated future revenues and changes in hardware and software technologies. Costs that are capitalized include direct labor and related overheads. Total capitalized internally developed software costs was $47 million at December 31, 2003 of which $33 million was deferred in 2003.</w:t>
      </w:r>
    </w:p>
    <w:p>
      <w:pPr>
        <w:spacing w:after="0" w:line="1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the greater of the straight-line method or the sales ratio method over the estimated useful life. Unamortized capitalized software development costs determined to be in excess of the net realizable value of the product are expensed immediately.</w:t>
      </w:r>
    </w:p>
    <w:p>
      <w:pPr>
        <w:spacing w:after="0" w:line="12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Schlumberger capitalizes certain costs of internally developed software. Capitalized costs include purchased materials and services, payroll and payroll related costs and interest costs. The costs of internally developed software is amortized on a straight-line basis over the estimated useful life which is principally 6 years.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an annual basis Schlumberger reviews the carrying value of its long-lived assets, including goodwill, intangible assets and investments. In addition, whenever events or changes in circumstances indicate that the historical cost-carrying value of an asset may no longer be recoverable, a review is performed.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was adopted by Schlumberger commencing January 1, 2002, goodwill ceased to be amortized.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w:t>
      </w:r>
    </w:p>
    <w:p>
      <w:pPr>
        <w:sectPr>
          <w:pgSz w:w="11900" w:h="16838" w:orient="portrait"/>
          <w:cols w:equalWidth="0" w:num="1">
            <w:col w:w="11400"/>
          </w:cols>
          <w:pgMar w:left="240" w:top="274" w:right="259" w:bottom="1440" w:gutter="0" w:footer="0" w:header="0"/>
        </w:sectPr>
      </w:pPr>
    </w:p>
    <w:bookmarkStart w:id="46" w:name="page47"/>
    <w:bookmarkEnd w:id="4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$2.3 billion of consolidated income retained for use in the business on December 31, 2003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Schlumberger’s financial instruments which potentially subject the company to concentration of credit risk consist primarily of accounts receivable. Schlumberger maintains an allowance for uncollectible accounts receivable based on expected collectibility and performs ongoing credit evaluations of its customers’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calculated by dividing net income by the average number of common shares outstanding during the year. Diluted earnings per share is calculated by dividing net income, as adjusted for the interest on convertible debentures unless the adjustment is anti-dilutive, by the average number of common shares outstanding assuming dilution, the calculation of which assumes (i) that all stock options which are in the money are exercised at the beginning of the period and the proceeds used, by Schlumberger, to purchase shares at the average market price for the period, and (ii) the convertible debentures have been converted unless the effect is anti-dilutive.</w:t>
      </w:r>
    </w:p>
    <w:p>
      <w:pPr>
        <w:sectPr>
          <w:pgSz w:w="11900" w:h="16838" w:orient="portrait"/>
          <w:cols w:equalWidth="0" w:num="1">
            <w:col w:w="11360"/>
          </w:cols>
          <w:pgMar w:left="240" w:top="280" w:right="29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from basic earnings per share to diluted earnings per share from continuing operations for each of the last three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2"/>
              </w:rPr>
              <w:t>(Stated in thousands except per share 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Earnings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1"/>
              </w:rPr>
              <w:t>Income (loss)</w:t>
            </w:r>
          </w:p>
        </w:tc>
        <w:tc>
          <w:tcPr>
            <w:tcW w:w="4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Per 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from Continuing</w:t>
            </w:r>
          </w:p>
        </w:tc>
        <w:tc>
          <w:tcPr>
            <w:tcW w:w="4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Operations</w:t>
            </w:r>
          </w:p>
        </w:tc>
        <w:tc>
          <w:tcPr>
            <w:tcW w:w="440" w:type="dxa"/>
            <w:vAlign w:val="bottom"/>
          </w:tcPr>
          <w:p>
            <w:pPr>
              <w:spacing w:after="0"/>
              <w:rPr>
                <w:sz w:val="15"/>
                <w:szCs w:val="15"/>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472,557</w:t>
            </w: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583,904</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15,938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Dilutive effect of options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2,587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488,495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597,057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Anti-dilutive effect of convertible debentures</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(15,938)</w:t>
            </w:r>
          </w:p>
        </w:tc>
        <w:tc>
          <w:tcPr>
            <w:tcW w:w="18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(10,566)</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472,557</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586,491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(2,417,214)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578,588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options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(2,417,214)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493,854</w:t>
            </w: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574,328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options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493,854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580,214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00" w:type="dxa"/>
            <w:vAlign w:val="bottom"/>
            <w:gridSpan w:val="2"/>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There is no dilution of shares or earnings per share in 2002 due to the net loss.</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4"/>
        </w:trPr>
        <w:tc>
          <w:tcPr>
            <w:tcW w:w="7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-3808095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-3808095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-3808095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-2667000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-2667000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-2667000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-2667000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-2667000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-2667000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-2667000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-2667000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-2161540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-2161540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-2161540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-1577975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-1577975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-1577975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-1577975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-1577975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-1577975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-1577975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-1577975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-1140460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-1140460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-1140460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-557530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-557530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-557530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-557530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-557530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-557530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-557530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on January 1, 2002.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5"/>
          </w:tcPr>
          <w:p>
            <w:pPr>
              <w:ind w:left="880"/>
              <w:spacing w:after="0"/>
              <w:rPr>
                <w:sz w:val="20"/>
                <w:szCs w:val="20"/>
                <w:color w:val="auto"/>
              </w:rPr>
            </w:pPr>
            <w:r>
              <w:rPr>
                <w:rFonts w:ascii="Arial" w:cs="Arial" w:eastAsia="Arial" w:hAnsi="Arial"/>
                <w:sz w:val="14"/>
                <w:szCs w:val="14"/>
                <w:i w:val="1"/>
                <w:iCs w:val="1"/>
                <w:color w:val="auto"/>
                <w:w w:val="85"/>
              </w:rPr>
              <w:t>(Stated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2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$ 383,002</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(2,319,995)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$ 522,217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Goodwill amortization</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291,574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$ 383,002</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(2,319,995)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$ 813,791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44132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Engineering</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adopted SFAS 146 prospectively to exit or disposal activities initiated after December 31, 2002.</w:t>
      </w:r>
    </w:p>
    <w:p>
      <w:pPr>
        <w:sectPr>
          <w:pgSz w:w="11900" w:h="16838" w:orient="portrait"/>
          <w:cols w:equalWidth="0" w:num="1">
            <w:col w:w="11420"/>
          </w:cols>
          <w:pgMar w:left="240" w:top="280" w:right="239" w:bottom="1440" w:gutter="0" w:footer="0" w:header="0"/>
        </w:sectPr>
      </w:pPr>
    </w:p>
    <w:bookmarkStart w:id="48" w:name="page49"/>
    <w:bookmarkEnd w:id="48"/>
    <w:p>
      <w:pPr>
        <w:ind w:right="3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Schlumberger’s financial position or results of operations.</w:t>
      </w:r>
    </w:p>
    <w:p>
      <w:pPr>
        <w:spacing w:after="0" w:line="13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Schlumberger’s financial position or results of operations.</w:t>
      </w:r>
    </w:p>
    <w:p>
      <w:pPr>
        <w:spacing w:after="0" w:line="1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January 2003, the Financial Accounting Standards Board issued FASB Interpretation No.46, (</w:t>
      </w:r>
      <w:r>
        <w:rPr>
          <w:rFonts w:ascii="Arial" w:cs="Arial" w:eastAsia="Arial" w:hAnsi="Arial"/>
          <w:sz w:val="16"/>
          <w:szCs w:val="16"/>
          <w:i w:val="1"/>
          <w:iCs w:val="1"/>
          <w:color w:val="auto"/>
        </w:rPr>
        <w:t>Consolidation of Variable Interest Entities,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ARB No. 51). </w:t>
      </w:r>
      <w:r>
        <w:rPr>
          <w:rFonts w:ascii="Arial" w:cs="Arial" w:eastAsia="Arial" w:hAnsi="Arial"/>
          <w:sz w:val="16"/>
          <w:szCs w:val="16"/>
          <w:color w:val="auto"/>
        </w:rPr>
        <w:t>The primary objective of the interpretation is to provide guidance on the identification of, and financial reporting for entities over which control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or other existing authoritative guidance, or, alternative, (2) whether the variable-interest model under FIN 46 should be used to account for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new entities. Schlumberger does not believe that the adoption of this statement will have a material effect on the financial position or results of operations.</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April 2003, the Financial Accounting Standards Board issued SFAS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which amends and clarifies financial accounting and reporting for derivative instruments, including certain derivative instruments embedded in other 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149, which is to be applied prospectively, is effective for contracts entered into or modified after June 30, 2003, and for hedging relationships designated after June 30, 2003. The adoption of this new standard did not have a material impact on Schlumberger’s results of operations or financial position.</w:t>
      </w:r>
    </w:p>
    <w:p>
      <w:pPr>
        <w:spacing w:after="0" w:line="10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May 2003, the Financial Accounting Standards Board, issued SFAS No. 150, (</w:t>
      </w:r>
      <w:r>
        <w:rPr>
          <w:rFonts w:ascii="Arial" w:cs="Arial" w:eastAsia="Arial" w:hAnsi="Arial"/>
          <w:sz w:val="16"/>
          <w:szCs w:val="16"/>
          <w:i w:val="1"/>
          <w:iCs w:val="1"/>
          <w:color w:val="auto"/>
        </w:rPr>
        <w:t>Accounting for Certain Financial Instruments with Characteristics of Both</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Equity</w:t>
      </w:r>
      <w:r>
        <w:rPr>
          <w:rFonts w:ascii="Arial" w:cs="Arial" w:eastAsia="Arial" w:hAnsi="Arial"/>
          <w:sz w:val="16"/>
          <w:szCs w:val="16"/>
          <w:color w:val="auto"/>
        </w:rPr>
        <w:t>). The Standard specifies that instruments within its scope embody obligations of the issues and therefore, the issuer must classify them as</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Standard was effective July 1, 2003, and had no material effect on Schlumberger’s financial position.</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2004, the Financial Accounting Standards Board issued FSP No. FAS 106-1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Schlumberger expects the new legislation will significantly reduce future postretirement medical costs.</w:t>
      </w:r>
    </w:p>
    <w:p>
      <w:pPr>
        <w:spacing w:after="0" w:line="93"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Hanover Compressor Company</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8.7 million shares of Hanover Compressor common stock, with a value at closing of $173 million, which is restricted from marketability until August 30, 2004, and a $150 million long-term subordinated note maturing December 15, 2005.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2003, Schlumberger sold the subordinated note for $177 million and realized a pretax gain of $32 million ($20 million after-tax).</w:t>
      </w:r>
    </w:p>
    <w:p>
      <w:pPr>
        <w:sectPr>
          <w:pgSz w:w="11900" w:h="16838" w:orient="portrait"/>
          <w:cols w:equalWidth="0" w:num="1">
            <w:col w:w="11380"/>
          </w:cols>
          <w:pgMar w:left="240" w:top="280" w:right="279" w:bottom="1440" w:gutter="0" w:footer="0" w:header="0"/>
        </w:sectPr>
      </w:pPr>
    </w:p>
    <w:bookmarkStart w:id="49" w:name="page50"/>
    <w:bookmarkEnd w:id="49"/>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2003 the carrying value of Schlumberger’s investment in Hanover Compressor common stock exceeded the market value. As required by generally accepted accounting principles (SFAS 115), Schlumberger wrote down its investment to the fair market value of $91.4 million at December 31, 2003 and recorded a pretax and after-tax charge of $81.2 million.</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part of the sale agreement, Hanover Compressor had an option to put its interest in the PIGAP II joint venture in Venezuela back to Schlumberger if certain financing conditions were not met. Hanover Compressor did not exercise this option.</w:t>
      </w:r>
    </w:p>
    <w:p>
      <w:pPr>
        <w:spacing w:after="0" w:line="112"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In December 2003, a pretax gain of $32 million ($20 million after-tax, $0.03 per share – diluted) resulting from the sale of the Hanover Compressor note.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 xml:space="preserve">In December 2003, a pretax and after-tax charge of $81 million ($0.13 per share – diluted) relating to the write-down to fair market value of Schlumberger’s investment in Hanover Compressor common stock. The write-down was required by SFAS 115 as the decline in the market value of the stock is “other than temporary” and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September 2003, a pretax multiclient library impairment charge of $398 million ($205 million, $0.34 per share – diluted, after a tax credit of $106 million and a minority interest of $88 million), following an evaluation of current and expected future conditions in the seismic sector, a pretax seismic vessel impairment charge of $54 million ($38 million, $0.06 per share – diluted, after a minority interest credit of $16 million) and a $31 million pretax and after-tax gain ($0.05 per share – diluted) on the sale of a drilling rig. The pretax amounts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Between June 12 and July 22, 2003 subsidiaries of Schlumberger launched and concluded tender offers to acquire three series of outstanding European bonds;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$1.3 billion of principal was repurchased for a total cost of $1.5 billion, which included the premium, and issuing and tender costs. The total charge on the tenders was $168 million, of which $81.5 million was recorded in the second quarter of 2003, when the first tender closed, with the balance of $86.3 million recorded in the third quarter of 2003.</w:t>
      </w:r>
    </w:p>
    <w:p>
      <w:pPr>
        <w:sectPr>
          <w:pgSz w:w="11900" w:h="16838" w:orient="portrait"/>
          <w:cols w:equalWidth="0" w:num="1">
            <w:col w:w="11400"/>
          </w:cols>
          <w:pgMar w:left="240" w:top="28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of the above 2003 charges was $440 million. A summary is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240" w:type="dxa"/>
            <w:vAlign w:val="bottom"/>
            <w:gridSpan w:val="4"/>
          </w:tcPr>
          <w:p>
            <w:pPr>
              <w:ind w:left="3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Hanover Compressor note</w:t>
            </w:r>
          </w:p>
        </w:tc>
        <w:tc>
          <w:tcPr>
            <w:tcW w:w="35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Writedown of Hanover Compressor stock</w:t>
            </w: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library impairment</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Seismic vessel impairment</w:t>
            </w: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rig</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Bond repurchase premium and costs</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Charges before tax and Minority interest</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Tax</w:t>
            </w: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December 2002, a net charge of $3,081 million ($5.30 per share). 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ectPr>
          <w:pgSz w:w="11900" w:h="16838" w:orient="portrait"/>
          <w:cols w:equalWidth="0" w:num="1">
            <w:col w:w="11400"/>
          </w:cols>
          <w:pgMar w:left="240" w:top="280"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2"/>
        </w:trPr>
        <w:tc>
          <w:tcPr>
            <w:tcW w:w="10160" w:type="dxa"/>
            <w:vAlign w:val="bottom"/>
            <w:gridSpan w:val="2"/>
          </w:tcPr>
          <w:p>
            <w:pPr>
              <w:spacing w:after="0"/>
              <w:rPr>
                <w:sz w:val="20"/>
                <w:szCs w:val="20"/>
                <w:color w:val="auto"/>
              </w:rPr>
            </w:pPr>
            <w:r>
              <w:rPr>
                <w:rFonts w:ascii="Arial" w:cs="Arial" w:eastAsia="Arial" w:hAnsi="Arial"/>
                <w:sz w:val="18"/>
                <w:szCs w:val="18"/>
                <w:color w:val="auto"/>
                <w:w w:val="90"/>
              </w:rPr>
              <w:t>The total of the above 2002 charges was $3,168 million. A summary, including the gain on the sale of drilling rigs of $87 million, is as follows: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80" w:type="dxa"/>
            <w:vAlign w:val="bottom"/>
            <w:vMerge w:val="restart"/>
          </w:tcPr>
          <w:p>
            <w:pPr>
              <w:spacing w:after="0"/>
              <w:rPr>
                <w:sz w:val="13"/>
                <w:szCs w:val="13"/>
                <w:color w:val="auto"/>
              </w:rPr>
            </w:pPr>
          </w:p>
        </w:tc>
        <w:tc>
          <w:tcPr>
            <w:tcW w:w="9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Intangibles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 severance &amp; 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WesternGeco severance &amp; 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library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Charges before tax and minority interest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tcPr>
          <w:p>
            <w:pPr>
              <w:spacing w:after="0" w:line="217" w:lineRule="exact"/>
              <w:rPr>
                <w:sz w:val="20"/>
                <w:szCs w:val="20"/>
                <w:color w:val="auto"/>
              </w:rPr>
            </w:pPr>
            <w:r>
              <w:rPr>
                <w:rFonts w:ascii="Arial" w:cs="Arial" w:eastAsia="Arial" w:hAnsi="Arial"/>
                <w:sz w:val="18"/>
                <w:szCs w:val="18"/>
                <w:color w:val="auto"/>
              </w:rPr>
              <w:t>Tax</w:t>
            </w:r>
            <w:r>
              <w:rPr>
                <w:rFonts w:ascii="Arial" w:cs="Arial" w:eastAsia="Arial" w:hAnsi="Arial"/>
                <w:sz w:val="22"/>
                <w:szCs w:val="22"/>
                <w:color w:val="auto"/>
                <w:vertAlign w:val="superscript"/>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Gain on sale of drilling rigs</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ind w:left="58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deferred tax valuation allowance of $94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above charges before tax and minority interest and the gain on sale of drilling rigs are recorded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March 2002, a charge of $29 million (pretax $30 million and minority interest credit of $1 million; $0.05 per share – diluted) related to the financial/economic crisis in Argentina where in January, the government eliminated all US dollar contracts and converted US dollar 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change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0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December 2001, a pretax credit of $119 million (net—$5 million after-tax and minority interest, $0.01 per share – diluted), consisting primarily of the following:</w:t>
      </w:r>
    </w:p>
    <w:p>
      <w:pPr>
        <w:spacing w:after="0" w:line="37"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credit of $223 million ($117 million after-tax) from the sale of the former Resource Management Services North American Water division.</w:t>
      </w:r>
    </w:p>
    <w:p>
      <w:pPr>
        <w:spacing w:after="0" w:line="99" w:lineRule="exact"/>
        <w:rPr>
          <w:rFonts w:ascii="Arial" w:cs="Arial" w:eastAsia="Arial" w:hAnsi="Arial"/>
          <w:sz w:val="16"/>
          <w:szCs w:val="16"/>
          <w:color w:val="auto"/>
        </w:rPr>
      </w:pPr>
    </w:p>
    <w:p>
      <w:pPr>
        <w:ind w:left="800" w:right="24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pretax charge of $43 million ($37 million after-tax) for employee termination costs, principally in Europe and the US, related to Oilfield Services and SchlumbergerSema in response to the prevailing business conditions.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tax charge for reorganization costs of $29 million.</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further pretax charge of $28 million ($20 million after-tax) related to the second quarter estimated loss on the divestiture of certain Resource Management Services businesses following the actual closing in the fourth quarter.</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$33 million pretax asset write-down ($23 million after-tax and minority interest) for technological impairment related to certain Land seismic assets in the newly formed joint venture.</w:t>
      </w:r>
    </w:p>
    <w:p>
      <w:pPr>
        <w:spacing w:after="0" w:line="118"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In September 2001, a pretax credit of $42 million (after-tax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(PIGAP</w:t>
      </w:r>
    </w:p>
    <w:p>
      <w:pPr>
        <w:spacing w:after="0" w:line="3" w:lineRule="exact"/>
        <w:rPr>
          <w:sz w:val="20"/>
          <w:szCs w:val="20"/>
          <w:color w:val="auto"/>
        </w:rPr>
      </w:pPr>
    </w:p>
    <w:p>
      <w:pPr>
        <w:ind w:right="320" w:firstLine="8"/>
        <w:spacing w:after="0" w:line="295" w:lineRule="auto"/>
        <w:tabs>
          <w:tab w:leader="none" w:pos="2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would be non-recourse to the buyer and would be executed prior to December 31, 2002. Accordingly, Schlumberger was obligated with respect to the financing to guarantee 30% (approximately $80 million) until the project was completed in late 2002. If as of December 31, 2002 refinancing had not become non-recourse to the buyer or the project has not achieved substantial completion, the buyer has an option to put its interest in such joint venture back to Schlumberger. The gain on the sale of this joint venture was deferred and recognized in 2003.</w:t>
      </w:r>
    </w:p>
    <w:p>
      <w:pPr>
        <w:sectPr>
          <w:pgSz w:w="11900" w:h="16838" w:orient="portrait"/>
          <w:cols w:equalWidth="0" w:num="1">
            <w:col w:w="11420"/>
          </w:cols>
          <w:pgMar w:left="240" w:top="280" w:right="239" w:bottom="1440" w:gutter="0" w:footer="0" w:header="0"/>
        </w:sectPr>
      </w:pPr>
    </w:p>
    <w:bookmarkStart w:id="52" w:name="page53"/>
    <w:bookmarkEnd w:id="5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2001, a charge of $280 million ($0.48 per share – diluted) for the estimated impairment charge from the disposition of certain Resource Management Services businesses (Electricity and Water outside North America and worldwide Gas businesses). This charge included the write-off of goodwill ($139 million) and cumulative translation adjustment ($79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March 2001, a charge of $25 million ($0.04 per share – diluted) for in-process research and development related to the Bull CP8 acquisition.</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The above 2001 pretax amounts are recorded: an aggregated $119 million charge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a $25 million charge in </w:t>
      </w:r>
      <w:r>
        <w:rPr>
          <w:rFonts w:ascii="Arial" w:cs="Arial" w:eastAsia="Arial" w:hAnsi="Arial"/>
          <w:sz w:val="18"/>
          <w:szCs w:val="18"/>
          <w:i w:val="1"/>
          <w:iCs w:val="1"/>
          <w:color w:val="auto"/>
        </w:rPr>
        <w:t>Research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w:t>
      </w:r>
      <w:r>
        <w:rPr>
          <w:rFonts w:ascii="Arial" w:cs="Arial" w:eastAsia="Arial" w:hAnsi="Arial"/>
          <w:sz w:val="18"/>
          <w:szCs w:val="18"/>
          <w:color w:val="auto"/>
        </w:rPr>
        <w:t>and a $10 million credit in</w:t>
      </w:r>
      <w:r>
        <w:rPr>
          <w:rFonts w:ascii="Arial" w:cs="Arial" w:eastAsia="Arial" w:hAnsi="Arial"/>
          <w:sz w:val="18"/>
          <w:szCs w:val="18"/>
          <w:i w:val="1"/>
          <w:iCs w:val="1"/>
          <w:color w:val="auto"/>
        </w:rPr>
        <w:t xml:space="preserve"> Minority interest</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December 2002 pretax severance and facility charges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5"/>
          </w:tcPr>
          <w:p>
            <w:pPr>
              <w:ind w:left="200"/>
              <w:spacing w:after="0"/>
              <w:rPr>
                <w:sz w:val="20"/>
                <w:szCs w:val="20"/>
                <w:color w:val="auto"/>
              </w:rPr>
            </w:pPr>
            <w:r>
              <w:rPr>
                <w:rFonts w:ascii="Arial" w:cs="Arial" w:eastAsia="Arial" w:hAnsi="Arial"/>
                <w:sz w:val="14"/>
                <w:szCs w:val="14"/>
                <w:i w:val="1"/>
                <w:iCs w:val="1"/>
                <w:color w:val="auto"/>
                <w:w w:val="89"/>
              </w:rPr>
              <w:t>($ stated in millions)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6"/>
              </w:rPr>
              <w:t>Facilities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60" w:type="dxa"/>
            <w:vAlign w:val="bottom"/>
          </w:tcPr>
          <w:p>
            <w:pPr>
              <w:spacing w:after="0"/>
              <w:rPr>
                <w:sz w:val="22"/>
                <w:szCs w:val="22"/>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7"/>
              </w:rPr>
              <w:t>People</w:t>
            </w:r>
          </w:p>
        </w:tc>
        <w:tc>
          <w:tcPr>
            <w:tcW w:w="34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94.5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Paid in December 2002</w:t>
            </w:r>
          </w:p>
        </w:tc>
        <w:tc>
          <w:tcPr>
            <w:tcW w:w="16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32.9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61.6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Paid/reversed in 2003</w:t>
            </w:r>
          </w:p>
        </w:tc>
        <w:tc>
          <w:tcPr>
            <w:tcW w:w="16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60.6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-29210</wp:posOffset>
            </wp:positionV>
            <wp:extent cx="31305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At December 31, 2003, the Severance balance of $1.0 million is classified as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and the Facilities balance of $11.1 million is classified in </w:t>
      </w:r>
      <w:r>
        <w:rPr>
          <w:rFonts w:ascii="Arial" w:cs="Arial" w:eastAsia="Arial" w:hAnsi="Arial"/>
          <w:sz w:val="18"/>
          <w:szCs w:val="18"/>
          <w:i w:val="1"/>
          <w:iCs w:val="1"/>
          <w:color w:val="auto"/>
        </w:rPr>
        <w:t>Liabilities held for sale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52" w:lineRule="exact"/>
        <w:rPr>
          <w:sz w:val="20"/>
          <w:szCs w:val="20"/>
          <w:color w:val="auto"/>
        </w:rPr>
      </w:pPr>
    </w:p>
    <w:p>
      <w:pPr>
        <w:ind w:right="9640" w:firstLine="8"/>
        <w:spacing w:after="0" w:line="398" w:lineRule="auto"/>
        <w:tabs>
          <w:tab w:leader="none" w:pos="17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Acquisitions </w:t>
      </w:r>
      <w:r>
        <w:rPr>
          <w:rFonts w:ascii="Arial" w:cs="Arial" w:eastAsia="Arial" w:hAnsi="Arial"/>
          <w:sz w:val="15"/>
          <w:szCs w:val="15"/>
          <w:b w:val="1"/>
          <w:bCs w:val="1"/>
          <w:color w:val="auto"/>
        </w:rPr>
        <w:t>Acquisition of Sema plc</w:t>
      </w:r>
    </w:p>
    <w:p>
      <w:pPr>
        <w:spacing w:after="0" w:line="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value of goodwill and identifiable intangibles comprised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51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billions)</w:t>
            </w: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(including expenses)</w:t>
            </w:r>
          </w:p>
        </w:tc>
        <w:tc>
          <w:tcPr>
            <w:tcW w:w="46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Purchase accounting adjustments</w:t>
            </w:r>
          </w:p>
        </w:tc>
        <w:tc>
          <w:tcPr>
            <w:tcW w:w="4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9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4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(0.30)</w:t>
            </w:r>
          </w:p>
        </w:tc>
      </w:tr>
      <w:tr>
        <w:trPr>
          <w:trHeight w:val="108"/>
        </w:trPr>
        <w:tc>
          <w:tcPr>
            <w:tcW w:w="63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3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320" w:type="dxa"/>
            <w:vAlign w:val="bottom"/>
            <w:shd w:val="clear" w:color="auto" w:fill="CCEEFF"/>
          </w:tcPr>
          <w:p>
            <w:pPr>
              <w:spacing w:after="0"/>
              <w:rPr>
                <w:sz w:val="18"/>
                <w:szCs w:val="18"/>
                <w:color w:val="auto"/>
              </w:rPr>
            </w:pPr>
          </w:p>
        </w:tc>
        <w:tc>
          <w:tcPr>
            <w:tcW w:w="46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r>
      <w:tr>
        <w:trPr>
          <w:trHeight w:val="132"/>
        </w:trPr>
        <w:tc>
          <w:tcPr>
            <w:tcW w:w="63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All remaining severance costs were paid in 2002.</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 lower interest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158" w:lineRule="exact"/>
        <w:rPr>
          <w:sz w:val="20"/>
          <w:szCs w:val="20"/>
          <w:color w:val="auto"/>
        </w:rPr>
      </w:pPr>
    </w:p>
    <w:p>
      <w:pPr>
        <w:ind w:left="800" w:right="12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37" w:lineRule="exact"/>
        <w:rPr>
          <w:rFonts w:ascii="Arial" w:cs="Arial" w:eastAsia="Arial" w:hAnsi="Arial"/>
          <w:sz w:val="18"/>
          <w:szCs w:val="18"/>
          <w:color w:val="auto"/>
        </w:rPr>
      </w:pPr>
    </w:p>
    <w:p>
      <w:pPr>
        <w:ind w:left="800" w:right="360" w:hanging="346"/>
        <w:spacing w:after="0" w:line="325" w:lineRule="auto"/>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1" w:lineRule="exact"/>
        <w:rPr>
          <w:rFonts w:ascii="Arial" w:cs="Arial" w:eastAsia="Arial" w:hAnsi="Arial"/>
          <w:sz w:val="16"/>
          <w:szCs w:val="16"/>
          <w:color w:val="auto"/>
        </w:rPr>
      </w:pPr>
    </w:p>
    <w:p>
      <w:pPr>
        <w:ind w:left="800" w:right="62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April, A. Comeau and Associates, a Canadian based provider of electrical engineering products and services for artificially lifted wells. The purchase price was $6 million in cash. Assets acquired included goodwill of $6 million.</w:t>
      </w:r>
    </w:p>
    <w:p>
      <w:pPr>
        <w:spacing w:after="0" w:line="37"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2001, subsidiaries of Schlumberger acquired the following:</w:t>
      </w:r>
    </w:p>
    <w:p>
      <w:pPr>
        <w:spacing w:after="0" w:line="77" w:lineRule="exact"/>
        <w:rPr>
          <w:sz w:val="20"/>
          <w:szCs w:val="20"/>
          <w:color w:val="auto"/>
        </w:rPr>
      </w:pPr>
    </w:p>
    <w:p>
      <w:pPr>
        <w:jc w:val="both"/>
        <w:ind w:left="800" w:right="20" w:hanging="346"/>
        <w:spacing w:after="0" w:line="331" w:lineRule="auto"/>
        <w:tabs>
          <w:tab w:leader="none" w:pos="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2" w:lineRule="exact"/>
        <w:rPr>
          <w:rFonts w:ascii="Arial" w:cs="Arial" w:eastAsia="Arial" w:hAnsi="Arial"/>
          <w:sz w:val="15"/>
          <w:szCs w:val="15"/>
          <w:color w:val="auto"/>
        </w:rPr>
      </w:pPr>
    </w:p>
    <w:p>
      <w:pPr>
        <w:ind w:left="800" w:right="32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June, Infosynergy ASA, a Norwegian based company specializing incustomer information and billing systems integration. The acquisition price was $29 million in cash. Assets acquired included goodwill of $29 million.</w:t>
      </w:r>
    </w:p>
    <w:p>
      <w:pPr>
        <w:spacing w:after="0" w:line="37" w:lineRule="exact"/>
        <w:rPr>
          <w:rFonts w:ascii="Arial" w:cs="Arial" w:eastAsia="Arial" w:hAnsi="Arial"/>
          <w:sz w:val="18"/>
          <w:szCs w:val="18"/>
          <w:color w:val="auto"/>
        </w:rPr>
      </w:pPr>
    </w:p>
    <w:p>
      <w:pPr>
        <w:ind w:left="800" w:right="260" w:hanging="346"/>
        <w:spacing w:after="0" w:line="25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ectPr>
          <w:pgSz w:w="11900" w:h="16838" w:orient="portrait"/>
          <w:cols w:equalWidth="0" w:num="1">
            <w:col w:w="11420"/>
          </w:cols>
          <w:pgMar w:left="240" w:top="280" w:right="239" w:bottom="1440" w:gutter="0" w:footer="0" w:header="0"/>
        </w:sectPr>
      </w:pPr>
    </w:p>
    <w:bookmarkStart w:id="54" w:name="page55"/>
    <w:bookmarkEnd w:id="54"/>
    <w:p>
      <w:pPr>
        <w:ind w:left="800" w:right="20" w:hanging="346"/>
        <w:spacing w:after="0" w:line="259"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152"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SchlumbergerSema to Atos Origin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On January 29, 2004 the sale transaction was completed. As consideration for the transaction, Schlumberger received €443 million ($550 million) in cash which included a working capital adjustment, and 19.3 million shares of common stock of Atos with a value of €1.02 billion ($1.275 billion), which represented approximately 29% of the outstanding common shares of Atos Origin after the transaction was completed. Schlumberger expects the result of the sale will be a gain which will be recorded as part of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first quarter of 2004.</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Schlumberger will account for the remaining investment in Atos Origin on the cost method.</w:t>
      </w:r>
    </w:p>
    <w:p>
      <w:pPr>
        <w:spacing w:after="0" w:line="12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2003 and 2002 was $657 million and $592 million, respectively. Schlumberger’s equity income from this joint venture in 2003 was $52 million, $48 million in 2002 and $51 million in 2001.</w:t>
      </w:r>
    </w:p>
    <w:p>
      <w:pPr>
        <w:spacing w:after="0" w:line="12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which are considered trading (December 31, 2003—$151 million; December 31, 2002—$0).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Fixed income investments of $223 million mature in 2005.</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31, 2003, there were no interest rate swap arrangements outstanding related to investments. Interest rate swap arrangements had no material effect on consolidated interest income.</w:t>
      </w:r>
    </w:p>
    <w:p>
      <w:pPr>
        <w:spacing w:after="0" w:line="112"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$224 million at December 31, 2003 and $155 million at December 31, 2002. Unless extended by amendment, the agreement expires in September 2004.</w:t>
      </w:r>
    </w:p>
    <w:p>
      <w:pPr>
        <w:sectPr>
          <w:pgSz w:w="11900" w:h="16838" w:orient="portrait"/>
          <w:cols w:equalWidth="0" w:num="1">
            <w:col w:w="11360"/>
          </w:cols>
          <w:pgMar w:left="240" w:top="280"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ind w:left="18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10200" w:type="dxa"/>
            <w:vAlign w:val="bottom"/>
            <w:gridSpan w:val="4"/>
          </w:tcPr>
          <w:p>
            <w:pPr>
              <w:spacing w:after="0"/>
              <w:rPr>
                <w:sz w:val="20"/>
                <w:szCs w:val="20"/>
                <w:color w:val="auto"/>
              </w:rPr>
            </w:pPr>
            <w:r>
              <w:rPr>
                <w:rFonts w:ascii="Arial" w:cs="Arial" w:eastAsia="Arial" w:hAnsi="Arial"/>
                <w:sz w:val="14"/>
                <w:szCs w:val="14"/>
                <w:b w:val="1"/>
                <w:bCs w:val="1"/>
                <w:color w:val="auto"/>
              </w:rPr>
              <w:t>As at December 31</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5"/>
              </w:rPr>
              <w:t>$ 778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Less reserves for obsolescence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139</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5"/>
              </w:rPr>
              <w:t>$ 797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 and Liabilities held for sale</w:t>
      </w:r>
    </w:p>
    <w:p>
      <w:pPr>
        <w:spacing w:after="0" w:line="8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On September 22, 2003, Schlumberger announced the signing of an agreement, with Atos Origin, for the sale of its SchlumbergerSema business. On January 29, 2004 the sale transaction was completed. In accordance with generally accepted accounting principles, the assets and liabilities which will be eliminated from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subsequent to the sale have been aggregated and presented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2003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($3.24 billion)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($1.22 billion).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Assets and Liabilities held for sale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82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held for sale</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4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current assets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Deferred taxes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held for sale</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4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taxes on income</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6924040</wp:posOffset>
            </wp:positionH>
            <wp:positionV relativeFrom="paragraph">
              <wp:posOffset>-1227455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-1227455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-1227455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-27305</wp:posOffset>
            </wp:positionV>
            <wp:extent cx="3302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6" w:name="page57"/>
    <w:bookmarkEnd w:id="56"/>
    <w:p>
      <w:pPr>
        <w:ind w:left="280" w:hanging="272"/>
        <w:spacing w:after="0"/>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As at December 31,</w:t>
            </w: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Buildings &amp; Improvements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&amp; Equipment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10,977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7,177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12% is being depreciated over 16 to 25 years, 10% over 10 to 15 years and 78% over 2 to 9 years.</w:t>
      </w:r>
    </w:p>
    <w:p>
      <w:pPr>
        <w:spacing w:after="0" w:line="112"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1,018</w:t>
            </w: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Capitalized in year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4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(263)</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Impairment, charged to income</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(399)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$ 1,018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556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8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June 2001,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was issued, and adopted by Schlumberger commencing January 1, 2002. Amortization of goodwill and workforce ceased with effect from January 1, 2002. Assembled workforce, net of deferred taxes, of $175 million was reclassified to </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Pretax</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80" w:type="dxa"/>
            <w:vAlign w:val="bottom"/>
          </w:tcPr>
          <w:p>
            <w:pPr>
              <w:spacing w:after="0"/>
              <w:rPr>
                <w:sz w:val="22"/>
                <w:szCs w:val="22"/>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2003</w:t>
            </w:r>
          </w:p>
        </w:tc>
        <w:tc>
          <w:tcPr>
            <w:tcW w:w="72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89"/>
              </w:rPr>
              <w:t>2002</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Workforce</w:t>
            </w:r>
          </w:p>
        </w:tc>
        <w:tc>
          <w:tcPr>
            <w:tcW w:w="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$ 104</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carrying amount of goodwill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$ 4,230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Reclassification of Assembled Workforce, net of deferred taxes</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Impairment, charged to income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(1,334)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acquisitions and divestitures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$ 3,284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Following adoption of SFAS 142 on January 1, 2002.</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0"/>
        </w:trPr>
        <w:tc>
          <w:tcPr>
            <w:tcW w:w="260" w:type="dxa"/>
            <w:vAlign w:val="bottom"/>
            <w:gridSpan w:val="2"/>
            <w:vMerge w:val="continue"/>
          </w:tcPr>
          <w:p>
            <w:pPr>
              <w:spacing w:after="0"/>
              <w:rPr>
                <w:sz w:val="24"/>
                <w:szCs w:val="24"/>
                <w:color w:val="auto"/>
              </w:rPr>
            </w:pPr>
          </w:p>
        </w:tc>
        <w:tc>
          <w:tcPr>
            <w:tcW w:w="64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6740" w:type="dxa"/>
            <w:vAlign w:val="bottom"/>
            <w:gridSpan w:val="3"/>
          </w:tcPr>
          <w:p>
            <w:pPr>
              <w:spacing w:after="0"/>
              <w:rPr>
                <w:sz w:val="20"/>
                <w:szCs w:val="20"/>
                <w:color w:val="auto"/>
              </w:rPr>
            </w:pPr>
            <w:r>
              <w:rPr>
                <w:rFonts w:ascii="Arial" w:cs="Arial" w:eastAsia="Arial" w:hAnsi="Arial"/>
                <w:sz w:val="18"/>
                <w:szCs w:val="18"/>
                <w:color w:val="auto"/>
                <w:w w:val="93"/>
              </w:rPr>
              <w:t>The changes in the carrying amount of goodwill by business segment in 2003 is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Oilfield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Western-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9"/>
              </w:rPr>
              <w:t>Geco</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Sema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$ 1,877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$ 576</w:t>
            </w: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line="217"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(228)</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$ 2,465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$ 590</w:t>
            </w: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Including acquisitions, divestitures and impact of change in exchange rates.</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0"/>
        </w:trPr>
        <w:tc>
          <w:tcPr>
            <w:tcW w:w="260" w:type="dxa"/>
            <w:vAlign w:val="bottom"/>
            <w:gridSpan w:val="2"/>
            <w:vMerge w:val="continue"/>
          </w:tcPr>
          <w:p>
            <w:pPr>
              <w:spacing w:after="0"/>
              <w:rPr>
                <w:sz w:val="24"/>
                <w:szCs w:val="24"/>
                <w:color w:val="auto"/>
              </w:rPr>
            </w:pPr>
          </w:p>
        </w:tc>
        <w:tc>
          <w:tcPr>
            <w:tcW w:w="64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6740" w:type="dxa"/>
            <w:vAlign w:val="bottom"/>
            <w:gridSpan w:val="3"/>
          </w:tcPr>
          <w:p>
            <w:pPr>
              <w:spacing w:after="0"/>
              <w:rPr>
                <w:sz w:val="20"/>
                <w:szCs w:val="20"/>
                <w:color w:val="auto"/>
              </w:rPr>
            </w:pPr>
            <w:r>
              <w:rPr>
                <w:rFonts w:ascii="Arial" w:cs="Arial" w:eastAsia="Arial" w:hAnsi="Arial"/>
                <w:sz w:val="18"/>
                <w:szCs w:val="18"/>
                <w:color w:val="auto"/>
                <w:w w:val="93"/>
              </w:rPr>
              <w:t>The changes in the carrying amount of goodwill by business segment in 2002 is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Oilfield</w:t>
            </w:r>
          </w:p>
        </w:tc>
        <w:tc>
          <w:tcPr>
            <w:tcW w:w="320" w:type="dxa"/>
            <w:vAlign w:val="bottom"/>
          </w:tcPr>
          <w:p>
            <w:pPr>
              <w:spacing w:after="0"/>
              <w:rPr>
                <w:sz w:val="24"/>
                <w:szCs w:val="24"/>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Western-</w:t>
            </w:r>
          </w:p>
        </w:tc>
        <w:tc>
          <w:tcPr>
            <w:tcW w:w="320" w:type="dxa"/>
            <w:vAlign w:val="bottom"/>
          </w:tcPr>
          <w:p>
            <w:pPr>
              <w:spacing w:after="0"/>
              <w:rPr>
                <w:sz w:val="24"/>
                <w:szCs w:val="24"/>
                <w:color w:val="auto"/>
              </w:rPr>
            </w:pPr>
          </w:p>
        </w:tc>
        <w:tc>
          <w:tcPr>
            <w:tcW w:w="1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Schlumberger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7"/>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79"/>
              </w:rPr>
              <w:t>Services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Geco</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5"/>
              </w:rPr>
              <w:t>Sema</w:t>
            </w:r>
          </w:p>
        </w:tc>
        <w:tc>
          <w:tcPr>
            <w:tcW w:w="220" w:type="dxa"/>
            <w:vAlign w:val="bottom"/>
          </w:tcPr>
          <w:p>
            <w:pPr>
              <w:spacing w:after="0"/>
              <w:rPr>
                <w:sz w:val="15"/>
                <w:szCs w:val="15"/>
                <w:color w:val="auto"/>
              </w:rPr>
            </w:pPr>
          </w:p>
        </w:tc>
        <w:tc>
          <w:tcPr>
            <w:tcW w:w="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$ 1,771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$ 329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Reclasification of Assembled Workforce, net of deferred taxes</w:t>
            </w:r>
          </w:p>
        </w:tc>
        <w:tc>
          <w:tcPr>
            <w:tcW w:w="6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(2,638)</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720" w:type="dxa"/>
            <w:vAlign w:val="bottom"/>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$ 1,877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$ 576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-3853815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-3853815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-3853815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-3853815</wp:posOffset>
            </wp:positionV>
            <wp:extent cx="3898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-2010410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-2010410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-2010410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-2010410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-2010410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-2010410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-2010410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-2010410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-2010410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-2010410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-2010410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-2010410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-2010410</wp:posOffset>
            </wp:positionV>
            <wp:extent cx="3898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Including other acquisitions, divestitures and impact of change in exchange rates.</w:t>
      </w:r>
    </w:p>
    <w:p>
      <w:pPr>
        <w:spacing w:after="0" w:line="136"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320" w:type="dxa"/>
            <w:vAlign w:val="bottom"/>
            <w:gridSpan w:val="4"/>
          </w:tcPr>
          <w:p>
            <w:pPr>
              <w:ind w:left="26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74"/>
        </w:trPr>
        <w:tc>
          <w:tcPr>
            <w:tcW w:w="10120" w:type="dxa"/>
            <w:vAlign w:val="bottom"/>
            <w:gridSpan w:val="3"/>
          </w:tcPr>
          <w:p>
            <w:pPr>
              <w:spacing w:after="0"/>
              <w:rPr>
                <w:sz w:val="20"/>
                <w:szCs w:val="20"/>
                <w:color w:val="auto"/>
              </w:rPr>
            </w:pPr>
            <w:r>
              <w:rPr>
                <w:rFonts w:ascii="Arial" w:cs="Arial" w:eastAsia="Arial" w:hAnsi="Arial"/>
                <w:sz w:val="14"/>
                <w:szCs w:val="14"/>
                <w:b w:val="1"/>
                <w:bCs w:val="1"/>
                <w:color w:val="auto"/>
              </w:rPr>
              <w:t>As at December 31,</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9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$ 796</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9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$ 403</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120" w:type="dxa"/>
            <w:vAlign w:val="bottom"/>
            <w:gridSpan w:val="3"/>
            <w:vMerge w:val="restart"/>
          </w:tcPr>
          <w:p>
            <w:pPr>
              <w:spacing w:after="0"/>
              <w:rPr>
                <w:sz w:val="20"/>
                <w:szCs w:val="20"/>
                <w:color w:val="auto"/>
              </w:rPr>
            </w:pPr>
            <w:r>
              <w:rPr>
                <w:rFonts w:ascii="Arial" w:cs="Arial" w:eastAsia="Arial" w:hAnsi="Arial"/>
                <w:sz w:val="18"/>
                <w:szCs w:val="18"/>
                <w:color w:val="auto"/>
              </w:rPr>
              <w:t>The amortization charged to income was $104 million in 2003 and $118 million in 2002.</w:t>
            </w: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01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-325755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8" w:name="page59"/>
    <w:bookmarkEnd w:id="5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 principally comprise patents, software, technology and other. At December 31, the gross book value, accumulated amortization and amortization periods of intangible assets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left="178"/>
              <w:spacing w:after="0"/>
              <w:rPr>
                <w:sz w:val="20"/>
                <w:szCs w:val="20"/>
                <w:color w:val="auto"/>
              </w:rPr>
            </w:pPr>
            <w:r>
              <w:rPr>
                <w:rFonts w:ascii="Arial" w:cs="Arial" w:eastAsia="Arial" w:hAnsi="Arial"/>
                <w:sz w:val="14"/>
                <w:szCs w:val="14"/>
                <w:i w:val="1"/>
                <w:iCs w:val="1"/>
                <w:color w:val="auto"/>
                <w:w w:val="88"/>
              </w:rPr>
              <w:t>(Stated in millions)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00" w:type="dxa"/>
            <w:vAlign w:val="bottom"/>
          </w:tcPr>
          <w:p>
            <w:pPr>
              <w:spacing w:after="0"/>
              <w:rPr>
                <w:sz w:val="15"/>
                <w:szCs w:val="15"/>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Book Value</w:t>
            </w:r>
          </w:p>
        </w:tc>
        <w:tc>
          <w:tcPr>
            <w:tcW w:w="480" w:type="dxa"/>
            <w:vAlign w:val="bottom"/>
          </w:tcPr>
          <w:p>
            <w:pPr>
              <w:spacing w:after="0"/>
              <w:rPr>
                <w:sz w:val="15"/>
                <w:szCs w:val="15"/>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average amortization period for all intangible assets is approximately 7.5 years. Amortization charged to income for the subsequent five years is estimated, based on the December 31, 2003 Gross Book Value, to be 2004—$99 million, 2005—$77 million, 2006—$61 million, 2007—$47 million and 2008— $37 million.</w:t>
      </w:r>
    </w:p>
    <w:p>
      <w:pPr>
        <w:spacing w:after="0" w:line="121"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by currency, analyzed by Bonds, Commercial Paper (CP) and Other, at December 31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6"/>
              </w:rPr>
              <w:t>Bonds</w:t>
            </w:r>
          </w:p>
        </w:tc>
        <w:tc>
          <w:tcPr>
            <w:tcW w:w="32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CP</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32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b w:val="1"/>
                <w:bCs w:val="1"/>
                <w:color w:val="auto"/>
              </w:rPr>
              <w:t>Bonds</w:t>
            </w:r>
          </w:p>
        </w:tc>
        <w:tc>
          <w:tcPr>
            <w:tcW w:w="10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320" w:type="dxa"/>
            <w:vAlign w:val="bottom"/>
          </w:tcPr>
          <w:p>
            <w:pPr>
              <w:spacing w:after="0"/>
              <w:rPr>
                <w:sz w:val="22"/>
                <w:szCs w:val="22"/>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$ 2,422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$ 1,475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$ 4,232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997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724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Euro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4"/>
              </w:rPr>
              <w:t>1,399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442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UK pound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676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Canadian dollar</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3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w w:val="79"/>
              </w:rPr>
              <w:t>116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Norwegian kroner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$ 3,519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$ 6,097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4"/>
              </w:rPr>
              <w:t>3,188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1,745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302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On June 9, 2003, Schlumberger Limited issued $850 million aggregate principal amount of 1.5%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over-allotment option.</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debentures were sold to Citigroup Global Markets Inc. and Goldman Sachs &amp; Co. pursuant to an exemption from registration under Section 4(2) of the Securities Act of 1933. The debentures were resold, with registration rights, by the initial purchasers in transactions exempt from registration under Rule 144A of the Securities Act. The aggregate offering price of the debentures was $1.425 billion, the initial purchasers’ discount was $25.4 million and the net proceeds to Schlumberger Limited were $1.4 billion.</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 shares for each $1,000 principal amount of Series B debentures (equivalent to an initial conversion price of $80.00 per share). Each conversion rate may be adjusted for certain events, but it will not be adjusted for accrued interest.</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w:t>
      </w:r>
    </w:p>
    <w:p>
      <w:pPr>
        <w:sectPr>
          <w:pgSz w:w="11900" w:h="16838" w:orient="portrait"/>
          <w:cols w:equalWidth="0" w:num="1">
            <w:col w:w="11420"/>
          </w:cols>
          <w:pgMar w:left="240" w:top="280" w:right="239" w:bottom="1440" w:gutter="0" w:footer="0" w:header="0"/>
        </w:sectPr>
      </w:pPr>
    </w:p>
    <w:bookmarkStart w:id="59" w:name="page60"/>
    <w:bookmarkEnd w:id="59"/>
    <w:p>
      <w:pPr>
        <w:ind w:right="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Between June 12 and July 22, 2003, certain subsidiaries of Schlumberger launched and concluded a tender offer on three of its outstanding European bonds. The companies bought back $1.3 billion of principal of these bonds for a total cost of $1.5 billion, which includes the premium, and issuing and tender costs. The total charge on the tender was $168 million.</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Commercial paper borrowings are classified as long-term debt to the extent of their backup by available and unused committed facilities maturing in more than one-year and the intent to maintain these obligations for longer than one year.</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Long-term debt on December 31, 2003, is due as follows $552 million in 2005, $314 million in 2006, $1,755 million in 2007, $1,394 million in 2008 and $2,082 million thereafter.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31, 2003, interest rate swap arrangements outstanding were: pay fixed/receive floating on US dollar debt of $500 million; pay fixed/receive floating on Japanese yen debt of $37 million. These arrangements mature at various dates to December 2009. Interest rate swap arrangements increased consolidated interest expense in 2003 by $30 million.</w:t>
      </w:r>
    </w:p>
    <w:p>
      <w:pPr>
        <w:spacing w:after="0" w:line="121"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Lines of Credit</w:t>
      </w:r>
    </w:p>
    <w:p>
      <w:pPr>
        <w:spacing w:after="0" w:line="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31, 2003, wholly owned subsidiaries of Schlumberger had separate lines of credit agreements aggregating $6.7 billion with commercial banks, of which $6.5 billion was committed and $2.6 billion was available and unused. It included $3.7 billion of committed facilities, which support borrowings under commercial paper programs in the United States and Europe, maturing in January 2007. On December 31, 2003 a principal subsidiary of Schlumberger in the United States canceled its $500 million 364-day backstop facility. Interest rates and other terms of borrowing under these lines of credit vary from country to country.</w:t>
      </w:r>
    </w:p>
    <w:p>
      <w:pPr>
        <w:spacing w:after="0" w:line="123"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Schlumberger’s specific goals are (1) to manage interest rate sensitivity by modifying the repricing or maturity characteristics of certain of its debt and (2) to lower (where possible) the cost of borrowed funds.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ectPr>
          <w:pgSz w:w="11900" w:h="16838" w:orient="portrait"/>
          <w:cols w:equalWidth="0" w:num="1">
            <w:col w:w="11420"/>
          </w:cols>
          <w:pgMar w:left="240" w:top="280" w:right="239" w:bottom="1440" w:gutter="0" w:footer="0" w:header="0"/>
        </w:sectPr>
      </w:pPr>
    </w:p>
    <w:bookmarkStart w:id="60" w:name="page61"/>
    <w:bookmarkEnd w:id="60"/>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2003, Schlumberger recognized a net $23 million charge in Stockholders’ Equity relating to derivative instruments and hedging activities. This charge was primarily due to the change in the fair market value of Schlumberger’s US interest rate swaps as a result of declining interest rates.</w:t>
      </w:r>
    </w:p>
    <w:p>
      <w:pPr>
        <w:spacing w:after="0" w:line="66"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585,948,328 and 582,173,115 shares were outstanding on December 31, 2003 and 2002,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93"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As of December 31, 2003, Schlumberger had two types of stock-based compensation plans, which are described below. Effective January 1, 2003, Schlumberger adopted the fair value recognition provisions of SFAS Nos. 123 and 148. Schlumberger recorded stock option and discounted stock purchase plan (DSPP) expenses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starting in the third quarter of 2003 on a prospective basis for grants after January 1, 2003. The effect of this adoption on 2003 net income was $13 million ($0.02 per share). Schlumberger applies the intrinsic value method of APB 25 for grants prior to January 1, 2003.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 except per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9"/>
              </w:rPr>
              <w:t>2003</w:t>
            </w:r>
          </w:p>
        </w:tc>
        <w:tc>
          <w:tcPr>
            <w:tcW w:w="1240" w:type="dxa"/>
            <w:vAlign w:val="bottom"/>
            <w:gridSpan w:val="4"/>
          </w:tcPr>
          <w:p>
            <w:pPr>
              <w:jc w:val="right"/>
              <w:ind w:right="300"/>
              <w:spacing w:after="0" w:line="151" w:lineRule="exact"/>
              <w:rPr>
                <w:sz w:val="20"/>
                <w:szCs w:val="20"/>
                <w:color w:val="auto"/>
              </w:rPr>
            </w:pPr>
            <w:r>
              <w:rPr>
                <w:rFonts w:ascii="Arial" w:cs="Arial" w:eastAsia="Arial" w:hAnsi="Arial"/>
                <w:sz w:val="14"/>
                <w:szCs w:val="14"/>
                <w:i w:val="1"/>
                <w:iCs w:val="1"/>
                <w:color w:val="auto"/>
                <w:w w:val="94"/>
              </w:rPr>
              <w:t>share amounts)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(2,320)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adjustments: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Cost of DSPP</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During 2003, 2002, 2001 and in prior years, officers and key employees were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and with respect to the July 2003 grant awards were capped at 125% of exercise price.</w:t>
      </w:r>
    </w:p>
    <w:p>
      <w:pPr>
        <w:sectPr>
          <w:pgSz w:w="11900" w:h="16838" w:orient="portrait"/>
          <w:cols w:equalWidth="0" w:num="1">
            <w:col w:w="11420"/>
          </w:cols>
          <w:pgMar w:left="240" w:top="280" w:right="239" w:bottom="1440" w:gutter="0" w:footer="0" w:header="0"/>
        </w:sectPr>
      </w:pPr>
    </w:p>
    <w:bookmarkStart w:id="61" w:name="page62"/>
    <w:bookmarkEnd w:id="61"/>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required by SFAS 123, the fair value of each grant is estimated on the date of grant using the multiple option Black-Scholes option-pricing model with the following weighted-average assumptions used for 2003, 2002 and 2001: dividend of $0.75; expected volatility of 34%-37% for 2003 grants, 32%-36% for 2002 grants and 32-35% for 2001 grants; risk-free interest rates for the 2003 grants of 2.83%-3.51% for officers and all other employees; risk-free interest rates for the 2002 grants of 4.34%-5.25% for officers and 3.04%-4.73% for the 2002 grants to all other employees; risk-free interest rates for the 2001 grants of 4.91% for officers and 3.87%-5.01% for the 2001 grants to all other employees; and expected option lives of 4.71 years for officers and other employees for 2003 grants, expected option lives of 6.6 years for officers and 5.07 years for other employees for 2002 grants, expected option lives of 5.51 years for officers and 5.02 years for other employees for 2001 grants.</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summary of the status of the Schlumberger stock option plans as of December 31, 2003, 2002 and 2001, and changes during the years ending on those dates is presented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2002</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2001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Weighted-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3"/>
          </w:tcPr>
          <w:p>
            <w:pPr>
              <w:jc w:val="center"/>
              <w:ind w:left="36"/>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2"/>
              </w:rPr>
              <w:t>average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4"/>
              </w:rPr>
              <w:t>exercise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4"/>
              </w:rPr>
              <w:t>exercise</w:t>
            </w:r>
          </w:p>
        </w:tc>
        <w:tc>
          <w:tcPr>
            <w:tcW w:w="0" w:type="dxa"/>
            <w:vAlign w:val="bottom"/>
          </w:tcPr>
          <w:p>
            <w:pPr>
              <w:spacing w:after="0"/>
              <w:rPr>
                <w:sz w:val="1"/>
                <w:szCs w:val="1"/>
                <w:color w:val="auto"/>
              </w:rPr>
            </w:pPr>
          </w:p>
        </w:tc>
      </w:tr>
      <w:tr>
        <w:trPr>
          <w:trHeight w:val="174"/>
        </w:trPr>
        <w:tc>
          <w:tcPr>
            <w:tcW w:w="4300" w:type="dxa"/>
            <w:vAlign w:val="bottom"/>
            <w:gridSpan w:val="3"/>
          </w:tcPr>
          <w:p>
            <w:pPr>
              <w:spacing w:after="0"/>
              <w:rPr>
                <w:sz w:val="20"/>
                <w:szCs w:val="20"/>
                <w:color w:val="auto"/>
              </w:rPr>
            </w:pPr>
            <w:r>
              <w:rPr>
                <w:rFonts w:ascii="Arial" w:cs="Arial" w:eastAsia="Arial" w:hAnsi="Arial"/>
                <w:sz w:val="14"/>
                <w:szCs w:val="14"/>
                <w:color w:val="auto"/>
              </w:rPr>
              <w:t>Fixed Options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price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color w:val="auto"/>
              </w:rPr>
              <w:t>Shares</w:t>
            </w: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price</w:t>
            </w:r>
          </w:p>
        </w:tc>
        <w:tc>
          <w:tcPr>
            <w:tcW w:w="10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36,869,684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32,836,340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$ 55.80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31,208,321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3"/>
              </w:rPr>
              <w:t>$ 54.43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3,460,150</w:t>
            </w:r>
          </w:p>
        </w:tc>
        <w:tc>
          <w:tcPr>
            <w:tcW w:w="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45.04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7,314,617</w:t>
            </w:r>
          </w:p>
        </w:tc>
        <w:tc>
          <w:tcPr>
            <w:tcW w:w="5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$ 55.14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4,110,468</w:t>
            </w:r>
          </w:p>
        </w:tc>
        <w:tc>
          <w:tcPr>
            <w:tcW w:w="400" w:type="dxa"/>
            <w:vAlign w:val="bottom"/>
          </w:tcPr>
          <w:p>
            <w:pPr>
              <w:spacing w:after="0"/>
              <w:rPr>
                <w:sz w:val="18"/>
                <w:szCs w:val="18"/>
                <w:color w:val="auto"/>
              </w:rPr>
            </w:pPr>
          </w:p>
        </w:tc>
        <w:tc>
          <w:tcPr>
            <w:tcW w:w="700" w:type="dxa"/>
            <w:vAlign w:val="bottom"/>
            <w:gridSpan w:val="2"/>
          </w:tcPr>
          <w:p>
            <w:pPr>
              <w:jc w:val="center"/>
              <w:ind w:left="56"/>
              <w:spacing w:after="0"/>
              <w:rPr>
                <w:sz w:val="20"/>
                <w:szCs w:val="20"/>
                <w:color w:val="auto"/>
              </w:rPr>
            </w:pPr>
            <w:r>
              <w:rPr>
                <w:rFonts w:ascii="Arial" w:cs="Arial" w:eastAsia="Arial" w:hAnsi="Arial"/>
                <w:sz w:val="18"/>
                <w:szCs w:val="18"/>
                <w:color w:val="auto"/>
                <w:w w:val="93"/>
              </w:rPr>
              <w:t>$ 61.55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1"/>
              </w:rPr>
              <w:t>(1,319,174)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(2,296,593)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$ 30.02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(1,444,588)</w:t>
            </w:r>
          </w:p>
        </w:tc>
        <w:tc>
          <w:tcPr>
            <w:tcW w:w="70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3"/>
              </w:rPr>
              <w:t>$ 31.88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(1,454,113)</w:t>
            </w:r>
          </w:p>
        </w:tc>
        <w:tc>
          <w:tcPr>
            <w:tcW w:w="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66.92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(984,680)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$ 66.69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(1,037,861)</w:t>
            </w:r>
          </w:p>
        </w:tc>
        <w:tc>
          <w:tcPr>
            <w:tcW w:w="700" w:type="dxa"/>
            <w:vAlign w:val="bottom"/>
            <w:gridSpan w:val="2"/>
          </w:tcPr>
          <w:p>
            <w:pPr>
              <w:jc w:val="center"/>
              <w:ind w:left="56"/>
              <w:spacing w:after="0"/>
              <w:rPr>
                <w:sz w:val="20"/>
                <w:szCs w:val="20"/>
                <w:color w:val="auto"/>
              </w:rPr>
            </w:pPr>
            <w:r>
              <w:rPr>
                <w:rFonts w:ascii="Arial" w:cs="Arial" w:eastAsia="Arial" w:hAnsi="Arial"/>
                <w:sz w:val="18"/>
                <w:szCs w:val="18"/>
                <w:color w:val="auto"/>
                <w:w w:val="93"/>
              </w:rPr>
              <w:t>$ 71.27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year-end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37,556,547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36,869,684</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$ 57.03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32,836,340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3"/>
              </w:rPr>
              <w:t>$ 55.80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23,460,758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21,142,473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19,724,680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2"/>
              </w:rPr>
              <w:t>Weighted-average fair value of options granted during the</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10.30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year</w:t>
            </w:r>
          </w:p>
        </w:tc>
        <w:tc>
          <w:tcPr>
            <w:tcW w:w="34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-506095</wp:posOffset>
            </wp:positionV>
            <wp:extent cx="60452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-506095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-506095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-506095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-506095</wp:posOffset>
            </wp:positionV>
            <wp:extent cx="60452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currently outstanding and exercisable options by five ranges of exercise prices on December 31, 2003:</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80" w:type="dxa"/>
            <w:vAlign w:val="bottom"/>
            <w:gridSpan w:val="4"/>
          </w:tcPr>
          <w:p>
            <w:pPr>
              <w:ind w:left="620"/>
              <w:spacing w:after="0"/>
              <w:rPr>
                <w:sz w:val="20"/>
                <w:szCs w:val="20"/>
                <w:color w:val="auto"/>
              </w:rPr>
            </w:pPr>
            <w:r>
              <w:rPr>
                <w:rFonts w:ascii="Arial" w:cs="Arial" w:eastAsia="Arial" w:hAnsi="Arial"/>
                <w:sz w:val="14"/>
                <w:szCs w:val="14"/>
                <w:color w:val="auto"/>
                <w:w w:val="89"/>
              </w:rPr>
              <w:t>Options Outstanding</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Weighted-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Number</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average</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Weighted-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remaining</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w:t>
            </w:r>
          </w:p>
        </w:tc>
        <w:tc>
          <w:tcPr>
            <w:tcW w:w="18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Range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as of</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contractual</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4"/>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4"/>
              </w:rPr>
              <w:t>exercisable as</w:t>
            </w:r>
          </w:p>
        </w:tc>
        <w:tc>
          <w:tcPr>
            <w:tcW w:w="1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exercise</w:t>
            </w:r>
          </w:p>
        </w:tc>
        <w:tc>
          <w:tcPr>
            <w:tcW w:w="0" w:type="dxa"/>
            <w:vAlign w:val="bottom"/>
          </w:tcPr>
          <w:p>
            <w:pPr>
              <w:spacing w:after="0"/>
              <w:rPr>
                <w:sz w:val="1"/>
                <w:szCs w:val="1"/>
                <w:color w:val="auto"/>
              </w:rPr>
            </w:pPr>
          </w:p>
        </w:tc>
      </w:tr>
      <w:tr>
        <w:trPr>
          <w:trHeight w:val="172"/>
        </w:trPr>
        <w:tc>
          <w:tcPr>
            <w:tcW w:w="3860" w:type="dxa"/>
            <w:vAlign w:val="bottom"/>
            <w:gridSpan w:val="3"/>
          </w:tcPr>
          <w:p>
            <w:pPr>
              <w:spacing w:after="0"/>
              <w:rPr>
                <w:sz w:val="20"/>
                <w:szCs w:val="20"/>
                <w:color w:val="auto"/>
              </w:rPr>
            </w:pPr>
            <w:r>
              <w:rPr>
                <w:rFonts w:ascii="Arial" w:cs="Arial" w:eastAsia="Arial" w:hAnsi="Arial"/>
                <w:sz w:val="14"/>
                <w:szCs w:val="14"/>
                <w:color w:val="auto"/>
              </w:rPr>
              <w:t>exercise prices</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12/31/03</w:t>
            </w:r>
          </w:p>
        </w:tc>
        <w:tc>
          <w:tcPr>
            <w:tcW w:w="2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rPr>
              <w:t>life</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price</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of 12/31/03</w:t>
            </w:r>
          </w:p>
        </w:tc>
        <w:tc>
          <w:tcPr>
            <w:tcW w:w="18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$ 3.831—$22.073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$19.655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$19.655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$24.142—$30.710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4,426,622</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$27.624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4,426,622</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$27.624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$30.795—$44.843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4,637,754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$39.620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3,671,853</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$39.197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$46.020—$65.330</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18,470,275</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$54.843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7,326,837</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$71.315—$82.348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9,935,393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$80.636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7,948,943</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$80.659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37,556,547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$56.497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23,460,758</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$56.141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Purchase Plan</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to have up to 10% of their annual earnings withheld to purchase Schlumberger common stock. Effective July 1, 2003 the purchase price of the stock was 92.5% of the lower of its beginning or end of the Plan year market price at six month intervals. Prior to July 1, 2003, the purchase price was 85% at one year intervals. Under the Plan, Schlumberger sold 2,464,088, 2,677,842 and 1,752,833 shares to employees in 2003, 2002 and 2001, respectively. Pro forma compensation cost has been computed for the fair value of the employees’ purchase rights, which was estimated using the Black-Scholes model with the following assumptions for 2003, 2002 and 2001: Dividend of $0.75; expected volatility of 28% for 2003, 34% for 2002 and 36% for 2001; and risk-free interest rates of 0.75% for 2003, 1.74% for 2002, 3.03% for 2001. The weighted-average fair value of those purchase rights granted in 2003, 2002 and 2001, was $7.910, $13.324 and $15.540, respectively.</w:t>
      </w:r>
    </w:p>
    <w:p>
      <w:pPr>
        <w:spacing w:after="0" w:line="99"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2003, the pretax loss in the US included the WesternGeco multiclient impairment charge of $283 million and a net pretax charge of $32 million related to Hanover Compressor. In 2002, pretax book income in the US included gains from a business divestiture aggregating approximately $143 million. Pretax book income from continuing operations subject to US and non-US income taxes for each of the three years ended December 31, was as follows:</w:t>
      </w:r>
    </w:p>
    <w:p>
      <w:pPr>
        <w:spacing w:after="0" w:line="78"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rPr>
              <w:t>2002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color w:val="auto"/>
                <w:w w:val="83"/>
              </w:rPr>
              <w:t>2001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$(177)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Outside United States</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(2,376)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$ 568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8206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82065" cy="29845"/>
                    </a:xfrm>
                    <a:prstGeom prst="rect">
                      <a:avLst/>
                    </a:prstGeom>
                    <a:noFill/>
                  </pic:spPr>
                </pic:pic>
              </a:graphicData>
            </a:graphic>
          </wp:anchor>
        </w:drawing>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Schlumberger had net deferred tax assets at December 31, 2003 of $632 million including a valuation allowance of $325 million relating to a certain European net operating loss, and $583 million at December 31, 2002. Significant components of net deferred tax assets at December 31, 2003 included postretirement and other long-term benefits ($213 million), current employee benefits ($183 million), fixed assets, inventory and other ($194 million) and net operating losses ($367 million less a partial valuation allowance of $325 million). At December 31, 2002, it included postretirement and other long-term benefits ($200 million), current employee benefits ($225 million), fixed assets, inventory and other ($123 million) and net operating losses ($182 million less a valuation allowance of $147 million).</w:t>
      </w:r>
    </w:p>
    <w:p>
      <w:pPr>
        <w:sectPr>
          <w:pgSz w:w="11900" w:h="16838" w:orient="portrait"/>
          <w:cols w:equalWidth="0" w:num="1">
            <w:col w:w="11420"/>
          </w:cols>
          <w:pgMar w:left="24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consolidated income tax expense from continuing operations were as follows:</w:t>
      </w: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2002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3"/>
              </w:rPr>
              <w:t>2001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(103)</w:t>
            </w:r>
          </w:p>
        </w:tc>
        <w:tc>
          <w:tcPr>
            <w:tcW w:w="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126492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649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reported several charges/credits in continuing operations in each of the three years. These are more fully described in the note </w:t>
      </w:r>
      <w:r>
        <w:rPr>
          <w:rFonts w:ascii="Arial" w:cs="Arial" w:eastAsia="Arial" w:hAnsi="Arial"/>
          <w:sz w:val="16"/>
          <w:szCs w:val="16"/>
          <w:i w:val="1"/>
          <w:iCs w:val="1"/>
          <w:color w:val="auto"/>
        </w:rPr>
        <w:t>Charges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Continuing Operations </w:t>
      </w:r>
      <w:r>
        <w:rPr>
          <w:rFonts w:ascii="Arial" w:cs="Arial" w:eastAsia="Arial" w:hAnsi="Arial"/>
          <w:sz w:val="18"/>
          <w:szCs w:val="18"/>
          <w:color w:val="auto"/>
        </w:rPr>
        <w:t>on page 48. A reconciliation of the US statutory federal tax rate (35%) to the consolidated effective tax rate is: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3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6"/>
              </w:rPr>
              <w:t>2002</w:t>
            </w:r>
          </w:p>
        </w:tc>
        <w:tc>
          <w:tcPr>
            <w:tcW w:w="32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2001</w:t>
            </w:r>
          </w:p>
        </w:tc>
        <w:tc>
          <w:tcPr>
            <w:tcW w:w="60" w:type="dxa"/>
            <w:vAlign w:val="bottom"/>
          </w:tcPr>
          <w:p>
            <w:pPr>
              <w:spacing w:after="0"/>
              <w:rPr>
                <w:sz w:val="15"/>
                <w:szCs w:val="15"/>
                <w:color w:val="auto"/>
              </w:rPr>
            </w:pPr>
          </w:p>
        </w:tc>
      </w:tr>
      <w:tr>
        <w:trPr>
          <w:trHeight w:val="95"/>
        </w:trPr>
        <w:tc>
          <w:tcPr>
            <w:tcW w:w="7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(benefit) rate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US state income taxes</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(16)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108"/>
        </w:trPr>
        <w:tc>
          <w:tcPr>
            <w:tcW w:w="7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132"/>
        </w:trPr>
        <w:tc>
          <w:tcPr>
            <w:tcW w:w="7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effective tax rate, excluding charges and credits, was 25%, 26% and 33% in 2003, 2002 and 2001 respectively.</w:t>
      </w:r>
    </w:p>
    <w:p>
      <w:pPr>
        <w:spacing w:after="0" w:line="152"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Total rental expense was $532 million in 2003, $458 million in 2002 and $390 million in 2001. Future minimum rental commitments under noncancelable leases for years ending December 31 are: $344 million in 2004; $281 million in 2005; $241 million in 2006; $191 million in 2007; and $175 million in 2008. For the ensuing three five-year periods, these commitments decrease from $258 million to $3 million. The minimum rentals over the remaining terms of the leases aggregate to $24 million.</w:t>
      </w:r>
    </w:p>
    <w:p>
      <w:pPr>
        <w:spacing w:after="0" w:line="124"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Schlumberger’s financial instruments that are exposed to concentrations of credit risk consist primarily of cash and cash equivalents and receivables from clients.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places its cash and cash equivalents with financial institutions and corporations, and limits the amount of credit exposure with any one of them.</w:t>
      </w:r>
    </w:p>
    <w:p>
      <w:pPr>
        <w:sectPr>
          <w:pgSz w:w="11900" w:h="16838" w:orient="portrait"/>
          <w:cols w:equalWidth="0" w:num="1">
            <w:col w:w="11400"/>
          </w:cols>
          <w:pgMar w:left="240" w:top="280" w:right="259" w:bottom="1440" w:gutter="0" w:footer="0" w:header="0"/>
        </w:sectPr>
      </w:pPr>
    </w:p>
    <w:bookmarkStart w:id="64" w:name="page65"/>
    <w:bookmarkEnd w:id="64"/>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actively evaluates the creditworthiness of the issuers in which it invests. The receivables from clients are concentrated within a few significant industries and geographies.</w:t>
      </w:r>
    </w:p>
    <w:p>
      <w:pPr>
        <w:spacing w:after="0" w:line="112"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Schlumberger operates four reportable business segments: Oilfield Services (OFS), WesternGeco, SchlumbergerSema (SLSEMA) and Other. The current SchlumbergerSema segment only includes operations that were sold to Atos Origin on January 29, 2004. The segment information has been reclassified to conform to the current year presentation.</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SchlumbergerSema segment falls into three clearly defined economic and geographic areas and is evaluated on the following basis: North and South America is a major self-contained market; Europe is a major self-contained market that includes the Middle East and Africa; Asia includes the remainder of the Eastern Hemisphere. The SchlumbergerSema segment is a leading information technology services company providing domain expertise and global capabilities delivered on a local basis. SchlumbergerSema has proven capabilities delivering consulting, systems integration, managed services and products serving the energy &amp; utilities, finance, transport and public sector markets.</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September 22, 2003, Schlumberger announced the signing of an agreement with Atos Origin for the sale of the SchlumbergerSema business. The sale closed on January 29, 2004.</w:t>
      </w:r>
    </w:p>
    <w:p>
      <w:pPr>
        <w:spacing w:after="0" w:line="11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Other segment comprises principally the Axalto (Cards and Point-of-Sale Terminals), Electricity Meters, Business Continuity, Infodata, Telecom Software Products, Water Services, Essentis and Pay Phones activities. In 2001, also included is the divested Resource Management Services business.</w:t>
      </w:r>
    </w:p>
    <w:p>
      <w:pPr>
        <w:sectPr>
          <w:pgSz w:w="11900" w:h="16838" w:orient="portrait"/>
          <w:cols w:equalWidth="0" w:num="1">
            <w:col w:w="11400"/>
          </w:cols>
          <w:pgMar w:left="240" w:top="280" w:right="259" w:bottom="1440" w:gutter="0" w:footer="0" w:header="0"/>
        </w:sectPr>
      </w:pPr>
    </w:p>
    <w:bookmarkStart w:id="65" w:name="page66"/>
    <w:bookmarkEnd w:id="6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Financial information for the years ended December 31, 2003, 2002 and 2001, by segment, is as follows:</w:t>
      </w:r>
    </w:p>
    <w:p>
      <w:pPr>
        <w:spacing w:after="0" w:line="155" w:lineRule="exact"/>
        <w:rPr>
          <w:sz w:val="20"/>
          <w:szCs w:val="20"/>
          <w:color w:val="auto"/>
        </w:rPr>
      </w:pPr>
    </w:p>
    <w:p>
      <w:pPr>
        <w:ind w:left="10140"/>
        <w:spacing w:after="0"/>
        <w:rPr>
          <w:sz w:val="20"/>
          <w:szCs w:val="20"/>
          <w:color w:val="auto"/>
        </w:rPr>
      </w:pPr>
      <w:r>
        <w:rPr>
          <w:rFonts w:ascii="Arial" w:cs="Arial" w:eastAsia="Arial" w:hAnsi="Arial"/>
          <w:sz w:val="14"/>
          <w:szCs w:val="14"/>
          <w:i w:val="1"/>
          <w:iCs w:val="1"/>
          <w:color w:val="auto"/>
        </w:rPr>
        <w:t>(Stated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2 0 0 3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6"/>
          </w:tcPr>
          <w:p>
            <w:pPr>
              <w:jc w:val="center"/>
              <w:ind w:right="52"/>
              <w:spacing w:after="0"/>
              <w:rPr>
                <w:sz w:val="20"/>
                <w:szCs w:val="20"/>
                <w:color w:val="auto"/>
              </w:rPr>
            </w:pPr>
            <w:r>
              <w:rPr>
                <w:rFonts w:ascii="Arial" w:cs="Arial" w:eastAsia="Arial" w:hAnsi="Arial"/>
                <w:sz w:val="14"/>
                <w:szCs w:val="14"/>
                <w:color w:val="auto"/>
                <w:w w:val="87"/>
              </w:rPr>
              <w:t>Income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5"/>
          </w:tcPr>
          <w:p>
            <w:pPr>
              <w:jc w:val="center"/>
              <w:ind w:right="460"/>
              <w:spacing w:after="0"/>
              <w:rPr>
                <w:sz w:val="20"/>
                <w:szCs w:val="20"/>
                <w:color w:val="auto"/>
              </w:rPr>
            </w:pPr>
            <w:r>
              <w:rPr>
                <w:rFonts w:ascii="Arial" w:cs="Arial" w:eastAsia="Arial" w:hAnsi="Arial"/>
                <w:sz w:val="14"/>
                <w:szCs w:val="14"/>
                <w:color w:val="auto"/>
                <w:w w:val="87"/>
              </w:rPr>
              <w:t>Income</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6"/>
          </w:tcPr>
          <w:p>
            <w:pPr>
              <w:jc w:val="center"/>
              <w:ind w:right="52"/>
              <w:spacing w:after="0" w:line="149" w:lineRule="exact"/>
              <w:rPr>
                <w:sz w:val="20"/>
                <w:szCs w:val="20"/>
                <w:color w:val="auto"/>
              </w:rPr>
            </w:pPr>
            <w:r>
              <w:rPr>
                <w:rFonts w:ascii="Arial" w:cs="Arial" w:eastAsia="Arial" w:hAnsi="Arial"/>
                <w:sz w:val="14"/>
                <w:szCs w:val="14"/>
                <w:color w:val="auto"/>
                <w:w w:val="86"/>
              </w:rPr>
              <w:t>after tax</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tcPr>
          <w:p>
            <w:pPr>
              <w:jc w:val="center"/>
              <w:ind w:right="460"/>
              <w:spacing w:after="0" w:line="149" w:lineRule="exact"/>
              <w:rPr>
                <w:sz w:val="20"/>
                <w:szCs w:val="20"/>
                <w:color w:val="auto"/>
              </w:rPr>
            </w:pPr>
            <w:r>
              <w:rPr>
                <w:rFonts w:ascii="Arial" w:cs="Arial" w:eastAsia="Arial" w:hAnsi="Arial"/>
                <w:sz w:val="14"/>
                <w:szCs w:val="14"/>
                <w:color w:val="auto"/>
                <w:w w:val="89"/>
              </w:rPr>
              <w:t>before tax</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6"/>
          </w:tcPr>
          <w:p>
            <w:pPr>
              <w:jc w:val="center"/>
              <w:ind w:right="52"/>
              <w:spacing w:after="0" w:line="149" w:lineRule="exact"/>
              <w:rPr>
                <w:sz w:val="20"/>
                <w:szCs w:val="20"/>
                <w:color w:val="auto"/>
              </w:rPr>
            </w:pPr>
            <w:r>
              <w:rPr>
                <w:rFonts w:ascii="Arial" w:cs="Arial" w:eastAsia="Arial" w:hAnsi="Arial"/>
                <w:sz w:val="14"/>
                <w:szCs w:val="14"/>
                <w:color w:val="auto"/>
              </w:rPr>
              <w:t>&amp; Min.</w:t>
            </w:r>
          </w:p>
        </w:tc>
        <w:tc>
          <w:tcPr>
            <w:tcW w:w="320" w:type="dxa"/>
            <w:vAlign w:val="bottom"/>
          </w:tcPr>
          <w:p>
            <w:pPr>
              <w:spacing w:after="0"/>
              <w:rPr>
                <w:sz w:val="12"/>
                <w:szCs w:val="12"/>
                <w:color w:val="auto"/>
              </w:rPr>
            </w:pPr>
          </w:p>
        </w:tc>
        <w:tc>
          <w:tcPr>
            <w:tcW w:w="660" w:type="dxa"/>
            <w:vAlign w:val="bottom"/>
            <w:gridSpan w:val="6"/>
          </w:tcPr>
          <w:p>
            <w:pPr>
              <w:jc w:val="right"/>
              <w:ind w:right="140"/>
              <w:spacing w:after="0" w:line="149" w:lineRule="exact"/>
              <w:rPr>
                <w:sz w:val="20"/>
                <w:szCs w:val="20"/>
                <w:color w:val="auto"/>
              </w:rPr>
            </w:pPr>
            <w:r>
              <w:rPr>
                <w:rFonts w:ascii="Arial" w:cs="Arial" w:eastAsia="Arial" w:hAnsi="Arial"/>
                <w:sz w:val="14"/>
                <w:szCs w:val="14"/>
                <w:color w:val="auto"/>
              </w:rPr>
              <w:t>Minority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4"/>
              </w:rPr>
              <w:t>Tax</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tcPr>
          <w:p>
            <w:pPr>
              <w:jc w:val="center"/>
              <w:ind w:right="460"/>
              <w:spacing w:after="0" w:line="149" w:lineRule="exact"/>
              <w:rPr>
                <w:sz w:val="20"/>
                <w:szCs w:val="20"/>
                <w:color w:val="auto"/>
              </w:rPr>
            </w:pPr>
            <w:r>
              <w:rPr>
                <w:rFonts w:ascii="Arial" w:cs="Arial" w:eastAsia="Arial" w:hAnsi="Arial"/>
                <w:sz w:val="14"/>
                <w:szCs w:val="14"/>
                <w:color w:val="auto"/>
              </w:rPr>
              <w:t>&amp; Min.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Depn. &amp;</w:t>
            </w: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gridSpan w:val="4"/>
          </w:tcPr>
          <w:p>
            <w:pPr>
              <w:jc w:val="right"/>
              <w:ind w:right="92"/>
              <w:spacing w:after="0"/>
              <w:rPr>
                <w:sz w:val="20"/>
                <w:szCs w:val="20"/>
                <w:color w:val="auto"/>
              </w:rPr>
            </w:pPr>
            <w:r>
              <w:rPr>
                <w:rFonts w:ascii="Arial" w:cs="Arial" w:eastAsia="Arial" w:hAnsi="Arial"/>
                <w:sz w:val="14"/>
                <w:szCs w:val="14"/>
                <w:color w:val="auto"/>
                <w:w w:val="92"/>
              </w:rPr>
              <w:t>Revenue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center"/>
              <w:ind w:right="172"/>
              <w:spacing w:after="0"/>
              <w:rPr>
                <w:sz w:val="20"/>
                <w:szCs w:val="20"/>
                <w:color w:val="auto"/>
              </w:rPr>
            </w:pPr>
            <w:r>
              <w:rPr>
                <w:rFonts w:ascii="Arial" w:cs="Arial" w:eastAsia="Arial" w:hAnsi="Arial"/>
                <w:sz w:val="14"/>
                <w:szCs w:val="14"/>
                <w:color w:val="auto"/>
                <w:w w:val="92"/>
              </w:rPr>
              <w:t>Int.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5"/>
          </w:tcPr>
          <w:p>
            <w:pPr>
              <w:jc w:val="right"/>
              <w:ind w:right="160"/>
              <w:spacing w:after="0"/>
              <w:rPr>
                <w:sz w:val="20"/>
                <w:szCs w:val="20"/>
                <w:color w:val="auto"/>
              </w:rPr>
            </w:pPr>
            <w:r>
              <w:rPr>
                <w:rFonts w:ascii="Arial" w:cs="Arial" w:eastAsia="Arial" w:hAnsi="Arial"/>
                <w:sz w:val="14"/>
                <w:szCs w:val="14"/>
                <w:color w:val="auto"/>
                <w:w w:val="85"/>
              </w:rPr>
              <w:t>Interest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4"/>
          </w:tcPr>
          <w:p>
            <w:pPr>
              <w:spacing w:after="0"/>
              <w:rPr>
                <w:sz w:val="20"/>
                <w:szCs w:val="20"/>
                <w:color w:val="auto"/>
              </w:rPr>
            </w:pPr>
            <w:r>
              <w:rPr>
                <w:rFonts w:ascii="Arial" w:cs="Arial" w:eastAsia="Arial" w:hAnsi="Arial"/>
                <w:sz w:val="14"/>
                <w:szCs w:val="14"/>
                <w:color w:val="auto"/>
                <w:w w:val="84"/>
              </w:rPr>
              <w:t>Expense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5"/>
          </w:tcPr>
          <w:p>
            <w:pPr>
              <w:jc w:val="center"/>
              <w:ind w:right="460"/>
              <w:spacing w:after="0"/>
              <w:rPr>
                <w:sz w:val="20"/>
                <w:szCs w:val="20"/>
                <w:color w:val="auto"/>
              </w:rPr>
            </w:pPr>
            <w:r>
              <w:rPr>
                <w:rFonts w:ascii="Arial" w:cs="Arial" w:eastAsia="Arial" w:hAnsi="Arial"/>
                <w:sz w:val="14"/>
                <w:szCs w:val="14"/>
                <w:color w:val="auto"/>
              </w:rPr>
              <w:t>Int.</w:t>
            </w:r>
          </w:p>
        </w:tc>
        <w:tc>
          <w:tcPr>
            <w:tcW w:w="940" w:type="dxa"/>
            <w:vAlign w:val="bottom"/>
            <w:gridSpan w:val="4"/>
          </w:tcPr>
          <w:p>
            <w:pPr>
              <w:ind w:left="120"/>
              <w:spacing w:after="0"/>
              <w:rPr>
                <w:sz w:val="20"/>
                <w:szCs w:val="20"/>
                <w:color w:val="auto"/>
              </w:rPr>
            </w:pPr>
            <w:r>
              <w:rPr>
                <w:rFonts w:ascii="Arial" w:cs="Arial" w:eastAsia="Arial" w:hAnsi="Arial"/>
                <w:sz w:val="14"/>
                <w:szCs w:val="14"/>
                <w:color w:val="auto"/>
              </w:rPr>
              <w:t>Assets</w:t>
            </w:r>
          </w:p>
        </w:tc>
        <w:tc>
          <w:tcPr>
            <w:tcW w:w="880" w:type="dxa"/>
            <w:vAlign w:val="bottom"/>
            <w:gridSpan w:val="7"/>
          </w:tcPr>
          <w:p>
            <w:pPr>
              <w:ind w:left="40"/>
              <w:spacing w:after="0"/>
              <w:rPr>
                <w:sz w:val="20"/>
                <w:szCs w:val="20"/>
                <w:color w:val="auto"/>
              </w:rPr>
            </w:pPr>
            <w:r>
              <w:rPr>
                <w:rFonts w:ascii="Arial" w:cs="Arial" w:eastAsia="Arial" w:hAnsi="Arial"/>
                <w:sz w:val="14"/>
                <w:szCs w:val="14"/>
                <w:color w:val="auto"/>
              </w:rPr>
              <w:t>Amortn.</w:t>
            </w:r>
          </w:p>
        </w:tc>
        <w:tc>
          <w:tcPr>
            <w:tcW w:w="660" w:type="dxa"/>
            <w:vAlign w:val="bottom"/>
            <w:gridSpan w:val="3"/>
          </w:tcPr>
          <w:p>
            <w:pPr>
              <w:spacing w:after="0"/>
              <w:rPr>
                <w:sz w:val="20"/>
                <w:szCs w:val="20"/>
                <w:color w:val="auto"/>
              </w:rPr>
            </w:pPr>
            <w:r>
              <w:rPr>
                <w:rFonts w:ascii="Arial" w:cs="Arial" w:eastAsia="Arial" w:hAnsi="Arial"/>
                <w:sz w:val="14"/>
                <w:szCs w:val="14"/>
                <w:color w:val="auto"/>
                <w:w w:val="85"/>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6"/>
              </w:rPr>
              <w:t>$ 2,626</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234</w:t>
            </w:r>
          </w:p>
        </w:tc>
        <w:tc>
          <w:tcPr>
            <w:tcW w:w="100" w:type="dxa"/>
            <w:vAlign w:val="bottom"/>
          </w:tcPr>
          <w:p>
            <w:pPr>
              <w:spacing w:after="0"/>
              <w:rPr>
                <w:sz w:val="18"/>
                <w:szCs w:val="18"/>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center"/>
              <w:ind w:right="6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$ 1,818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SLSEMA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 East/Africa</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Asia</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Elims/Other</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155"/>
              <w:spacing w:after="0"/>
              <w:rPr>
                <w:sz w:val="20"/>
                <w:szCs w:val="20"/>
                <w:color w:val="auto"/>
              </w:rPr>
            </w:pPr>
            <w:r>
              <w:rPr>
                <w:rFonts w:ascii="Arial" w:cs="Arial" w:eastAsia="Arial" w:hAnsi="Arial"/>
                <w:sz w:val="18"/>
                <w:szCs w:val="18"/>
                <w:color w:val="auto"/>
                <w:w w:val="95"/>
              </w:rPr>
              <w:t>(196)</w:t>
            </w: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$ 13,893</w:t>
            </w: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$ 1,391</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$ 20,041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$ 1,571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8"/>
            <w:vMerge w:val="restart"/>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vMerge w:val="restart"/>
          </w:tcPr>
          <w:p>
            <w:pPr>
              <w:jc w:val="center"/>
              <w:ind w:left="175"/>
              <w:spacing w:after="0"/>
              <w:rPr>
                <w:sz w:val="20"/>
                <w:szCs w:val="20"/>
                <w:color w:val="auto"/>
              </w:rPr>
            </w:pPr>
            <w:r>
              <w:rPr>
                <w:rFonts w:ascii="Arial" w:cs="Arial" w:eastAsia="Arial" w:hAnsi="Arial"/>
                <w:sz w:val="14"/>
                <w:szCs w:val="14"/>
                <w:b w:val="1"/>
                <w:bCs w:val="1"/>
                <w:color w:val="auto"/>
                <w:w w:val="83"/>
              </w:rPr>
              <w:t>2 0 0 2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4"/>
          </w:tcPr>
          <w:p>
            <w:pPr>
              <w:jc w:val="center"/>
              <w:ind w:right="72"/>
              <w:spacing w:after="0"/>
              <w:rPr>
                <w:sz w:val="20"/>
                <w:szCs w:val="20"/>
                <w:color w:val="auto"/>
              </w:rPr>
            </w:pPr>
            <w:r>
              <w:rPr>
                <w:rFonts w:ascii="Arial" w:cs="Arial" w:eastAsia="Arial" w:hAnsi="Arial"/>
                <w:sz w:val="14"/>
                <w:szCs w:val="14"/>
                <w:color w:val="auto"/>
                <w:w w:val="87"/>
              </w:rPr>
              <w:t>Income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72"/>
              <w:spacing w:after="0" w:line="149" w:lineRule="exact"/>
              <w:rPr>
                <w:sz w:val="20"/>
                <w:szCs w:val="20"/>
                <w:color w:val="auto"/>
              </w:rPr>
            </w:pPr>
            <w:r>
              <w:rPr>
                <w:rFonts w:ascii="Arial" w:cs="Arial" w:eastAsia="Arial" w:hAnsi="Arial"/>
                <w:sz w:val="14"/>
                <w:szCs w:val="14"/>
                <w:color w:val="auto"/>
                <w:w w:val="86"/>
              </w:rPr>
              <w:t>after tax</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color w:val="auto"/>
              </w:rPr>
              <w:t>before tax</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72"/>
              <w:spacing w:after="0" w:line="149" w:lineRule="exact"/>
              <w:rPr>
                <w:sz w:val="20"/>
                <w:szCs w:val="20"/>
                <w:color w:val="auto"/>
              </w:rPr>
            </w:pPr>
            <w:r>
              <w:rPr>
                <w:rFonts w:ascii="Arial" w:cs="Arial" w:eastAsia="Arial" w:hAnsi="Arial"/>
                <w:sz w:val="14"/>
                <w:szCs w:val="14"/>
                <w:color w:val="auto"/>
              </w:rPr>
              <w:t>&amp; Min.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3"/>
              </w:rPr>
              <w:t>Minority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Tax</w:t>
            </w:r>
          </w:p>
        </w:tc>
        <w:tc>
          <w:tcPr>
            <w:tcW w:w="220" w:type="dxa"/>
            <w:vAlign w:val="bottom"/>
          </w:tcPr>
          <w:p>
            <w:pPr>
              <w:spacing w:after="0"/>
              <w:rPr>
                <w:sz w:val="12"/>
                <w:szCs w:val="12"/>
                <w:color w:val="auto"/>
              </w:rPr>
            </w:pPr>
          </w:p>
        </w:tc>
        <w:tc>
          <w:tcPr>
            <w:tcW w:w="8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&amp; Min.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Depn. &amp;</w:t>
            </w: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5"/>
          </w:tcPr>
          <w:p>
            <w:pPr>
              <w:jc w:val="right"/>
              <w:ind w:right="72"/>
              <w:spacing w:after="0"/>
              <w:rPr>
                <w:sz w:val="20"/>
                <w:szCs w:val="20"/>
                <w:color w:val="auto"/>
              </w:rPr>
            </w:pPr>
            <w:r>
              <w:rPr>
                <w:rFonts w:ascii="Arial" w:cs="Arial" w:eastAsia="Arial" w:hAnsi="Arial"/>
                <w:sz w:val="14"/>
                <w:szCs w:val="14"/>
                <w:color w:val="auto"/>
                <w:w w:val="89"/>
              </w:rPr>
              <w:t>Revenue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center"/>
              <w:ind w:right="192"/>
              <w:spacing w:after="0"/>
              <w:rPr>
                <w:sz w:val="20"/>
                <w:szCs w:val="20"/>
                <w:color w:val="auto"/>
              </w:rPr>
            </w:pPr>
            <w:r>
              <w:rPr>
                <w:rFonts w:ascii="Arial" w:cs="Arial" w:eastAsia="Arial" w:hAnsi="Arial"/>
                <w:sz w:val="14"/>
                <w:szCs w:val="14"/>
                <w:color w:val="auto"/>
                <w:w w:val="92"/>
              </w:rPr>
              <w:t>Int.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4"/>
                <w:szCs w:val="14"/>
                <w:color w:val="auto"/>
                <w:w w:val="89"/>
              </w:rPr>
              <w:t>Interest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color w:val="auto"/>
              </w:rPr>
              <w:t>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4"/>
                <w:szCs w:val="14"/>
                <w:color w:val="auto"/>
              </w:rPr>
              <w:t>Int.</w:t>
            </w:r>
          </w:p>
        </w:tc>
        <w:tc>
          <w:tcPr>
            <w:tcW w:w="14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Assets</w:t>
            </w:r>
          </w:p>
        </w:tc>
        <w:tc>
          <w:tcPr>
            <w:tcW w:w="80" w:type="dxa"/>
            <w:vAlign w:val="bottom"/>
          </w:tcPr>
          <w:p>
            <w:pPr>
              <w:spacing w:after="0"/>
              <w:rPr>
                <w:sz w:val="14"/>
                <w:szCs w:val="14"/>
                <w:color w:val="auto"/>
              </w:rPr>
            </w:pPr>
          </w:p>
        </w:tc>
        <w:tc>
          <w:tcPr>
            <w:tcW w:w="800" w:type="dxa"/>
            <w:vAlign w:val="bottom"/>
            <w:gridSpan w:val="6"/>
          </w:tcPr>
          <w:p>
            <w:pPr>
              <w:ind w:left="20"/>
              <w:spacing w:after="0"/>
              <w:rPr>
                <w:sz w:val="20"/>
                <w:szCs w:val="20"/>
                <w:color w:val="auto"/>
              </w:rPr>
            </w:pPr>
            <w:r>
              <w:rPr>
                <w:rFonts w:ascii="Arial" w:cs="Arial" w:eastAsia="Arial" w:hAnsi="Arial"/>
                <w:sz w:val="14"/>
                <w:szCs w:val="14"/>
                <w:color w:val="auto"/>
              </w:rPr>
              <w:t>Amortn.</w:t>
            </w:r>
          </w:p>
        </w:tc>
        <w:tc>
          <w:tcPr>
            <w:tcW w:w="660" w:type="dxa"/>
            <w:vAlign w:val="bottom"/>
            <w:gridSpan w:val="3"/>
          </w:tcPr>
          <w:p>
            <w:pPr>
              <w:spacing w:after="0"/>
              <w:rPr>
                <w:sz w:val="20"/>
                <w:szCs w:val="20"/>
                <w:color w:val="auto"/>
              </w:rPr>
            </w:pPr>
            <w:r>
              <w:rPr>
                <w:rFonts w:ascii="Arial" w:cs="Arial" w:eastAsia="Arial" w:hAnsi="Arial"/>
                <w:sz w:val="14"/>
                <w:szCs w:val="14"/>
                <w:color w:val="auto"/>
                <w:w w:val="85"/>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6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274</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$ 1,866</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383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SLSEMA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 East/Africa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Asia</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Elims/Other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(147)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48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gridSpan w:val="4"/>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$ 13,118</w:t>
            </w: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$ 1,047</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$ 19,435</w:t>
            </w:r>
          </w:p>
        </w:tc>
        <w:tc>
          <w:tcPr>
            <w:tcW w:w="2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$ 1,533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(3,168)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(2,227)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-6049010</wp:posOffset>
            </wp:positionV>
            <wp:extent cx="224218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4218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-6049010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-6049010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-6049010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-6049010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-6049010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-6049010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-6049010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-6049010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-6049010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-5191125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-5191125</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-5191125</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-860425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-860425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-860425</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-860425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-860425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-860425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-860425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-860425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-860425</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-860425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-860425</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-860425</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-860425</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-860425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-860425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-860425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-860425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-860425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-860425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-860425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-860425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-3175</wp:posOffset>
            </wp:positionV>
            <wp:extent cx="26035" cy="4763"/>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4763"/>
                    </a:xfrm>
                    <a:prstGeom prst="rect">
                      <a:avLst/>
                    </a:prstGeom>
                    <a:noFill/>
                  </pic:spPr>
                </pic:pic>
              </a:graphicData>
            </a:graphic>
          </wp:anchor>
        </w:drawing>
      </w:r>
    </w:p>
    <w:p>
      <w:pPr>
        <w:sectPr>
          <w:pgSz w:w="11900" w:h="16900" w:orient="portrait"/>
          <w:cols w:equalWidth="0" w:num="1">
            <w:col w:w="11440"/>
          </w:cols>
          <w:pgMar w:left="240" w:top="280" w:right="219" w:bottom="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5326380</wp:posOffset>
            </wp:positionH>
            <wp:positionV relativeFrom="page">
              <wp:posOffset>88900</wp:posOffset>
            </wp:positionV>
            <wp:extent cx="389890"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989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ind w:left="1014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(Stated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2 0 0 1</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color w:val="auto"/>
                <w:w w:val="87"/>
              </w:rPr>
              <w:t>Income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6"/>
              </w:rPr>
              <w:t>after tax</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6"/>
              </w:rPr>
              <w:t>before tax</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rPr>
              <w:t>&amp; Min.</w:t>
            </w: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Minority</w:t>
            </w:r>
          </w:p>
        </w:tc>
        <w:tc>
          <w:tcPr>
            <w:tcW w:w="100" w:type="dxa"/>
            <w:vAlign w:val="bottom"/>
          </w:tcPr>
          <w:p>
            <w:pPr>
              <w:spacing w:after="0"/>
              <w:rPr>
                <w:sz w:val="12"/>
                <w:szCs w:val="12"/>
                <w:color w:val="auto"/>
              </w:rPr>
            </w:pPr>
          </w:p>
        </w:tc>
        <w:tc>
          <w:tcPr>
            <w:tcW w:w="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5"/>
              </w:rPr>
              <w:t>Tax</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rPr>
              <w:t>&amp; Min.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Depn. &amp;</w:t>
            </w: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color w:val="auto"/>
                <w:w w:val="92"/>
              </w:rPr>
              <w:t>Int.</w:t>
            </w:r>
          </w:p>
        </w:tc>
        <w:tc>
          <w:tcPr>
            <w:tcW w:w="940" w:type="dxa"/>
            <w:vAlign w:val="bottom"/>
            <w:gridSpan w:val="4"/>
          </w:tcPr>
          <w:p>
            <w:pPr>
              <w:ind w:left="40"/>
              <w:spacing w:after="0"/>
              <w:rPr>
                <w:sz w:val="20"/>
                <w:szCs w:val="20"/>
                <w:color w:val="auto"/>
              </w:rPr>
            </w:pPr>
            <w:r>
              <w:rPr>
                <w:rFonts w:ascii="Arial" w:cs="Arial" w:eastAsia="Arial" w:hAnsi="Arial"/>
                <w:sz w:val="14"/>
                <w:szCs w:val="14"/>
                <w:color w:val="auto"/>
              </w:rPr>
              <w:t>Interest</w:t>
            </w:r>
          </w:p>
        </w:tc>
        <w:tc>
          <w:tcPr>
            <w:tcW w:w="520" w:type="dxa"/>
            <w:vAlign w:val="bottom"/>
            <w:gridSpan w:val="4"/>
          </w:tcPr>
          <w:p>
            <w:pPr>
              <w:spacing w:after="0"/>
              <w:rPr>
                <w:sz w:val="20"/>
                <w:szCs w:val="20"/>
                <w:color w:val="auto"/>
              </w:rPr>
            </w:pPr>
            <w:r>
              <w:rPr>
                <w:rFonts w:ascii="Arial" w:cs="Arial" w:eastAsia="Arial" w:hAnsi="Arial"/>
                <w:sz w:val="14"/>
                <w:szCs w:val="14"/>
                <w:color w:val="auto"/>
                <w:w w:val="91"/>
              </w:rPr>
              <w:t>Expense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Int.</w:t>
            </w:r>
          </w:p>
        </w:tc>
        <w:tc>
          <w:tcPr>
            <w:tcW w:w="10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color w:val="auto"/>
                <w:w w:val="85"/>
              </w:rPr>
              <w:t>Assets</w:t>
            </w:r>
          </w:p>
        </w:tc>
        <w:tc>
          <w:tcPr>
            <w:tcW w:w="340" w:type="dxa"/>
            <w:vAlign w:val="bottom"/>
          </w:tcPr>
          <w:p>
            <w:pPr>
              <w:spacing w:after="0"/>
              <w:rPr>
                <w:sz w:val="14"/>
                <w:szCs w:val="14"/>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color w:val="auto"/>
              </w:rPr>
              <w:t>Amortn.</w:t>
            </w:r>
          </w:p>
        </w:tc>
        <w:tc>
          <w:tcPr>
            <w:tcW w:w="660" w:type="dxa"/>
            <w:vAlign w:val="bottom"/>
            <w:gridSpan w:val="3"/>
          </w:tcPr>
          <w:p>
            <w:pPr>
              <w:spacing w:after="0"/>
              <w:rPr>
                <w:sz w:val="20"/>
                <w:szCs w:val="20"/>
                <w:color w:val="auto"/>
              </w:rPr>
            </w:pPr>
            <w:r>
              <w:rPr>
                <w:rFonts w:ascii="Arial" w:cs="Arial" w:eastAsia="Arial" w:hAnsi="Arial"/>
                <w:sz w:val="14"/>
                <w:szCs w:val="14"/>
                <w:color w:val="auto"/>
                <w:w w:val="85"/>
              </w:rPr>
              <w:t>Expenditure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SLSEMA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 East/Africa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-887095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-887095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-887095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-887095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-887095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-887095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-887095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-887095</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-887095</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-887095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-887095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-887095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-887095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-887095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-887095</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-887095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-887095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-887095</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-887095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-887095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-887095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Oilfield Services net income eliminations include certain headquarters administrative costs which are not allocated geographically, manufacturing and certain other operations, and costs maintained at the Oilfield Services level.</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SchlumbergerSema net income eliminations include certain headquarters administrative costs which are not allocated geographically and other costs maintained at the SchlumbergerSema level.</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Corporate income eliminations principally comprise the amortization of goodwill (in 2001) and other intangibles, as well as nonoperating expenses, such as certain intersegment charges and interest expense (except as shown above), which are not included in the segments’ income. Corporate assets largely comprise short-term investments and fixed income investments, held to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years ended December 31, 2003, no single customer exceeded 10% of consolidated revenue.</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Schlumberger did not have revenue from third-party customers in its country of domicile during the last three years. In each of the three years, only revenue in the US exceeded 10% of consolidated revenue. Revenue in the US in 2003, 2002 and 2001 was $3.8 billion, $4.0 billion and $5.1 billion,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excludes amounts which are included in the segments’ income (2003-$5 million: 2002-$4 million: 2001-$5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52"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Plans</w:t>
      </w:r>
    </w:p>
    <w:p>
      <w:pPr>
        <w:spacing w:after="0" w:line="8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Schlumberger and its US subsidiary sponsor several defined benefit pension plans that cover substantially all employees. The benefits are based on years of service and compensation on a career-average pay basis. These plans are funded through a trust in respect to past and current service. Charges to expense are based upon costs computed by independent actuaries. The funding policy is to annually contribute amounts that are allowable for federal income tax purposes. These contributions are intended to provide for benefits</w:t>
      </w:r>
    </w:p>
    <w:p>
      <w:pPr>
        <w:sectPr>
          <w:pgSz w:w="11900" w:h="16838" w:orient="portrait"/>
          <w:cols w:equalWidth="0" w:num="1">
            <w:col w:w="11440"/>
          </w:cols>
          <w:pgMar w:left="240" w:top="277" w:right="2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earned to date and those expected to be earned in the future. The contribution in 2004 is expected to be between $40 million and $150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3"/>
              </w:rPr>
              <w:t>6.75%</w:t>
            </w: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7.25%</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Compensation increases</w:t>
            </w:r>
          </w:p>
        </w:tc>
        <w:tc>
          <w:tcPr>
            <w:tcW w:w="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3.00%</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3.00%</w:t>
            </w: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3"/>
              </w:rPr>
              <w:t>8.50%</w:t>
            </w: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8.50%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2003, 2002 and 2001, included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6"/>
            <w:shd w:val="clear" w:color="auto" w:fill="CCEEFF"/>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4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4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30" w:type="dxa"/>
            <w:vAlign w:val="bottom"/>
          </w:tcPr>
          <w:p>
            <w:pPr>
              <w:jc w:val="right"/>
              <w:ind w:right="55"/>
              <w:spacing w:after="0"/>
              <w:rPr>
                <w:sz w:val="20"/>
                <w:szCs w:val="20"/>
                <w:color w:val="auto"/>
              </w:rPr>
            </w:pPr>
            <w:r>
              <w:rPr>
                <w:rFonts w:ascii="Arial" w:cs="Arial" w:eastAsia="Arial" w:hAnsi="Arial"/>
                <w:sz w:val="14"/>
                <w:szCs w:val="14"/>
                <w:color w:val="auto"/>
                <w:w w:val="83"/>
              </w:rPr>
              <w:t>2001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the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 (actual return: 2003-$177; 2002-$(114); 2001-$(70))</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110" w:type="dxa"/>
            <w:vAlign w:val="bottom"/>
            <w:shd w:val="clear" w:color="auto" w:fill="CCEEFF"/>
          </w:tcPr>
          <w:p>
            <w:pPr>
              <w:spacing w:after="0"/>
              <w:rPr>
                <w:sz w:val="18"/>
                <w:szCs w:val="18"/>
                <w:color w:val="auto"/>
              </w:rPr>
            </w:pPr>
          </w:p>
        </w:tc>
        <w:tc>
          <w:tcPr>
            <w:tcW w:w="53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Amortization of transition assets</w:t>
            </w:r>
          </w:p>
        </w:tc>
        <w:tc>
          <w:tcPr>
            <w:tcW w:w="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3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cost/other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Amortization of unrecognized net loss (gain)</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53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pension cost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plans on December 31, 2003 and 2002,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690" w:type="dxa"/>
            <w:vAlign w:val="bottom"/>
            <w:gridSpan w:val="5"/>
          </w:tcPr>
          <w:p>
            <w:pPr>
              <w:jc w:val="right"/>
              <w:ind w:right="4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7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Service cost</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Actuarial losses</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9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Amendments</w:t>
            </w:r>
          </w:p>
        </w:tc>
        <w:tc>
          <w:tcPr>
            <w:tcW w:w="90" w:type="dxa"/>
            <w:vAlign w:val="bottom"/>
          </w:tcPr>
          <w:p>
            <w:pPr>
              <w:spacing w:after="0"/>
              <w:rPr>
                <w:sz w:val="18"/>
                <w:szCs w:val="18"/>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Divestiture</w:t>
            </w:r>
          </w:p>
        </w:tc>
        <w:tc>
          <w:tcPr>
            <w:tcW w:w="9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Contribution</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Benefits paid</w:t>
            </w:r>
          </w:p>
        </w:tc>
        <w:tc>
          <w:tcPr>
            <w:tcW w:w="90" w:type="dxa"/>
            <w:vAlign w:val="bottom"/>
          </w:tcPr>
          <w:p>
            <w:pPr>
              <w:spacing w:after="0"/>
              <w:rPr>
                <w:sz w:val="18"/>
                <w:szCs w:val="18"/>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Divestiture</w:t>
            </w:r>
          </w:p>
        </w:tc>
        <w:tc>
          <w:tcPr>
            <w:tcW w:w="9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Unrecognized net loss</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Contribution receivable</w:t>
            </w:r>
          </w:p>
        </w:tc>
        <w:tc>
          <w:tcPr>
            <w:tcW w:w="90" w:type="dxa"/>
            <w:vAlign w:val="bottom"/>
          </w:tcPr>
          <w:p>
            <w:pPr>
              <w:spacing w:after="0"/>
              <w:rPr>
                <w:sz w:val="19"/>
                <w:szCs w:val="19"/>
                <w:color w:val="auto"/>
              </w:rPr>
            </w:pPr>
          </w:p>
        </w:tc>
        <w:tc>
          <w:tcPr>
            <w:tcW w:w="101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at end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Accumulated benefits obligation at end of the year</w:t>
            </w:r>
          </w:p>
        </w:tc>
        <w:tc>
          <w:tcPr>
            <w:tcW w:w="90" w:type="dxa"/>
            <w:vAlign w:val="bottom"/>
          </w:tcPr>
          <w:p>
            <w:pPr>
              <w:spacing w:after="0"/>
              <w:rPr>
                <w:sz w:val="19"/>
                <w:szCs w:val="19"/>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7"/>
              </w:rPr>
              <w:t>(1,478)</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(1,336)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w:t>
            </w:r>
          </w:p>
        </w:tc>
        <w:tc>
          <w:tcPr>
            <w:tcW w:w="9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(371)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Pension liability at end of the year</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-3131820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-3131820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-3131820</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-3131820</wp:posOffset>
            </wp:positionV>
            <wp:extent cx="3898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-1999615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-1999615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-1999615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-1999615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-1999615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-1999615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-1004570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-1004570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-1004570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-1004570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-1004570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-1004570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220" w:val="left"/>
          <w:tab w:leader="none" w:pos="1080" w:val="left"/>
          <w:tab w:leader="none" w:pos="1340" w:val="left"/>
        </w:tabs>
        <w:rPr>
          <w:sz w:val="20"/>
          <w:szCs w:val="20"/>
          <w:color w:val="auto"/>
        </w:rPr>
      </w:pPr>
      <w:r>
        <w:rPr>
          <w:rFonts w:ascii="Arial" w:cs="Arial" w:eastAsia="Arial" w:hAnsi="Arial"/>
          <w:sz w:val="18"/>
          <w:szCs w:val="18"/>
          <w:b w:val="1"/>
          <w:bCs w:val="1"/>
          <w:color w:val="auto"/>
        </w:rPr>
        <w:t>$</w:t>
        <w:tab/>
        <w:t>(219)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3898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81280</wp:posOffset>
            </wp:positionV>
            <wp:extent cx="3898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280" w:right="239" w:bottom="1440" w:gutter="0" w:footer="0" w:header="0"/>
          <w:type w:val="continuous"/>
        </w:sectPr>
      </w:pPr>
    </w:p>
    <w:p>
      <w:pPr>
        <w:spacing w:after="0" w:line="2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combined market performance over the last three years and declining interest rates have decreased the value of assets held in the US pension plans and has correspondingly increased the amount by which the pension plans are under-funded. As a result of the decline in the value of the pension plan assets and a decline in the interest rates, which increases the present value of the benefit obligations, Schlumberger has recorded a cumulative non-cash pretax charge to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of $219 million ($136 million after-tax). A recovery in market returns in future periods would reverse a portion of the charge.</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assumed discount rate, the rate of compensation increases and the expected long-term rate of return on plan assets used to determine the projected benefit obligations were as follows:</w:t>
      </w:r>
    </w:p>
    <w:p>
      <w:pPr>
        <w:spacing w:after="0" w:line="11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40" w:type="dxa"/>
            <w:vAlign w:val="bottom"/>
            <w:gridSpan w:val="2"/>
          </w:tcPr>
          <w:p>
            <w:pPr>
              <w:jc w:val="center"/>
              <w:ind w:left="1637"/>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gridSpan w:val="2"/>
          </w:tcPr>
          <w:p>
            <w:pPr>
              <w:jc w:val="center"/>
              <w:ind w:left="17"/>
              <w:spacing w:after="0"/>
              <w:rPr>
                <w:sz w:val="20"/>
                <w:szCs w:val="20"/>
                <w:color w:val="auto"/>
              </w:rPr>
            </w:pPr>
            <w:r>
              <w:rPr>
                <w:rFonts w:ascii="Arial" w:cs="Arial" w:eastAsia="Arial" w:hAnsi="Arial"/>
                <w:sz w:val="14"/>
                <w:szCs w:val="14"/>
                <w:color w:val="auto"/>
                <w:w w:val="89"/>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2240" w:type="dxa"/>
            <w:vAlign w:val="bottom"/>
            <w:gridSpan w:val="2"/>
            <w:shd w:val="clear" w:color="auto" w:fill="CCEEFF"/>
          </w:tcPr>
          <w:p>
            <w:pPr>
              <w:jc w:val="center"/>
              <w:ind w:left="1637"/>
              <w:spacing w:after="0"/>
              <w:rPr>
                <w:sz w:val="20"/>
                <w:szCs w:val="20"/>
                <w:color w:val="auto"/>
              </w:rPr>
            </w:pPr>
            <w:r>
              <w:rPr>
                <w:rFonts w:ascii="Arial" w:cs="Arial" w:eastAsia="Arial" w:hAnsi="Arial"/>
                <w:sz w:val="18"/>
                <w:szCs w:val="18"/>
                <w:b w:val="1"/>
                <w:bCs w:val="1"/>
                <w:color w:val="auto"/>
                <w:w w:val="93"/>
              </w:rPr>
              <w:t>6.25%</w:t>
            </w:r>
          </w:p>
        </w:tc>
        <w:tc>
          <w:tcPr>
            <w:tcW w:w="58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6"/>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Compensation increases</w:t>
            </w:r>
          </w:p>
        </w:tc>
        <w:tc>
          <w:tcPr>
            <w:tcW w:w="2240" w:type="dxa"/>
            <w:vAlign w:val="bottom"/>
            <w:gridSpan w:val="2"/>
          </w:tcPr>
          <w:p>
            <w:pPr>
              <w:jc w:val="center"/>
              <w:ind w:left="1637"/>
              <w:spacing w:after="0"/>
              <w:rPr>
                <w:sz w:val="20"/>
                <w:szCs w:val="20"/>
                <w:color w:val="auto"/>
              </w:rPr>
            </w:pPr>
            <w:r>
              <w:rPr>
                <w:rFonts w:ascii="Arial" w:cs="Arial" w:eastAsia="Arial" w:hAnsi="Arial"/>
                <w:sz w:val="18"/>
                <w:szCs w:val="18"/>
                <w:b w:val="1"/>
                <w:bCs w:val="1"/>
                <w:color w:val="auto"/>
                <w:w w:val="93"/>
              </w:rPr>
              <w:t>3.00%</w:t>
            </w:r>
          </w:p>
        </w:tc>
        <w:tc>
          <w:tcPr>
            <w:tcW w:w="580" w:type="dxa"/>
            <w:vAlign w:val="bottom"/>
            <w:gridSpan w:val="2"/>
          </w:tcPr>
          <w:p>
            <w:pPr>
              <w:jc w:val="center"/>
              <w:ind w:left="17"/>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2240" w:type="dxa"/>
            <w:vAlign w:val="bottom"/>
            <w:gridSpan w:val="2"/>
            <w:shd w:val="clear" w:color="auto" w:fill="CCEEFF"/>
          </w:tcPr>
          <w:p>
            <w:pPr>
              <w:jc w:val="center"/>
              <w:ind w:left="1637"/>
              <w:spacing w:after="0"/>
              <w:rPr>
                <w:sz w:val="20"/>
                <w:szCs w:val="20"/>
                <w:color w:val="auto"/>
              </w:rPr>
            </w:pPr>
            <w:r>
              <w:rPr>
                <w:rFonts w:ascii="Arial" w:cs="Arial" w:eastAsia="Arial" w:hAnsi="Arial"/>
                <w:sz w:val="18"/>
                <w:szCs w:val="18"/>
                <w:b w:val="1"/>
                <w:bCs w:val="1"/>
                <w:color w:val="auto"/>
                <w:w w:val="93"/>
              </w:rPr>
              <w:t>8.50%</w:t>
            </w:r>
          </w:p>
        </w:tc>
        <w:tc>
          <w:tcPr>
            <w:tcW w:w="58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86"/>
              </w:rPr>
              <w:t>8.50%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type w:val="continuous"/>
        </w:sectPr>
      </w:pPr>
    </w:p>
    <w:bookmarkStart w:id="70" w:name="page71"/>
    <w:bookmarkEnd w:id="7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December 31, 2003, there is no investment of the plan assets in Schlumberger common stock. The following is a breakdown of the plan assets: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4"/>
                <w:szCs w:val="14"/>
                <w:color w:val="auto"/>
              </w:rPr>
            </w:pPr>
          </w:p>
        </w:tc>
        <w:tc>
          <w:tcPr>
            <w:tcW w:w="1740" w:type="dxa"/>
            <w:vAlign w:val="bottom"/>
            <w:gridSpan w:val="3"/>
          </w:tcPr>
          <w:p>
            <w:pPr>
              <w:ind w:left="720"/>
              <w:spacing w:after="0"/>
              <w:rPr>
                <w:sz w:val="20"/>
                <w:szCs w:val="20"/>
                <w:color w:val="auto"/>
              </w:rPr>
            </w:pPr>
            <w:r>
              <w:rPr>
                <w:rFonts w:ascii="Arial" w:cs="Arial" w:eastAsia="Arial" w:hAnsi="Arial"/>
                <w:sz w:val="14"/>
                <w:szCs w:val="14"/>
                <w:i w:val="1"/>
                <w:iCs w:val="1"/>
                <w:color w:val="auto"/>
                <w:w w:val="86"/>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US Equity—Active</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9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US Equity—Indexed</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Non-US Equity</w:t>
            </w: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fixed income</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or cash equivalents</w:t>
            </w: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investments</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Contribution receivable</w:t>
            </w: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1,107</w:t>
            </w:r>
          </w:p>
        </w:tc>
        <w:tc>
          <w:tcPr>
            <w:tcW w:w="9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 the highest expected rate of return consistent with an acceptable level of risk. The investment strategies include a rebalancing of the asset mix as necessary to the previously defined levels and reassessing funding levels and asset allocation strategy at least annually. In order to increase diversification and limit management risk, Schlumberger generally does not allocate more than 15% of fund assets to a single investment manager.</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at least annually. The pension trust’s performance over the last 10 years has been an annualized return of 8.9%.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Pension Plans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funded through trusts in respect to past and current service. For all defined benefit plans, pension expense was $87 million, $58 million and $52 million in 2003, 2002 and 2001, respectively. Based on plan assets and the projected benefit obligation, the only significant defined benefit plan is in the UK.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820" w:type="dxa"/>
            <w:vAlign w:val="bottom"/>
            <w:gridSpan w:val="2"/>
          </w:tcPr>
          <w:p>
            <w:pPr>
              <w:jc w:val="center"/>
              <w:ind w:left="277"/>
              <w:spacing w:after="0"/>
              <w:rPr>
                <w:sz w:val="20"/>
                <w:szCs w:val="20"/>
                <w:color w:val="auto"/>
              </w:rPr>
            </w:pPr>
            <w:r>
              <w:rPr>
                <w:rFonts w:ascii="Arial" w:cs="Arial" w:eastAsia="Arial" w:hAnsi="Arial"/>
                <w:sz w:val="14"/>
                <w:szCs w:val="14"/>
                <w:color w:val="auto"/>
                <w:w w:val="83"/>
              </w:rPr>
              <w:t>2002</w:t>
            </w:r>
          </w:p>
        </w:tc>
        <w:tc>
          <w:tcPr>
            <w:tcW w:w="820" w:type="dxa"/>
            <w:vAlign w:val="bottom"/>
            <w:gridSpan w:val="2"/>
          </w:tcPr>
          <w:p>
            <w:pPr>
              <w:jc w:val="center"/>
              <w:ind w:left="277"/>
              <w:spacing w:after="0"/>
              <w:rPr>
                <w:sz w:val="20"/>
                <w:szCs w:val="20"/>
                <w:color w:val="auto"/>
              </w:rPr>
            </w:pPr>
            <w:r>
              <w:rPr>
                <w:rFonts w:ascii="Arial" w:cs="Arial" w:eastAsia="Arial" w:hAnsi="Arial"/>
                <w:sz w:val="14"/>
                <w:szCs w:val="14"/>
                <w:color w:val="auto"/>
                <w:w w:val="83"/>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82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0"/>
              </w:rPr>
              <w:t>5.75%</w:t>
            </w:r>
          </w:p>
        </w:tc>
        <w:tc>
          <w:tcPr>
            <w:tcW w:w="82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0"/>
              </w:rPr>
              <w:t>6.00%</w:t>
            </w:r>
          </w:p>
        </w:tc>
        <w:tc>
          <w:tcPr>
            <w:tcW w:w="0" w:type="dxa"/>
            <w:vAlign w:val="bottom"/>
          </w:tcPr>
          <w:p>
            <w:pPr>
              <w:spacing w:after="0"/>
              <w:rPr>
                <w:sz w:val="1"/>
                <w:szCs w:val="1"/>
                <w:color w:val="auto"/>
              </w:rPr>
            </w:pPr>
          </w:p>
        </w:tc>
      </w:tr>
      <w:tr>
        <w:trPr>
          <w:trHeight w:val="282"/>
        </w:trPr>
        <w:tc>
          <w:tcPr>
            <w:tcW w:w="632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3.75%—2.5%</w:t>
            </w:r>
          </w:p>
        </w:tc>
        <w:tc>
          <w:tcPr>
            <w:tcW w:w="820" w:type="dxa"/>
            <w:vAlign w:val="bottom"/>
            <w:gridSpan w:val="2"/>
          </w:tcPr>
          <w:p>
            <w:pPr>
              <w:jc w:val="center"/>
              <w:ind w:left="277"/>
              <w:spacing w:after="0"/>
              <w:rPr>
                <w:sz w:val="20"/>
                <w:szCs w:val="20"/>
                <w:color w:val="auto"/>
              </w:rPr>
            </w:pPr>
            <w:r>
              <w:rPr>
                <w:rFonts w:ascii="Arial" w:cs="Arial" w:eastAsia="Arial" w:hAnsi="Arial"/>
                <w:sz w:val="18"/>
                <w:szCs w:val="18"/>
                <w:color w:val="auto"/>
                <w:w w:val="90"/>
              </w:rPr>
              <w:t>4.00%</w:t>
            </w:r>
          </w:p>
        </w:tc>
        <w:tc>
          <w:tcPr>
            <w:tcW w:w="820" w:type="dxa"/>
            <w:vAlign w:val="bottom"/>
            <w:gridSpan w:val="2"/>
          </w:tcPr>
          <w:p>
            <w:pPr>
              <w:jc w:val="center"/>
              <w:ind w:left="277"/>
              <w:spacing w:after="0"/>
              <w:rPr>
                <w:sz w:val="20"/>
                <w:szCs w:val="20"/>
                <w:color w:val="auto"/>
              </w:rPr>
            </w:pPr>
            <w:r>
              <w:rPr>
                <w:rFonts w:ascii="Arial" w:cs="Arial" w:eastAsia="Arial" w:hAnsi="Arial"/>
                <w:sz w:val="18"/>
                <w:szCs w:val="18"/>
                <w:color w:val="auto"/>
                <w:w w:val="90"/>
              </w:rPr>
              <w:t>4.00%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Return on plan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82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0"/>
              </w:rPr>
              <w:t>9.00%</w:t>
            </w:r>
          </w:p>
        </w:tc>
        <w:tc>
          <w:tcPr>
            <w:tcW w:w="82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0"/>
              </w:rPr>
              <w:t>9.00%</w:t>
            </w: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71" w:name="page72"/>
    <w:bookmarkEnd w:id="7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pension cost in the UK plan for 2003, 2002 and 2001 (including the Sema plc plans) (translated into US dollars at the average exchange rate for the periods), included the following components: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2002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the period</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return on plan assets [actual return: 2003—$152; 2002—$(147);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2001—$(47)]</w:t>
            </w:r>
          </w:p>
        </w:tc>
        <w:tc>
          <w:tcPr>
            <w:tcW w:w="10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asset and other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444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 (translated into US dollars at year-end exchange rates) was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14"/>
                <w:szCs w:val="14"/>
                <w:color w:val="auto"/>
              </w:rPr>
            </w:pPr>
          </w:p>
        </w:tc>
        <w:tc>
          <w:tcPr>
            <w:tcW w:w="1480" w:type="dxa"/>
            <w:vAlign w:val="bottom"/>
            <w:gridSpan w:val="4"/>
          </w:tcPr>
          <w:p>
            <w:pPr>
              <w:ind w:left="38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1,142</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Service cost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Transfer in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Actuarial losses (gains)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Currency effect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1,570</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Currency effect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Transfer in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Disposals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1,108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(462)</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Unrecognized net loss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Unrecognized net asset at transition date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Pension asset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Assets of under-funded plans at market value at end of the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Accumulated benefit obligation of under-funded plans at end of the year</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7"/>
              </w:rPr>
              <w:t>(1,097)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 of under-funded plans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Pension liability of under-funded plans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comprehensive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(209)</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-3708400</wp:posOffset>
            </wp:positionV>
            <wp:extent cx="3816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-3708400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-3708400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-3708400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-2164715</wp:posOffset>
            </wp:positionV>
            <wp:extent cx="3816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-2164715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-2164715</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-2164715</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-1169670</wp:posOffset>
            </wp:positionV>
            <wp:extent cx="3816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-1169670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-1169670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-1169670</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combined market performance over the last three years and declining interest rates have decreased the value of assets held in the UK pension plans and has correspondingly increased the amount by which the pension plans are under-funded. As a result of the decline in the value of the pension plan assets and a decline in the interest rates, which increased the present value of the benefit obligations, Schlumberger has recorded a cumulative non-cash pretax charge to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of $209 million ($147 million after-tax). A recovery in market returns in future periods would reverse a portion of the charge.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2"/>
          </w:tcPr>
          <w:p>
            <w:pPr>
              <w:jc w:val="right"/>
              <w:ind w:right="372"/>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Assumed discount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Compensation increases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3.75%—2.55%</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Plan assets consisted of common stocks ($831 million), cash or cash equivalents ($41 million) and fixed income investments ($235 million). None of the segregated plan assets represented Schlumberger common stock.</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breakdown of the plan assets: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4"/>
                <w:szCs w:val="14"/>
                <w:color w:val="auto"/>
              </w:rPr>
            </w:pPr>
          </w:p>
        </w:tc>
        <w:tc>
          <w:tcPr>
            <w:tcW w:w="1740" w:type="dxa"/>
            <w:vAlign w:val="bottom"/>
            <w:gridSpan w:val="3"/>
          </w:tcPr>
          <w:p>
            <w:pPr>
              <w:ind w:left="720"/>
              <w:spacing w:after="0"/>
              <w:rPr>
                <w:sz w:val="20"/>
                <w:szCs w:val="20"/>
                <w:color w:val="auto"/>
              </w:rPr>
            </w:pPr>
            <w:r>
              <w:rPr>
                <w:rFonts w:ascii="Arial" w:cs="Arial" w:eastAsia="Arial" w:hAnsi="Arial"/>
                <w:sz w:val="14"/>
                <w:szCs w:val="14"/>
                <w:i w:val="1"/>
                <w:iCs w:val="1"/>
                <w:color w:val="auto"/>
                <w:w w:val="86"/>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9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Index linked gilts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Real estate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1,106</w:t>
            </w:r>
          </w:p>
        </w:tc>
        <w:tc>
          <w:tcPr>
            <w:tcW w:w="9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trustees of all the UK plans determine their investment strategy with regard to the liability profile of each Fund on an individual basis and have determined benchmarks which they believe provides an adequate balance between maximizing the return on the assets and minimizing the risk of failing to meet the liabilities over the long-term.</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Overall, the trustees of each plan aim to have a sufficiently diversified portfolio of appropriate liquidity, which will generate income and capital growth to meet, together with new contributions from members and the employers, the cost of current and future liabilities which each plan provides. They achieve this by using active investment managers who are set specific benchmarks and various restrictions to avoid undue concentration of assets. As the plans mature, the Trustees review the appropriateness of their investment strategy.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overall expected return on assets assumption is derived as the weighted average of the expected returns from each of the main asset classes. The expected return for each asset class reflects a combination of historical performance analysis, the forward looking views of the financial markets (as suggested by the yields available) and the views of investment organizations. Consideration is also given to the rate of return expected to be available for reinvestment. The pension trusts’ performance over the last 10 years has been an annualized return of 5.3%.</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defined contribution plans, funding and cost are generally based upon a predetermined percentage of employee compensation. Charges to expense in 2003, 2002 and 2001, were $47 million, $44 million and $32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Deferred Benefits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$137 million, $143 million and $192 million in 2003, 2002 and 2001,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Benefits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 of providing these benefits is recognized as expense when incurred and aggregated $70 million, $79 million and $68 million in 2003, 2002 and 2001, respectively. Outside the US, such benefits are mostly provided through government-sponsored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 Other than Pensions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US subsidiary provide certain health care benefits to former employees who have retired under the US pension plans.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actuarial assumptions used to measure costs were a discount rate of 6.75% in 2003, 7.25% in 2002 and 7.5% in 2001. The overall medical cost trend rate assumption is 10.8% graded to 5% over the next six years and 5% thereafter.</w:t>
      </w:r>
    </w:p>
    <w:p>
      <w:pPr>
        <w:sectPr>
          <w:pgSz w:w="11900" w:h="16838" w:orient="portrait"/>
          <w:cols w:equalWidth="0" w:num="1">
            <w:col w:w="11420"/>
          </w:cols>
          <w:pgMar w:left="240" w:top="2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periodic postretirement benefit cost in the US for 2003, 2002 and 2001, included the following components: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ind w:left="6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the period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 (gain) and other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2003 and 2002, was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$ 676</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Service cost</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Actuarial losses</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the end of the year</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Unrecognized net loss</w:t>
            </w:r>
          </w:p>
        </w:tc>
        <w:tc>
          <w:tcPr>
            <w:tcW w:w="17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(326)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cost/other</w:t>
            </w:r>
          </w:p>
        </w:tc>
        <w:tc>
          <w:tcPr>
            <w:tcW w:w="1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liability on December 31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$ 605</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29591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accumulated postretirement benefit obligation on December 31, 2003 and 2002, were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7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Retirees</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Fully eligible</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Actives</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assumed discount rate used to determine the accumulated postretirement benefit obligation was 6.25% for 2003 and 6.75% for 2002.</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2003 would have been $99 million, and the accumulated postretirement benefit obligation would have been $1.12 billion on December 31, 2003.</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2003 would have been $67 million, and the accumulated postretirement benefit obligation would have been $790 million on December 31, 2003.</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20"/>
          </w:cols>
          <w:pgMar w:left="240" w:top="280" w:right="839" w:bottom="1440" w:gutter="0" w:footer="0" w:header="0"/>
        </w:sectPr>
      </w:pPr>
    </w:p>
    <w:bookmarkStart w:id="75" w:name="page76"/>
    <w:bookmarkEnd w:id="75"/>
    <w:p>
      <w:pPr>
        <w:ind w:left="280" w:hanging="272"/>
        <w:spacing w:after="0"/>
        <w:tabs>
          <w:tab w:leader="none" w:pos="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Supplementary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Operating revenue and related cost of goods sold and services for continuing operations comprised the following:</w:t>
      </w:r>
    </w:p>
    <w:p>
      <w:pPr>
        <w:sectPr>
          <w:pgSz w:w="11900" w:h="16838" w:orient="portrait"/>
          <w:cols w:equalWidth="0" w:num="1">
            <w:col w:w="10280"/>
          </w:cols>
          <w:pgMar w:left="240" w:top="274" w:right="1379" w:bottom="1440" w:gutter="0" w:footer="0" w:header="0"/>
        </w:sectPr>
      </w:pPr>
    </w:p>
    <w:p>
      <w:pPr>
        <w:spacing w:after="0" w:line="34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101600</wp:posOffset>
            </wp:positionV>
            <wp:extent cx="150050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120"/>
        <w:spacing w:after="0"/>
        <w:rPr>
          <w:sz w:val="20"/>
          <w:szCs w:val="20"/>
          <w:color w:val="auto"/>
        </w:rPr>
      </w:pPr>
      <w:r>
        <w:rPr>
          <w:rFonts w:ascii="Arial" w:cs="Arial" w:eastAsia="Arial" w:hAnsi="Arial"/>
          <w:sz w:val="12"/>
          <w:szCs w:val="12"/>
          <w:i w:val="1"/>
          <w:iCs w:val="1"/>
          <w:color w:val="auto"/>
        </w:rPr>
        <w:t>(Stated in millions)</w:t>
      </w:r>
    </w:p>
    <w:p>
      <w:pPr>
        <w:spacing w:after="0" w:line="76" w:lineRule="exact"/>
        <w:rPr>
          <w:sz w:val="20"/>
          <w:szCs w:val="20"/>
          <w:color w:val="auto"/>
        </w:rPr>
      </w:pPr>
    </w:p>
    <w:p>
      <w:pPr>
        <w:spacing w:after="0"/>
        <w:tabs>
          <w:tab w:leader="none" w:pos="1120" w:val="left"/>
          <w:tab w:leader="none" w:pos="24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color w:val="auto"/>
        </w:rPr>
        <w:t>2002</w:t>
      </w:r>
      <w:r>
        <w:rPr>
          <w:sz w:val="20"/>
          <w:szCs w:val="20"/>
          <w:color w:val="auto"/>
        </w:rPr>
        <w:tab/>
      </w:r>
      <w:r>
        <w:rPr>
          <w:rFonts w:ascii="Arial" w:cs="Arial" w:eastAsia="Arial" w:hAnsi="Arial"/>
          <w:sz w:val="11"/>
          <w:szCs w:val="1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68580</wp:posOffset>
            </wp:positionV>
            <wp:extent cx="3689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68580</wp:posOffset>
            </wp:positionV>
            <wp:extent cx="13722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3140"/>
          </w:cols>
          <w:pgMar w:left="240" w:top="274" w:right="137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Products</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3,947</w:t>
            </w: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3,605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$13,893</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operating costs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Goods sold</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2,656</w:t>
            </w: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$10,778</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132"/>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w w:val="98"/>
              </w:rPr>
              <w:t>Cash paid for interest and income taxes for continuing operations was as follows:</w:t>
            </w: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36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360" w:type="dxa"/>
            <w:vAlign w:val="bottom"/>
            <w:gridSpan w:val="3"/>
            <w:vMerge w:val="restart"/>
          </w:tcPr>
          <w:p>
            <w:pPr>
              <w:ind w:left="1140"/>
              <w:spacing w:after="0"/>
              <w:rPr>
                <w:sz w:val="20"/>
                <w:szCs w:val="20"/>
                <w:color w:val="auto"/>
              </w:rPr>
            </w:pPr>
            <w:r>
              <w:rPr>
                <w:rFonts w:ascii="Arial" w:cs="Arial" w:eastAsia="Arial" w:hAnsi="Arial"/>
                <w:sz w:val="18"/>
                <w:szCs w:val="18"/>
                <w:color w:val="auto"/>
              </w:rPr>
              <w:t>Year ended December 31,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3"/>
          </w:tcPr>
          <w:p>
            <w:pPr>
              <w:ind w:left="560"/>
              <w:spacing w:after="0"/>
              <w:rPr>
                <w:sz w:val="20"/>
                <w:szCs w:val="20"/>
                <w:color w:val="auto"/>
              </w:rPr>
            </w:pPr>
            <w:r>
              <w:rPr>
                <w:rFonts w:ascii="Arial" w:cs="Arial" w:eastAsia="Arial" w:hAnsi="Arial"/>
                <w:sz w:val="14"/>
                <w:szCs w:val="14"/>
                <w:i w:val="1"/>
                <w:iCs w:val="1"/>
                <w:color w:val="auto"/>
                <w:w w:val="86"/>
              </w:rPr>
              <w:t>(Stated in millions)</w:t>
            </w:r>
          </w:p>
        </w:tc>
        <w:tc>
          <w:tcPr>
            <w:tcW w:w="0" w:type="dxa"/>
            <w:vAlign w:val="bottom"/>
          </w:tcPr>
          <w:p>
            <w:pPr>
              <w:spacing w:after="0"/>
              <w:rPr>
                <w:sz w:val="1"/>
                <w:szCs w:val="1"/>
                <w:color w:val="auto"/>
              </w:rPr>
            </w:pPr>
          </w:p>
        </w:tc>
      </w:tr>
      <w:tr>
        <w:trPr>
          <w:trHeight w:val="216"/>
        </w:trPr>
        <w:tc>
          <w:tcPr>
            <w:tcW w:w="636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2002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360" w:type="dxa"/>
            <w:vAlign w:val="bottom"/>
            <w:tcBorders>
              <w:top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left="255"/>
              <w:spacing w:after="0"/>
              <w:rPr>
                <w:sz w:val="20"/>
                <w:szCs w:val="20"/>
                <w:color w:val="auto"/>
              </w:rPr>
            </w:pPr>
            <w:r>
              <w:rPr>
                <w:rFonts w:ascii="Arial" w:cs="Arial" w:eastAsia="Arial" w:hAnsi="Arial"/>
                <w:sz w:val="18"/>
                <w:szCs w:val="18"/>
                <w:b w:val="1"/>
                <w:bCs w:val="1"/>
                <w:color w:val="auto"/>
                <w:w w:val="89"/>
              </w:rPr>
              <w:t>$354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center"/>
              <w:ind w:left="255"/>
              <w:spacing w:after="0"/>
              <w:rPr>
                <w:sz w:val="20"/>
                <w:szCs w:val="20"/>
                <w:color w:val="auto"/>
              </w:rPr>
            </w:pPr>
            <w:r>
              <w:rPr>
                <w:rFonts w:ascii="Arial" w:cs="Arial" w:eastAsia="Arial" w:hAnsi="Arial"/>
                <w:sz w:val="18"/>
                <w:szCs w:val="18"/>
                <w:b w:val="1"/>
                <w:bCs w:val="1"/>
                <w:color w:val="auto"/>
                <w:w w:val="89"/>
              </w:rPr>
              <w:t>$150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-1938655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-1938655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-1938655</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-1938655</wp:posOffset>
            </wp:positionV>
            <wp:extent cx="37274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-1938655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-1938655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-1938655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-1081405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-1081405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-1081405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-1081405</wp:posOffset>
            </wp:positionV>
            <wp:extent cx="37274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-1081405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-1081405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-1081405</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ectPr>
          <w:pgSz w:w="11900" w:h="16838" w:orient="portrait"/>
          <w:cols w:equalWidth="0" w:num="1">
            <w:col w:w="10280"/>
          </w:cols>
          <w:pgMar w:left="240" w:top="274" w:right="1379" w:bottom="1440" w:gutter="0" w:footer="0" w:header="0"/>
          <w:type w:val="continuous"/>
        </w:sectPr>
      </w:pP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101600</wp:posOffset>
            </wp:positionV>
            <wp:extent cx="11404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120"/>
        <w:spacing w:after="0"/>
        <w:rPr>
          <w:sz w:val="20"/>
          <w:szCs w:val="20"/>
          <w:color w:val="auto"/>
        </w:rPr>
      </w:pPr>
      <w:r>
        <w:rPr>
          <w:rFonts w:ascii="Arial" w:cs="Arial" w:eastAsia="Arial" w:hAnsi="Arial"/>
          <w:sz w:val="12"/>
          <w:szCs w:val="12"/>
          <w:i w:val="1"/>
          <w:iCs w:val="1"/>
          <w:color w:val="auto"/>
        </w:rPr>
        <w:t>(Stated in millions)</w:t>
      </w:r>
    </w:p>
    <w:p>
      <w:pPr>
        <w:spacing w:after="0" w:line="76"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68580</wp:posOffset>
            </wp:positionV>
            <wp:extent cx="317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68580</wp:posOffset>
            </wp:positionV>
            <wp:extent cx="65151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2140"/>
          </w:cols>
          <w:pgMar w:left="240" w:top="274" w:right="1379" w:bottom="1440" w:gutter="0" w:footer="0" w:header="0"/>
          <w:type w:val="continuous"/>
        </w:sectPr>
      </w:pP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Payroll, vacation and employee benefits</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Trade</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expenses</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1,026</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3,248</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p>
      <w:pPr>
        <w:sectPr>
          <w:pgSz w:w="11900" w:h="16838" w:orient="portrait"/>
          <w:cols w:equalWidth="0" w:num="1">
            <w:col w:w="10280"/>
          </w:cols>
          <w:pgMar w:left="240" w:top="274" w:right="1379" w:bottom="1440" w:gutter="0" w:footer="0" w:header="0"/>
          <w:type w:val="continuous"/>
        </w:sectPr>
      </w:pP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101600</wp:posOffset>
            </wp:positionV>
            <wp:extent cx="150050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800"/>
        <w:spacing w:after="0"/>
        <w:rPr>
          <w:sz w:val="20"/>
          <w:szCs w:val="20"/>
          <w:color w:val="auto"/>
        </w:rPr>
      </w:pPr>
      <w:r>
        <w:rPr>
          <w:rFonts w:ascii="Arial" w:cs="Arial" w:eastAsia="Arial" w:hAnsi="Arial"/>
          <w:sz w:val="12"/>
          <w:szCs w:val="12"/>
          <w:i w:val="1"/>
          <w:iCs w:val="1"/>
          <w:color w:val="auto"/>
        </w:rPr>
        <w:t>(Stated in millions)</w:t>
      </w:r>
    </w:p>
    <w:p>
      <w:pPr>
        <w:spacing w:after="0" w:line="76" w:lineRule="exact"/>
        <w:rPr>
          <w:sz w:val="20"/>
          <w:szCs w:val="20"/>
          <w:color w:val="auto"/>
        </w:rPr>
      </w:pPr>
    </w:p>
    <w:p>
      <w:pPr>
        <w:spacing w:after="0"/>
        <w:tabs>
          <w:tab w:leader="none" w:pos="900" w:val="left"/>
          <w:tab w:leader="none" w:pos="21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color w:val="auto"/>
        </w:rPr>
        <w:t>2002</w:t>
      </w:r>
      <w:r>
        <w:rPr>
          <w:sz w:val="20"/>
          <w:szCs w:val="20"/>
          <w:color w:val="auto"/>
        </w:rPr>
        <w:tab/>
      </w:r>
      <w:r>
        <w:rPr>
          <w:rFonts w:ascii="Arial" w:cs="Arial" w:eastAsia="Arial" w:hAnsi="Arial"/>
          <w:sz w:val="11"/>
          <w:szCs w:val="1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231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68580</wp:posOffset>
            </wp:positionV>
            <wp:extent cx="231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68580</wp:posOffset>
            </wp:positionV>
            <wp:extent cx="65151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2820"/>
          </w:cols>
          <w:pgMar w:left="240" w:top="274" w:right="1379" w:bottom="1440" w:gutter="0" w:footer="0" w:header="0"/>
          <w:type w:val="continuous"/>
        </w:sectPr>
      </w:pP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Hanover Compressor note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Gain on sale of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financial instruments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166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3558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80"/>
          </w:cols>
          <w:pgMar w:left="240" w:top="274" w:right="13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Allowance for doubtful accounts </w:t>
      </w:r>
      <w:r>
        <w:rPr>
          <w:rFonts w:ascii="Arial" w:cs="Arial" w:eastAsia="Arial" w:hAnsi="Arial"/>
          <w:sz w:val="18"/>
          <w:szCs w:val="18"/>
          <w:color w:val="auto"/>
        </w:rPr>
        <w:t>is as follows:</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5120" w:type="dxa"/>
            <w:vAlign w:val="bottom"/>
            <w:gridSpan w:val="3"/>
            <w:vMerge w:val="restart"/>
          </w:tcPr>
          <w:p>
            <w:pPr>
              <w:ind w:left="20"/>
              <w:spacing w:after="0"/>
              <w:rPr>
                <w:sz w:val="20"/>
                <w:szCs w:val="20"/>
                <w:color w:val="auto"/>
              </w:rPr>
            </w:pPr>
            <w:r>
              <w:rPr>
                <w:rFonts w:ascii="Arial" w:cs="Arial" w:eastAsia="Arial" w:hAnsi="Arial"/>
                <w:sz w:val="18"/>
                <w:szCs w:val="18"/>
                <w:color w:val="auto"/>
              </w:rPr>
              <w:t>Year ended December 31,</w:t>
            </w: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16"/>
        </w:trPr>
        <w:tc>
          <w:tcPr>
            <w:tcW w:w="5120" w:type="dxa"/>
            <w:vAlign w:val="bottom"/>
            <w:gridSpan w:val="3"/>
            <w:vMerge w:val="continue"/>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Provision in year</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 off in year</w:t>
            </w:r>
          </w:p>
        </w:tc>
        <w:tc>
          <w:tcPr>
            <w:tcW w:w="25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Reclassified to </w:t>
            </w:r>
            <w:r>
              <w:rPr>
                <w:rFonts w:ascii="Arial" w:cs="Arial" w:eastAsia="Arial" w:hAnsi="Arial"/>
                <w:sz w:val="18"/>
                <w:szCs w:val="18"/>
                <w:i w:val="1"/>
                <w:iCs w:val="1"/>
                <w:color w:val="auto"/>
              </w:rPr>
              <w:t>Assets held for Sale</w:t>
            </w:r>
          </w:p>
        </w:tc>
        <w:tc>
          <w:tcPr>
            <w:tcW w:w="25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20" w:type="dxa"/>
            <w:vAlign w:val="bottom"/>
            <w:gridSpan w:val="3"/>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business acquisitions and divestitures</w:t>
            </w:r>
          </w:p>
        </w:tc>
        <w:tc>
          <w:tcPr>
            <w:tcW w:w="17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4"/>
        </w:trPr>
        <w:tc>
          <w:tcPr>
            <w:tcW w:w="512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-374650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-374650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-374650</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-374650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-374650</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-374650</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80"/>
          </w:cols>
          <w:pgMar w:left="240" w:top="280" w:right="137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20 to the Consolidated Financial Statements, in 2003 the Company changed its accounting method for 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14 to the Consolidated Financial Statements, in 2002 the Company changed its accounting method for goodwill.</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037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2004</w:t>
      </w:r>
    </w:p>
    <w:p>
      <w:pPr>
        <w:sectPr>
          <w:pgSz w:w="11900" w:h="16838" w:orient="portrait"/>
          <w:cols w:equalWidth="0" w:num="1">
            <w:col w:w="11400"/>
          </w:cols>
          <w:pgMar w:left="240" w:top="274"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2003 and 2002. Revenue and Gross margin, which equals operating revenue less cost of goods sold and services, has been restated to exclude discontinued operations.</w:t>
      </w:r>
    </w:p>
    <w:p>
      <w:pPr>
        <w:spacing w:after="0" w:line="62" w:lineRule="exact"/>
        <w:rPr>
          <w:sz w:val="20"/>
          <w:szCs w:val="20"/>
          <w:color w:val="auto"/>
        </w:rPr>
      </w:pPr>
    </w:p>
    <w:p>
      <w:pPr>
        <w:ind w:left="6680"/>
        <w:spacing w:after="0"/>
        <w:rPr>
          <w:sz w:val="20"/>
          <w:szCs w:val="20"/>
          <w:color w:val="auto"/>
        </w:rPr>
      </w:pPr>
      <w:r>
        <w:rPr>
          <w:rFonts w:ascii="Arial" w:cs="Arial" w:eastAsia="Arial" w:hAnsi="Arial"/>
          <w:sz w:val="14"/>
          <w:szCs w:val="14"/>
          <w:i w:val="1"/>
          <w:iCs w:val="1"/>
          <w:color w:val="auto"/>
        </w:rPr>
        <w:t>(Stated in millions except per share amounts)</w:t>
      </w:r>
    </w:p>
    <w:tbl>
      <w:tblPr>
        <w:tblLayout w:type="fixed"/>
        <w:tblInd w:w="0" w:type="dxa"/>
        <w:tblCellMar>
          <w:top w:w="0" w:type="dxa"/>
          <w:left w:w="0" w:type="dxa"/>
          <w:bottom w:w="0" w:type="dxa"/>
          <w:right w:w="0" w:type="dxa"/>
        </w:tblCellMar>
      </w:tblPr>
      <w:tr>
        <w:trPr>
          <w:trHeight w:val="28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color w:val="auto"/>
                <w:w w:val="96"/>
              </w:rPr>
              <w:t xml:space="preserve">Earnings per share </w:t>
            </w:r>
            <w:r>
              <w:rPr>
                <w:rFonts w:ascii="Arial" w:cs="Arial" w:eastAsia="Arial" w:hAnsi="Arial"/>
                <w:sz w:val="22"/>
                <w:szCs w:val="22"/>
                <w:color w:val="auto"/>
                <w:w w:val="96"/>
                <w:vertAlign w:val="superscript"/>
              </w:rPr>
              <w:t>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20"/>
                <w:szCs w:val="20"/>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2"/>
              </w:rPr>
              <w:t>Revenue</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color w:val="auto"/>
              </w:rPr>
              <w:t>Margin</w:t>
            </w:r>
          </w:p>
        </w:tc>
        <w:tc>
          <w:tcPr>
            <w:tcW w:w="1140" w:type="dxa"/>
            <w:vAlign w:val="bottom"/>
            <w:gridSpan w:val="3"/>
          </w:tcPr>
          <w:p>
            <w:pPr>
              <w:jc w:val="right"/>
              <w:ind w:right="660"/>
              <w:spacing w:after="0"/>
              <w:rPr>
                <w:sz w:val="20"/>
                <w:szCs w:val="20"/>
                <w:color w:val="auto"/>
              </w:rPr>
            </w:pPr>
            <w:r>
              <w:rPr>
                <w:rFonts w:ascii="Arial" w:cs="Arial" w:eastAsia="Arial" w:hAnsi="Arial"/>
                <w:sz w:val="14"/>
                <w:szCs w:val="14"/>
                <w:color w:val="auto"/>
              </w:rPr>
              <w:t>Income</w:t>
            </w:r>
          </w:p>
        </w:tc>
        <w:tc>
          <w:tcPr>
            <w:tcW w:w="1040" w:type="dxa"/>
            <w:vAlign w:val="bottom"/>
            <w:gridSpan w:val="4"/>
          </w:tcPr>
          <w:p>
            <w:pPr>
              <w:jc w:val="right"/>
              <w:ind w:right="660"/>
              <w:spacing w:after="0"/>
              <w:rPr>
                <w:sz w:val="20"/>
                <w:szCs w:val="20"/>
                <w:color w:val="auto"/>
              </w:rPr>
            </w:pPr>
            <w:r>
              <w:rPr>
                <w:rFonts w:ascii="Arial" w:cs="Arial" w:eastAsia="Arial" w:hAnsi="Arial"/>
                <w:sz w:val="14"/>
                <w:szCs w:val="14"/>
                <w:color w:val="auto"/>
              </w:rPr>
              <w:t>Basic</w:t>
            </w:r>
          </w:p>
        </w:tc>
        <w:tc>
          <w:tcPr>
            <w:tcW w:w="620" w:type="dxa"/>
            <w:vAlign w:val="bottom"/>
          </w:tcPr>
          <w:p>
            <w:pPr>
              <w:jc w:val="right"/>
              <w:ind w:right="14"/>
              <w:spacing w:after="0"/>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Quarters-2003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First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3,263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5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$ 0.26</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1040" w:type="dxa"/>
            <w:vAlign w:val="bottom"/>
            <w:gridSpan w:val="4"/>
          </w:tcPr>
          <w:p>
            <w:pPr>
              <w:jc w:val="right"/>
              <w:ind w:right="520"/>
              <w:spacing w:after="0"/>
              <w:rPr>
                <w:sz w:val="20"/>
                <w:szCs w:val="20"/>
                <w:color w:val="auto"/>
              </w:rPr>
            </w:pPr>
            <w:r>
              <w:rPr>
                <w:rFonts w:ascii="Arial" w:cs="Arial" w:eastAsia="Arial" w:hAnsi="Arial"/>
                <w:sz w:val="18"/>
                <w:szCs w:val="18"/>
                <w:color w:val="auto"/>
              </w:rPr>
              <w:t>(0.09)</w:t>
            </w:r>
          </w:p>
        </w:tc>
        <w:tc>
          <w:tcPr>
            <w:tcW w:w="6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$ 0.66</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Quarters-2002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$ 0.30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Second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Third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5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(2,455)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(2,861)</w:t>
            </w:r>
          </w:p>
        </w:tc>
        <w:tc>
          <w:tcPr>
            <w:tcW w:w="10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13,118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(2,320)</w:t>
            </w:r>
          </w:p>
        </w:tc>
        <w:tc>
          <w:tcPr>
            <w:tcW w:w="10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80"/>
              </w:rPr>
              <w:t>$ (4.01)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-1161415</wp:posOffset>
            </wp:positionV>
            <wp:extent cx="39878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-1161415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-1161415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-1161415</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-1161415</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-1161415</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-1161415</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-1161415</wp:posOffset>
            </wp:positionV>
            <wp:extent cx="3302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-1161415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-1161415</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16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1"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22"/>
          <w:szCs w:val="22"/>
          <w:color w:val="auto"/>
          <w:vertAlign w:val="superscript"/>
        </w:rPr>
      </w:pPr>
      <w:r>
        <w:rPr>
          <w:rFonts w:ascii="Arial" w:cs="Arial" w:eastAsia="Arial" w:hAnsi="Arial"/>
          <w:sz w:val="18"/>
          <w:szCs w:val="18"/>
          <w:color w:val="auto"/>
        </w:rPr>
        <w:t>Includes debt extinguishment cost of $81 million ($0.14 per share – diluted).</w:t>
      </w:r>
    </w:p>
    <w:p>
      <w:pPr>
        <w:ind w:left="220" w:hanging="212"/>
        <w:spacing w:after="0" w:line="205" w:lineRule="auto"/>
        <w:tabs>
          <w:tab w:leader="none" w:pos="220"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$298 million ($0.49 per share – diluted).</w:t>
      </w:r>
    </w:p>
    <w:p>
      <w:pPr>
        <w:ind w:left="220" w:hanging="212"/>
        <w:spacing w:after="0" w:line="205" w:lineRule="auto"/>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$61 million ($0.10 per share – diluted).</w:t>
      </w:r>
    </w:p>
    <w:p>
      <w:pPr>
        <w:ind w:left="220" w:hanging="212"/>
        <w:spacing w:after="0" w:line="205" w:lineRule="auto"/>
        <w:tabs>
          <w:tab w:leader="none" w:pos="22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Includes an after-tax charge of $29 million ($0.05 per share – diluted).</w:t>
      </w:r>
    </w:p>
    <w:p>
      <w:pPr>
        <w:ind w:left="220" w:hanging="212"/>
        <w:spacing w:after="0" w:line="205" w:lineRule="auto"/>
        <w:tabs>
          <w:tab w:leader="none" w:pos="22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$3,081 million ($5.30 per share).</w:t>
      </w:r>
    </w:p>
    <w:p>
      <w:pPr>
        <w:ind w:left="220" w:hanging="212"/>
        <w:spacing w:after="0" w:line="208" w:lineRule="auto"/>
        <w:tabs>
          <w:tab w:leader="none" w:pos="220" w:val="left"/>
        </w:tabs>
        <w:numPr>
          <w:ilvl w:val="0"/>
          <w:numId w:val="66"/>
        </w:numPr>
        <w:rPr>
          <w:rFonts w:ascii="Arial" w:cs="Arial" w:eastAsia="Arial" w:hAnsi="Arial"/>
          <w:sz w:val="22"/>
          <w:szCs w:val="22"/>
          <w:color w:val="auto"/>
          <w:vertAlign w:val="superscript"/>
        </w:rPr>
      </w:pPr>
      <w:r>
        <w:rPr>
          <w:rFonts w:ascii="Arial" w:cs="Arial" w:eastAsia="Arial" w:hAnsi="Arial"/>
          <w:sz w:val="18"/>
          <w:szCs w:val="18"/>
          <w:color w:val="auto"/>
        </w:rPr>
        <w:t>The addition of earnings per share by quarter may not equal total earnings per share for the year.</w:t>
      </w:r>
    </w:p>
    <w:p>
      <w:pPr>
        <w:sectPr>
          <w:pgSz w:w="11900" w:h="16838" w:orient="portrait"/>
          <w:cols w:equalWidth="0" w:num="1">
            <w:col w:w="10880"/>
          </w:cols>
          <w:pgMar w:left="240" w:top="274" w:right="779" w:bottom="1440" w:gutter="0" w:footer="0" w:header="0"/>
        </w:sectPr>
      </w:pPr>
    </w:p>
    <w:bookmarkStart w:id="79" w:name="page80"/>
    <w:bookmarkEnd w:id="79"/>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ind w:left="912" w:hanging="912"/>
        <w:spacing w:after="0"/>
        <w:tabs>
          <w:tab w:leader="none" w:pos="912"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undersigned, having received the Notice and Proxy Statement of the Annual General Meeting of Stockholders and the 2003 Annual Report to</w:t>
      </w:r>
    </w:p>
    <w:p>
      <w:pPr>
        <w:spacing w:after="0" w:line="22" w:lineRule="exact"/>
        <w:rPr>
          <w:sz w:val="20"/>
          <w:szCs w:val="20"/>
          <w:color w:val="auto"/>
        </w:rPr>
      </w:pPr>
    </w:p>
    <w:p>
      <w:pPr>
        <w:ind w:left="472"/>
        <w:spacing w:after="0"/>
        <w:rPr>
          <w:sz w:val="20"/>
          <w:szCs w:val="20"/>
          <w:color w:val="auto"/>
        </w:rPr>
      </w:pPr>
      <w:r>
        <w:rPr>
          <w:rFonts w:ascii="Arial" w:cs="Arial" w:eastAsia="Arial" w:hAnsi="Arial"/>
          <w:sz w:val="15"/>
          <w:szCs w:val="15"/>
          <w:color w:val="auto"/>
        </w:rPr>
        <w:t>Stockholders, hereby appoints Aede Gerbranda, Olette H.S. Pierik, Gerard C.A. Smeets and Willem van Bokhorst and each of them proxies, with power of</w:t>
      </w:r>
    </w:p>
    <w:p>
      <w:pPr>
        <w:ind w:left="472" w:hanging="472"/>
        <w:spacing w:after="0" w:line="185" w:lineRule="auto"/>
        <w:tabs>
          <w:tab w:leader="none" w:pos="472" w:val="left"/>
        </w:tabs>
        <w:numPr>
          <w:ilvl w:val="0"/>
          <w:numId w:val="68"/>
        </w:numPr>
        <w:rPr>
          <w:rFonts w:ascii="Arial" w:cs="Arial" w:eastAsia="Arial" w:hAnsi="Arial"/>
          <w:sz w:val="31"/>
          <w:szCs w:val="31"/>
          <w:b w:val="1"/>
          <w:bCs w:val="1"/>
          <w:color w:val="auto"/>
          <w:vertAlign w:val="superscript"/>
        </w:rPr>
      </w:pPr>
      <w:r>
        <w:rPr>
          <w:rFonts w:ascii="Arial" w:cs="Arial" w:eastAsia="Arial" w:hAnsi="Arial"/>
          <w:sz w:val="16"/>
          <w:szCs w:val="16"/>
          <w:color w:val="auto"/>
        </w:rPr>
        <w:t>substitution, to vote in the manner indicated on the reverse side hereof, and with discretionary authority as to any other matters that may properly come</w:t>
      </w:r>
    </w:p>
    <w:p>
      <w:pPr>
        <w:ind w:left="472" w:hanging="472"/>
        <w:spacing w:after="0" w:line="181" w:lineRule="auto"/>
        <w:tabs>
          <w:tab w:leader="none" w:pos="472" w:val="left"/>
        </w:tabs>
        <w:numPr>
          <w:ilvl w:val="0"/>
          <w:numId w:val="69"/>
        </w:numPr>
        <w:rPr>
          <w:rFonts w:ascii="Arial" w:cs="Arial" w:eastAsia="Arial" w:hAnsi="Arial"/>
          <w:sz w:val="25"/>
          <w:szCs w:val="25"/>
          <w:b w:val="1"/>
          <w:bCs w:val="1"/>
          <w:color w:val="auto"/>
          <w:vertAlign w:val="subscript"/>
        </w:rPr>
      </w:pPr>
      <w:r>
        <w:rPr>
          <w:rFonts w:ascii="Arial" w:cs="Arial" w:eastAsia="Arial" w:hAnsi="Arial"/>
          <w:sz w:val="14"/>
          <w:szCs w:val="14"/>
          <w:color w:val="auto"/>
        </w:rPr>
        <w:t>before the meeting, all my (our) shares of record of Schlumberger Limited (Schlumberger N.V.) at the Annual General Meeting of Stockholders to be held</w:t>
      </w:r>
    </w:p>
    <w:p>
      <w:pPr>
        <w:spacing w:after="0" w:line="29" w:lineRule="exact"/>
        <w:rPr>
          <w:sz w:val="20"/>
          <w:szCs w:val="20"/>
          <w:color w:val="auto"/>
        </w:rPr>
      </w:pPr>
    </w:p>
    <w:p>
      <w:pPr>
        <w:ind w:left="472"/>
        <w:spacing w:after="0"/>
        <w:rPr>
          <w:sz w:val="20"/>
          <w:szCs w:val="20"/>
          <w:color w:val="auto"/>
        </w:rPr>
      </w:pPr>
      <w:r>
        <w:rPr>
          <w:rFonts w:ascii="Arial" w:cs="Arial" w:eastAsia="Arial" w:hAnsi="Arial"/>
          <w:sz w:val="16"/>
          <w:szCs w:val="16"/>
          <w:color w:val="auto"/>
        </w:rPr>
        <w:t>at the Curaçao Marriott Beach Resort, Piscadera Bay, Willemstad, Curaçao, Netherlands Antilles on April 14, 2004, and at any adjournment or</w:t>
      </w:r>
    </w:p>
    <w:p>
      <w:pPr>
        <w:spacing w:after="0" w:line="3" w:lineRule="exact"/>
        <w:rPr>
          <w:sz w:val="20"/>
          <w:szCs w:val="20"/>
          <w:color w:val="auto"/>
        </w:rPr>
      </w:pPr>
    </w:p>
    <w:p>
      <w:pPr>
        <w:ind w:left="472" w:hanging="472"/>
        <w:spacing w:after="0"/>
        <w:tabs>
          <w:tab w:leader="none" w:pos="472"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adjournments thereof.</w:t>
      </w:r>
    </w:p>
    <w:p>
      <w:pPr>
        <w:spacing w:after="0" w:line="145" w:lineRule="exact"/>
        <w:rPr>
          <w:sz w:val="20"/>
          <w:szCs w:val="20"/>
          <w:color w:val="auto"/>
        </w:rPr>
      </w:pPr>
    </w:p>
    <w:p>
      <w:pPr>
        <w:ind w:left="472" w:hanging="472"/>
        <w:spacing w:after="0"/>
        <w:tabs>
          <w:tab w:leader="none" w:pos="47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If no other indication is made, the proxies will vote FOR the election of the director nominees and FOR Proposals 2, 3 and 4.</w:t>
      </w:r>
    </w:p>
    <w:p>
      <w:pPr>
        <w:sectPr>
          <w:pgSz w:w="11900" w:h="16838" w:orient="portrait"/>
          <w:cols w:equalWidth="0" w:num="1">
            <w:col w:w="11352"/>
          </w:cols>
          <w:pgMar w:left="248" w:top="274" w:right="2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08"/>
        <w:spacing w:after="0"/>
        <w:rPr>
          <w:sz w:val="20"/>
          <w:szCs w:val="20"/>
          <w:color w:val="auto"/>
        </w:rPr>
      </w:pPr>
      <w:r>
        <w:rPr>
          <w:rFonts w:ascii="Arial" w:cs="Arial" w:eastAsia="Arial" w:hAnsi="Arial"/>
          <w:sz w:val="16"/>
          <w:szCs w:val="16"/>
          <w:b w:val="1"/>
          <w:bCs w:val="1"/>
          <w:color w:val="auto"/>
        </w:rPr>
        <w:t>SEE REVERSE</w:t>
      </w:r>
    </w:p>
    <w:p>
      <w:pPr>
        <w:spacing w:after="0" w:line="44" w:lineRule="exact"/>
        <w:rPr>
          <w:sz w:val="20"/>
          <w:szCs w:val="20"/>
          <w:color w:val="auto"/>
        </w:rPr>
      </w:pPr>
    </w:p>
    <w:p>
      <w:pPr>
        <w:jc w:val="center"/>
        <w:ind w:right="2008"/>
        <w:spacing w:after="0"/>
        <w:rPr>
          <w:sz w:val="20"/>
          <w:szCs w:val="20"/>
          <w:color w:val="auto"/>
        </w:rPr>
      </w:pPr>
      <w:r>
        <w:rPr>
          <w:rFonts w:ascii="Arial" w:cs="Arial" w:eastAsia="Arial" w:hAnsi="Arial"/>
          <w:sz w:val="18"/>
          <w:szCs w:val="18"/>
          <w:b w:val="1"/>
          <w:bCs w:val="1"/>
          <w:color w:val="auto"/>
        </w:rPr>
        <w:t>SIDE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100"/>
        <w:spacing w:after="0"/>
        <w:rPr>
          <w:sz w:val="20"/>
          <w:szCs w:val="20"/>
          <w:color w:val="auto"/>
        </w:rPr>
      </w:pPr>
      <w:r>
        <w:rPr>
          <w:rFonts w:ascii="Arial" w:cs="Arial" w:eastAsia="Arial" w:hAnsi="Arial"/>
          <w:sz w:val="15"/>
          <w:szCs w:val="15"/>
          <w:b w:val="1"/>
          <w:bCs w:val="1"/>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SEE REVERSE</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SIDE</w:t>
      </w:r>
    </w:p>
    <w:p>
      <w:pPr>
        <w:sectPr>
          <w:pgSz w:w="11900" w:h="16838" w:orient="portrait"/>
          <w:cols w:equalWidth="0" w:num="3">
            <w:col w:w="3392" w:space="720"/>
            <w:col w:w="5300" w:space="720"/>
            <w:col w:w="1220"/>
          </w:cols>
          <w:pgMar w:left="248" w:top="274" w:right="299" w:bottom="1440" w:gutter="0" w:footer="0" w:header="0"/>
          <w:type w:val="continuous"/>
        </w:sectPr>
      </w:pPr>
    </w:p>
    <w:bookmarkStart w:id="80" w:name="page81"/>
    <w:bookmarkEnd w:id="80"/>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mark</w:t>
      </w:r>
    </w:p>
    <w:p>
      <w:pPr>
        <w:spacing w:after="0" w:line="15" w:lineRule="exact"/>
        <w:rPr>
          <w:sz w:val="20"/>
          <w:szCs w:val="20"/>
          <w:color w:val="auto"/>
        </w:rPr>
      </w:pPr>
    </w:p>
    <w:p>
      <w:pPr>
        <w:ind w:left="360" w:right="10120" w:hanging="352"/>
        <w:spacing w:after="0" w:line="323" w:lineRule="auto"/>
        <w:tabs>
          <w:tab w:leader="none" w:pos="360" w:val="left"/>
        </w:tabs>
        <w:numPr>
          <w:ilvl w:val="0"/>
          <w:numId w:val="72"/>
        </w:numPr>
        <w:rPr>
          <w:rFonts w:ascii="MS PGothic" w:cs="MS PGothic" w:eastAsia="MS PGothic" w:hAnsi="MS PGothic"/>
          <w:sz w:val="16"/>
          <w:szCs w:val="16"/>
          <w:color w:val="auto"/>
          <w:highlight w:val="black"/>
        </w:rPr>
      </w:pPr>
      <w:r>
        <w:rPr>
          <w:rFonts w:ascii="Arial" w:cs="Arial" w:eastAsia="Arial" w:hAnsi="Arial"/>
          <w:sz w:val="16"/>
          <w:szCs w:val="16"/>
          <w:color w:val="auto"/>
        </w:rPr>
        <w:t>votes as in this example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you indicate otherwise, this proxy will be voted in accordance with the Board of Directors’ recommendations.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Directors recommend a vote FOR items 1, 2, 3 and 4.</w:t>
      </w:r>
    </w:p>
    <w:p>
      <w:pPr>
        <w:spacing w:after="0" w:line="12" w:lineRule="exact"/>
        <w:rPr>
          <w:sz w:val="20"/>
          <w:szCs w:val="20"/>
          <w:color w:val="auto"/>
        </w:rPr>
      </w:pPr>
    </w:p>
    <w:p>
      <w:pPr>
        <w:jc w:val="both"/>
        <w:ind w:left="9320"/>
        <w:spacing w:after="0"/>
        <w:tabs>
          <w:tab w:leader="none" w:pos="9860" w:val="left"/>
          <w:tab w:leader="none" w:pos="107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68580</wp:posOffset>
            </wp:positionV>
            <wp:extent cx="13462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330" w:lineRule="exact"/>
        <w:rPr>
          <w:sz w:val="20"/>
          <w:szCs w:val="20"/>
          <w:color w:val="auto"/>
        </w:rPr>
      </w:pPr>
    </w:p>
    <w:p>
      <w:pPr>
        <w:ind w:left="760" w:hanging="401"/>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Election of 10 Directors</w:t>
      </w:r>
    </w:p>
    <w:p>
      <w:pPr>
        <w:spacing w:after="0" w:line="70" w:lineRule="exact"/>
        <w:rPr>
          <w:rFonts w:ascii="Arial" w:cs="Arial" w:eastAsia="Arial" w:hAnsi="Arial"/>
          <w:sz w:val="18"/>
          <w:szCs w:val="18"/>
          <w:color w:val="auto"/>
        </w:rPr>
      </w:pPr>
    </w:p>
    <w:p>
      <w:pPr>
        <w:ind w:left="800" w:hanging="37"/>
        <w:spacing w:after="0" w:line="310" w:lineRule="auto"/>
        <w:rPr>
          <w:rFonts w:ascii="Arial" w:cs="Arial" w:eastAsia="Arial" w:hAnsi="Arial"/>
          <w:sz w:val="18"/>
          <w:szCs w:val="18"/>
          <w:color w:val="auto"/>
        </w:rPr>
      </w:pPr>
      <w:r>
        <w:rPr>
          <w:rFonts w:ascii="Arial" w:cs="Arial" w:eastAsia="Arial" w:hAnsi="Arial"/>
          <w:sz w:val="16"/>
          <w:szCs w:val="16"/>
          <w:b w:val="1"/>
          <w:bCs w:val="1"/>
          <w:color w:val="auto"/>
        </w:rPr>
        <w:t xml:space="preserve">Nominees: </w:t>
      </w:r>
      <w:r>
        <w:rPr>
          <w:rFonts w:ascii="Arial" w:cs="Arial" w:eastAsia="Arial" w:hAnsi="Arial"/>
          <w:sz w:val="16"/>
          <w:szCs w:val="16"/>
          <w:color w:val="auto"/>
        </w:rPr>
        <w:t>J. Deutch, J.S. Gorelick, A. Gould, T.</w:t>
      </w:r>
      <w:r>
        <w:rPr>
          <w:rFonts w:ascii="Arial" w:cs="Arial" w:eastAsia="Arial" w:hAnsi="Arial"/>
          <w:sz w:val="16"/>
          <w:szCs w:val="16"/>
          <w:b w:val="1"/>
          <w:bCs w:val="1"/>
          <w:color w:val="auto"/>
        </w:rPr>
        <w:t xml:space="preserve"> </w:t>
      </w:r>
      <w:r>
        <w:rPr>
          <w:rFonts w:ascii="Arial" w:cs="Arial" w:eastAsia="Arial" w:hAnsi="Arial"/>
          <w:sz w:val="16"/>
          <w:szCs w:val="16"/>
          <w:color w:val="auto"/>
        </w:rPr>
        <w:t>Isaac, A. Lajous, A. Lévy-Lang, D. Primat, T. Sandvold, N. Seydoux, L.G. Stuntz</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5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580"/>
              <w:spacing w:after="0"/>
              <w:rPr>
                <w:sz w:val="20"/>
                <w:szCs w:val="20"/>
                <w:color w:val="auto"/>
              </w:rPr>
            </w:pPr>
            <w:r>
              <w:rPr>
                <w:rFonts w:ascii="Arial" w:cs="Arial" w:eastAsia="Arial" w:hAnsi="Arial"/>
                <w:sz w:val="18"/>
                <w:szCs w:val="18"/>
                <w:color w:val="auto"/>
                <w:w w:val="95"/>
              </w:rPr>
              <w:t>WITHHELD</w:t>
            </w:r>
          </w:p>
        </w:tc>
        <w:tc>
          <w:tcPr>
            <w:tcW w:w="0" w:type="dxa"/>
            <w:vAlign w:val="bottom"/>
          </w:tcPr>
          <w:p>
            <w:pPr>
              <w:spacing w:after="0"/>
              <w:rPr>
                <w:sz w:val="1"/>
                <w:szCs w:val="1"/>
                <w:color w:val="auto"/>
              </w:rPr>
            </w:pPr>
          </w:p>
        </w:tc>
      </w:tr>
      <w:tr>
        <w:trPr>
          <w:trHeight w:val="249"/>
        </w:trPr>
        <w:tc>
          <w:tcPr>
            <w:tcW w:w="1140" w:type="dxa"/>
            <w:vAlign w:val="bottom"/>
          </w:tcPr>
          <w:p>
            <w:pPr>
              <w:jc w:val="center"/>
              <w:spacing w:after="0"/>
              <w:rPr>
                <w:sz w:val="20"/>
                <w:szCs w:val="20"/>
                <w:color w:val="auto"/>
              </w:rPr>
            </w:pPr>
            <w:r>
              <w:rPr>
                <w:rFonts w:ascii="Arial" w:cs="Arial" w:eastAsia="Arial" w:hAnsi="Arial"/>
                <w:sz w:val="18"/>
                <w:szCs w:val="18"/>
                <w:color w:val="auto"/>
              </w:rPr>
              <w:t>ALL</w:t>
            </w:r>
          </w:p>
        </w:tc>
        <w:tc>
          <w:tcPr>
            <w:tcW w:w="520" w:type="dxa"/>
            <w:vAlign w:val="bottom"/>
            <w:vMerge w:val="continue"/>
          </w:tcPr>
          <w:p>
            <w:pPr>
              <w:spacing w:after="0"/>
              <w:rPr>
                <w:sz w:val="21"/>
                <w:szCs w:val="21"/>
                <w:color w:val="auto"/>
              </w:rPr>
            </w:pPr>
          </w:p>
        </w:tc>
        <w:tc>
          <w:tcPr>
            <w:tcW w:w="15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FROM ALL</w:t>
            </w:r>
          </w:p>
        </w:tc>
        <w:tc>
          <w:tcPr>
            <w:tcW w:w="0" w:type="dxa"/>
            <w:vAlign w:val="bottom"/>
          </w:tcPr>
          <w:p>
            <w:pPr>
              <w:spacing w:after="0"/>
              <w:rPr>
                <w:sz w:val="1"/>
                <w:szCs w:val="1"/>
                <w:color w:val="auto"/>
              </w:rPr>
            </w:pPr>
          </w:p>
        </w:tc>
      </w:tr>
      <w:tr>
        <w:trPr>
          <w:trHeight w:val="222"/>
        </w:trPr>
        <w:tc>
          <w:tcPr>
            <w:tcW w:w="1140" w:type="dxa"/>
            <w:vAlign w:val="bottom"/>
          </w:tcPr>
          <w:p>
            <w:pPr>
              <w:jc w:val="center"/>
              <w:spacing w:after="0"/>
              <w:rPr>
                <w:sz w:val="20"/>
                <w:szCs w:val="20"/>
                <w:color w:val="auto"/>
              </w:rPr>
            </w:pPr>
            <w:r>
              <w:rPr>
                <w:rFonts w:ascii="Arial" w:cs="Arial" w:eastAsia="Arial" w:hAnsi="Arial"/>
                <w:sz w:val="18"/>
                <w:szCs w:val="18"/>
                <w:color w:val="auto"/>
                <w:w w:val="93"/>
              </w:rPr>
              <w:t>NOMINEES</w:t>
            </w:r>
          </w:p>
        </w:tc>
        <w:tc>
          <w:tcPr>
            <w:tcW w:w="520" w:type="dxa"/>
            <w:vAlign w:val="bottom"/>
          </w:tcPr>
          <w:p>
            <w:pPr>
              <w:spacing w:after="0"/>
              <w:rPr>
                <w:sz w:val="19"/>
                <w:szCs w:val="19"/>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w w:val="93"/>
              </w:rPr>
              <w:t>NOMINEES</w:t>
            </w:r>
          </w:p>
        </w:tc>
        <w:tc>
          <w:tcPr>
            <w:tcW w:w="0" w:type="dxa"/>
            <w:vAlign w:val="bottom"/>
          </w:tcPr>
          <w:p>
            <w:pPr>
              <w:spacing w:after="0"/>
              <w:rPr>
                <w:sz w:val="1"/>
                <w:szCs w:val="1"/>
                <w:color w:val="auto"/>
              </w:rPr>
            </w:pPr>
          </w:p>
        </w:tc>
      </w:tr>
      <w:tr>
        <w:trPr>
          <w:trHeight w:val="398"/>
        </w:trPr>
        <w:tc>
          <w:tcPr>
            <w:tcW w:w="11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57150</wp:posOffset>
            </wp:positionV>
            <wp:extent cx="1663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387" w:hanging="387"/>
        <w:spacing w:after="0"/>
        <w:tabs>
          <w:tab w:leader="none" w:pos="3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157" w:lineRule="exact"/>
        <w:rPr>
          <w:rFonts w:ascii="Arial" w:cs="Arial" w:eastAsia="Arial" w:hAnsi="Arial"/>
          <w:sz w:val="18"/>
          <w:szCs w:val="18"/>
          <w:color w:val="auto"/>
        </w:rPr>
      </w:pPr>
    </w:p>
    <w:p>
      <w:pPr>
        <w:ind w:left="427" w:hanging="427"/>
        <w:spacing w:after="0" w:line="268"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of adoption of the 2004 Stock and Deferral Plan for Non-Employee Directors</w:t>
      </w:r>
    </w:p>
    <w:p>
      <w:pPr>
        <w:spacing w:after="0" w:line="226" w:lineRule="exact"/>
        <w:rPr>
          <w:rFonts w:ascii="Arial" w:cs="Arial" w:eastAsia="Arial" w:hAnsi="Arial"/>
          <w:sz w:val="18"/>
          <w:szCs w:val="18"/>
          <w:color w:val="auto"/>
        </w:rPr>
      </w:pPr>
    </w:p>
    <w:p>
      <w:pPr>
        <w:ind w:left="387" w:hanging="387"/>
        <w:spacing w:after="0"/>
        <w:tabs>
          <w:tab w:leader="none" w:pos="3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of Auditors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81"/>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0" w:lineRule="exact"/>
        <w:rPr>
          <w:sz w:val="20"/>
          <w:szCs w:val="20"/>
          <w:color w:val="auto"/>
        </w:rPr>
      </w:pPr>
    </w:p>
    <w:p>
      <w:pPr>
        <w:sectPr>
          <w:pgSz w:w="11900" w:h="16838" w:orient="portrait"/>
          <w:cols w:equalWidth="0" w:num="3">
            <w:col w:w="4220" w:space="353"/>
            <w:col w:w="4467" w:space="340"/>
            <w:col w:w="2000"/>
          </w:cols>
          <w:pgMar w:left="240" w:top="280" w:right="279" w:bottom="1440" w:gutter="0" w:footer="0" w:header="0"/>
          <w:type w:val="continuous"/>
        </w:sectPr>
      </w:pPr>
    </w:p>
    <w:p>
      <w:pPr>
        <w:spacing w:after="0" w:line="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For all nominees except as noted above</w:t>
      </w:r>
    </w:p>
    <w:p>
      <w:pPr>
        <w:spacing w:after="0" w:line="214" w:lineRule="exact"/>
        <w:rPr>
          <w:sz w:val="20"/>
          <w:szCs w:val="20"/>
          <w:color w:val="auto"/>
        </w:rPr>
      </w:pPr>
    </w:p>
    <w:p>
      <w:pPr>
        <w:ind w:left="4300"/>
        <w:spacing w:after="0" w:line="207" w:lineRule="exact"/>
        <w:tabs>
          <w:tab w:leader="none" w:pos="10980" w:val="left"/>
        </w:tabs>
        <w:rPr>
          <w:sz w:val="20"/>
          <w:szCs w:val="20"/>
          <w:color w:val="auto"/>
        </w:rPr>
      </w:pPr>
      <w:r>
        <w:rPr>
          <w:rFonts w:ascii="Arial" w:cs="Arial" w:eastAsia="Arial" w:hAnsi="Arial"/>
          <w:sz w:val="18"/>
          <w:szCs w:val="18"/>
          <w:color w:val="auto"/>
        </w:rPr>
        <w:t>MARK HERE FOR ADDRESS CHANGE AND NOTE AT LEFT</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4300" w:right="20"/>
        <w:spacing w:after="0" w:line="370" w:lineRule="auto"/>
        <w:rPr>
          <w:sz w:val="20"/>
          <w:szCs w:val="20"/>
          <w:color w:val="auto"/>
        </w:rPr>
      </w:pPr>
      <w:r>
        <w:rPr>
          <w:rFonts w:ascii="Arial" w:cs="Arial" w:eastAsia="Arial" w:hAnsi="Arial"/>
          <w:sz w:val="15"/>
          <w:szCs w:val="15"/>
          <w:color w:val="auto"/>
        </w:rPr>
        <w:t>Please sign names exactly as printed hereon. If signing as attorney, administrator, executor, guardian or trustee, please give full title as such. Please sign, date and return in the enclosed envelope.</w:t>
      </w:r>
    </w:p>
    <w:p>
      <w:pPr>
        <w:spacing w:after="0" w:line="62" w:lineRule="exact"/>
        <w:rPr>
          <w:sz w:val="20"/>
          <w:szCs w:val="20"/>
          <w:color w:val="auto"/>
        </w:rPr>
      </w:pPr>
    </w:p>
    <w:p>
      <w:pPr>
        <w:spacing w:after="0"/>
        <w:tabs>
          <w:tab w:leader="none" w:pos="2640" w:val="left"/>
          <w:tab w:leader="none" w:pos="4200" w:val="left"/>
          <w:tab w:leader="none" w:pos="72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473138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31385" cy="8890"/>
                    </a:xfrm>
                    <a:prstGeom prst="rect">
                      <a:avLst/>
                    </a:prstGeom>
                    <a:noFill/>
                  </pic:spPr>
                </pic:pic>
              </a:graphicData>
            </a:graphic>
          </wp:anchor>
        </w:drawing>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2)"/>
      <w:numFmt w:val="decimal"/>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5"/>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8"/>
    </w:lvl>
  </w:abstractNum>
  <w:abstractNum w:abstractNumId="10">
    <w:nsid w:val="6A2342EC"/>
    <w:multiLevelType w:val="hybridMultilevel"/>
    <w:lvl w:ilvl="0">
      <w:lvlJc w:val="left"/>
      <w:lvlText w:val="(%1)"/>
      <w:numFmt w:val="decimal"/>
      <w:start w:val="12"/>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5"/>
    </w:lvl>
  </w:abstractNum>
  <w:abstractNum w:abstractNumId="23">
    <w:nsid w:val="684A481A"/>
    <w:multiLevelType w:val="hybridMultilevel"/>
    <w:lvl w:ilvl="0">
      <w:lvlJc w:val="left"/>
      <w:lvlText w:val="%1."/>
      <w:numFmt w:val="decimal"/>
      <w:start w:val="13"/>
    </w:lvl>
  </w:abstractNum>
  <w:abstractNum w:abstractNumId="24">
    <w:nsid w:val="579478FE"/>
    <w:multiLevelType w:val="hybridMultilevel"/>
    <w:lvl w:ilvl="0">
      <w:lvlJc w:val="left"/>
      <w:lvlText w:val="%1."/>
      <w:numFmt w:val="decimal"/>
      <w:start w:val="1"/>
    </w:lvl>
    <w:lvl w:ilvl="1">
      <w:lvlJc w:val="left"/>
      <w:lvlText w:val="%2."/>
      <w:numFmt w:val="lowerRoman"/>
      <w:start w:val="1"/>
    </w:lvl>
  </w:abstractNum>
  <w:abstractNum w:abstractNumId="25">
    <w:nsid w:val="749ABB43"/>
    <w:multiLevelType w:val="hybridMultilevel"/>
    <w:lvl w:ilvl="0">
      <w:lvlJc w:val="left"/>
      <w:lvlText w:val="%1."/>
      <w:numFmt w:val="decimal"/>
      <w:start w:val="1"/>
    </w:lvl>
    <w:lvl w:ilvl="1">
      <w:lvlJc w:val="left"/>
      <w:lvlText w:val="%2."/>
      <w:numFmt w:val="lowerRoman"/>
      <w:start w:val="1"/>
    </w:lvl>
  </w:abstractNum>
  <w:abstractNum w:abstractNumId="26">
    <w:nsid w:val="3DC240FB"/>
    <w:multiLevelType w:val="hybridMultilevel"/>
    <w:lvl w:ilvl="0">
      <w:lvlJc w:val="left"/>
      <w:lvlText w:val="%1."/>
      <w:numFmt w:val="decimal"/>
      <w:start w:val="1"/>
    </w:lvl>
    <w:lvl w:ilvl="1">
      <w:lvlJc w:val="left"/>
      <w:lvlText w:val="(%2)"/>
      <w:numFmt w:val="lowerLetter"/>
      <w:start w:val="1"/>
    </w:lvl>
  </w:abstractNum>
  <w:abstractNum w:abstractNumId="27">
    <w:nsid w:val="1BA026FA"/>
    <w:multiLevelType w:val="hybridMultilevel"/>
    <w:lvl w:ilvl="0">
      <w:lvlJc w:val="left"/>
      <w:lvlText w:val="%1."/>
      <w:numFmt w:val="decimal"/>
      <w:start w:val="3"/>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2"/>
    </w:lvl>
  </w:abstractNum>
  <w:abstractNum w:abstractNumId="31">
    <w:nsid w:val="70C6A529"/>
    <w:multiLevelType w:val="hybridMultilevel"/>
    <w:lvl w:ilvl="0">
      <w:lvlJc w:val="left"/>
      <w:lvlText w:val="%1."/>
      <w:numFmt w:val="decimal"/>
      <w:start w:val="3"/>
    </w:lvl>
  </w:abstractNum>
  <w:abstractNum w:abstractNumId="32">
    <w:nsid w:val="520EEDD1"/>
    <w:multiLevelType w:val="hybridMultilevel"/>
    <w:lvl w:ilvl="0">
      <w:lvlJc w:val="left"/>
      <w:lvlText w:val="%1."/>
      <w:numFmt w:val="decimal"/>
      <w:start w:val="4"/>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upperLetter"/>
      <w:start w:val="35"/>
    </w:lvl>
  </w:abstractNum>
  <w:abstractNum w:abstractNumId="35">
    <w:nsid w:val="23F9C13C"/>
    <w:multiLevelType w:val="hybridMultilevel"/>
    <w:lvl w:ilvl="0">
      <w:lvlJc w:val="left"/>
      <w:lvlText w:val="%1."/>
      <w:numFmt w:val="decimal"/>
      <w:start w:val="5"/>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6"/>
    </w:lvl>
  </w:abstractNum>
  <w:abstractNum w:abstractNumId="40">
    <w:nsid w:val="180115BE"/>
    <w:multiLevelType w:val="hybridMultilevel"/>
    <w:lvl w:ilvl="0">
      <w:lvlJc w:val="left"/>
      <w:lvlText w:val="%1."/>
      <w:numFmt w:val="decimal"/>
      <w:start w:val="7"/>
    </w:lvl>
  </w:abstractNum>
  <w:abstractNum w:abstractNumId="41">
    <w:nsid w:val="235BA861"/>
    <w:multiLevelType w:val="hybridMultilevel"/>
    <w:lvl w:ilvl="0">
      <w:lvlJc w:val="left"/>
      <w:lvlText w:val="%1."/>
      <w:numFmt w:val="decimal"/>
      <w:start w:val="8"/>
    </w:lvl>
  </w:abstractNum>
  <w:abstractNum w:abstractNumId="42">
    <w:nsid w:val="47398C89"/>
    <w:multiLevelType w:val="hybridMultilevel"/>
    <w:lvl w:ilvl="0">
      <w:lvlJc w:val="left"/>
      <w:lvlText w:val="%1."/>
      <w:numFmt w:val="decimal"/>
      <w:start w:val="9"/>
    </w:lvl>
  </w:abstractNum>
  <w:abstractNum w:abstractNumId="43">
    <w:nsid w:val="354FE9F9"/>
    <w:multiLevelType w:val="hybridMultilevel"/>
    <w:lvl w:ilvl="0">
      <w:lvlJc w:val="left"/>
      <w:lvlText w:val="%1."/>
      <w:numFmt w:val="decimal"/>
      <w:start w:val="11"/>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3"/>
    </w:lvl>
  </w:abstractNum>
  <w:abstractNum w:abstractNumId="46">
    <w:nsid w:val="D34B6A8"/>
    <w:multiLevelType w:val="hybridMultilevel"/>
    <w:lvl w:ilvl="0">
      <w:lvlJc w:val="left"/>
      <w:lvlText w:val="%1."/>
      <w:numFmt w:val="decimal"/>
      <w:start w:val="14"/>
    </w:lvl>
  </w:abstractNum>
  <w:abstractNum w:abstractNumId="47">
    <w:nsid w:val="10233C99"/>
    <w:multiLevelType w:val="hybridMultilevel"/>
    <w:lvl w:ilvl="0">
      <w:lvlJc w:val="left"/>
      <w:lvlText w:val="1"/>
      <w:numFmt w:val="bullet"/>
      <w:start w:val="1"/>
    </w:lvl>
  </w:abstractNum>
  <w:abstractNum w:abstractNumId="48">
    <w:nsid w:val="3F6AB60F"/>
    <w:multiLevelType w:val="hybridMultilevel"/>
    <w:lvl w:ilvl="0">
      <w:lvlJc w:val="left"/>
      <w:lvlText w:val="%1."/>
      <w:numFmt w:val="decimal"/>
      <w:start w:val="15"/>
    </w:lvl>
  </w:abstractNum>
  <w:abstractNum w:abstractNumId="49">
    <w:nsid w:val="61574095"/>
    <w:multiLevelType w:val="hybridMultilevel"/>
    <w:lvl w:ilvl="0">
      <w:lvlJc w:val="left"/>
      <w:lvlText w:val="%1."/>
      <w:numFmt w:val="decimal"/>
      <w:start w:val="16"/>
    </w:lvl>
  </w:abstractNum>
  <w:abstractNum w:abstractNumId="50">
    <w:nsid w:val="7E0C57B1"/>
    <w:multiLevelType w:val="hybridMultilevel"/>
    <w:lvl w:ilvl="0">
      <w:lvlJc w:val="left"/>
      <w:lvlText w:val="%1."/>
      <w:numFmt w:val="decimal"/>
      <w:start w:val="17"/>
    </w:lvl>
  </w:abstractNum>
  <w:abstractNum w:abstractNumId="51">
    <w:nsid w:val="77AE35EB"/>
    <w:multiLevelType w:val="hybridMultilevel"/>
    <w:lvl w:ilvl="0">
      <w:lvlJc w:val="left"/>
      <w:lvlText w:val="%1."/>
      <w:numFmt w:val="decimal"/>
      <w:start w:val="18"/>
    </w:lvl>
  </w:abstractNum>
  <w:abstractNum w:abstractNumId="52">
    <w:nsid w:val="579BE4F1"/>
    <w:multiLevelType w:val="hybridMultilevel"/>
    <w:lvl w:ilvl="0">
      <w:lvlJc w:val="left"/>
      <w:lvlText w:val="%1."/>
      <w:numFmt w:val="decimal"/>
      <w:start w:val="19"/>
    </w:lvl>
  </w:abstractNum>
  <w:abstractNum w:abstractNumId="53">
    <w:nsid w:val="310C50B3"/>
    <w:multiLevelType w:val="hybridMultilevel"/>
    <w:lvl w:ilvl="0">
      <w:lvlJc w:val="left"/>
      <w:lvlText w:val="%1."/>
      <w:numFmt w:val="decimal"/>
      <w:start w:val="20"/>
    </w:lvl>
  </w:abstractNum>
  <w:abstractNum w:abstractNumId="54">
    <w:nsid w:val="5FF87E05"/>
    <w:multiLevelType w:val="hybridMultilevel"/>
    <w:lvl w:ilvl="0">
      <w:lvlJc w:val="left"/>
      <w:lvlText w:val="%1."/>
      <w:numFmt w:val="decimal"/>
      <w:start w:val="21"/>
    </w:lvl>
  </w:abstractNum>
  <w:abstractNum w:abstractNumId="55">
    <w:nsid w:val="2F305DEF"/>
    <w:multiLevelType w:val="hybridMultilevel"/>
    <w:lvl w:ilvl="0">
      <w:lvlJc w:val="left"/>
      <w:lvlText w:val="%1."/>
      <w:numFmt w:val="decimal"/>
      <w:start w:val="22"/>
    </w:lvl>
  </w:abstractNum>
  <w:abstractNum w:abstractNumId="56">
    <w:nsid w:val="25A70BF7"/>
    <w:multiLevelType w:val="hybridMultilevel"/>
    <w:lvl w:ilvl="0">
      <w:lvlJc w:val="left"/>
      <w:lvlText w:val="%1."/>
      <w:numFmt w:val="decimal"/>
      <w:start w:val="23"/>
    </w:lvl>
  </w:abstractNum>
  <w:abstractNum w:abstractNumId="57">
    <w:nsid w:val="1DBABF00"/>
    <w:multiLevelType w:val="hybridMultilevel"/>
    <w:lvl w:ilvl="0">
      <w:lvlJc w:val="left"/>
      <w:lvlText w:val="%1."/>
      <w:numFmt w:val="decimal"/>
      <w:start w:val="24"/>
    </w:lvl>
  </w:abstractNum>
  <w:abstractNum w:abstractNumId="58">
    <w:nsid w:val="4AD084E9"/>
    <w:multiLevelType w:val="hybridMultilevel"/>
    <w:lvl w:ilvl="0">
      <w:lvlJc w:val="left"/>
      <w:lvlText w:val="%1."/>
      <w:numFmt w:val="decimal"/>
      <w:start w:val="25"/>
    </w:lvl>
  </w:abstractNum>
  <w:abstractNum w:abstractNumId="59">
    <w:nsid w:val="1F48EAA1"/>
    <w:multiLevelType w:val="hybridMultilevel"/>
    <w:lvl w:ilvl="0">
      <w:lvlJc w:val="left"/>
      <w:lvlText w:val="%1."/>
      <w:numFmt w:val="decimal"/>
      <w:start w:val="26"/>
    </w:lvl>
  </w:abstractNum>
  <w:abstractNum w:abstractNumId="60">
    <w:nsid w:val="1381823A"/>
    <w:multiLevelType w:val="hybridMultilevel"/>
    <w:lvl w:ilvl="0">
      <w:lvlJc w:val="left"/>
      <w:lvlText w:val="1"/>
      <w:numFmt w:val="bullet"/>
      <w:start w:val="1"/>
    </w:lvl>
  </w:abstractNum>
  <w:abstractNum w:abstractNumId="61">
    <w:nsid w:val="5DB70AE5"/>
    <w:multiLevelType w:val="hybridMultilevel"/>
    <w:lvl w:ilvl="0">
      <w:lvlJc w:val="left"/>
      <w:lvlText w:val="2"/>
      <w:numFmt w:val="bullet"/>
      <w:start w:val="1"/>
    </w:lvl>
  </w:abstractNum>
  <w:abstractNum w:abstractNumId="62">
    <w:nsid w:val="100F8FCA"/>
    <w:multiLevelType w:val="hybridMultilevel"/>
    <w:lvl w:ilvl="0">
      <w:lvlJc w:val="left"/>
      <w:lvlText w:val="3"/>
      <w:numFmt w:val="bullet"/>
      <w:start w:val="1"/>
    </w:lvl>
  </w:abstractNum>
  <w:abstractNum w:abstractNumId="63">
    <w:nsid w:val="6590700B"/>
    <w:multiLevelType w:val="hybridMultilevel"/>
    <w:lvl w:ilvl="0">
      <w:lvlJc w:val="left"/>
      <w:lvlText w:val="4"/>
      <w:numFmt w:val="bullet"/>
      <w:start w:val="1"/>
    </w:lvl>
  </w:abstractNum>
  <w:abstractNum w:abstractNumId="64">
    <w:nsid w:val="15014ACB"/>
    <w:multiLevelType w:val="hybridMultilevel"/>
    <w:lvl w:ilvl="0">
      <w:lvlJc w:val="left"/>
      <w:lvlText w:val="5"/>
      <w:numFmt w:val="bullet"/>
      <w:start w:val="1"/>
    </w:lvl>
  </w:abstractNum>
  <w:abstractNum w:abstractNumId="65">
    <w:nsid w:val="5F5E7FD0"/>
    <w:multiLevelType w:val="hybridMultilevel"/>
    <w:lvl w:ilvl="0">
      <w:lvlJc w:val="left"/>
      <w:lvlText w:val="6"/>
      <w:numFmt w:val="bullet"/>
      <w:start w:val="1"/>
    </w:lvl>
  </w:abstractNum>
  <w:abstractNum w:abstractNumId="66">
    <w:nsid w:val="98A3148"/>
    <w:multiLevelType w:val="hybridMultilevel"/>
    <w:lvl w:ilvl="0">
      <w:lvlJc w:val="left"/>
      <w:lvlText w:val="P"/>
      <w:numFmt w:val="bullet"/>
      <w:start w:val="1"/>
    </w:lvl>
  </w:abstractNum>
  <w:abstractNum w:abstractNumId="67">
    <w:nsid w:val="799D0247"/>
    <w:multiLevelType w:val="hybridMultilevel"/>
    <w:lvl w:ilvl="0">
      <w:lvlJc w:val="left"/>
      <w:lvlText w:val="R"/>
      <w:numFmt w:val="bullet"/>
      <w:start w:val="1"/>
    </w:lvl>
  </w:abstractNum>
  <w:abstractNum w:abstractNumId="68">
    <w:nsid w:val="6B94764"/>
    <w:multiLevelType w:val="hybridMultilevel"/>
    <w:lvl w:ilvl="0">
      <w:lvlJc w:val="left"/>
      <w:lvlText w:val="O"/>
      <w:numFmt w:val="bullet"/>
      <w:start w:val="1"/>
    </w:lvl>
  </w:abstractNum>
  <w:abstractNum w:abstractNumId="69">
    <w:nsid w:val="42C296BD"/>
    <w:multiLevelType w:val="hybridMultilevel"/>
    <w:lvl w:ilvl="0">
      <w:lvlJc w:val="left"/>
      <w:lvlText w:val="X"/>
      <w:numFmt w:val="bullet"/>
      <w:start w:val="1"/>
    </w:lvl>
  </w:abstractNum>
  <w:abstractNum w:abstractNumId="70">
    <w:nsid w:val="168E121F"/>
    <w:multiLevelType w:val="hybridMultilevel"/>
    <w:lvl w:ilvl="0">
      <w:lvlJc w:val="left"/>
      <w:lvlText w:val="Y"/>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2019-12-13T06:39:37Z</dcterms:created>
  <dcterms:modified xsi:type="dcterms:W3CDTF">2019-12-13T06:39:37Z</dcterms:modified>
</cp:coreProperties>
</file>