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Fyfe Kevin</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5"/>
        </w:trPr>
        <w:tc>
          <w:tcPr>
            <w:tcW w:w="80" w:type="dxa"/>
            <w:vAlign w:val="bottom"/>
          </w:tcPr>
          <w:p>
            <w:pPr>
              <w:spacing w:after="0"/>
              <w:rPr>
                <w:sz w:val="18"/>
                <w:szCs w:val="18"/>
                <w:color w:val="auto"/>
              </w:rPr>
            </w:pPr>
          </w:p>
        </w:tc>
        <w:tc>
          <w:tcPr>
            <w:tcW w:w="3740" w:type="dxa"/>
            <w:vAlign w:val="bottom"/>
            <w:gridSpan w:val="3"/>
          </w:tcPr>
          <w:p>
            <w:pPr>
              <w:spacing w:after="0" w:line="20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21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4"/>
        </w:trPr>
        <w:tc>
          <w:tcPr>
            <w:tcW w:w="80" w:type="dxa"/>
            <w:vAlign w:val="bottom"/>
          </w:tcPr>
          <w:p>
            <w:pPr>
              <w:spacing w:after="0"/>
              <w:rPr>
                <w:sz w:val="11"/>
                <w:szCs w:val="11"/>
                <w:color w:val="auto"/>
              </w:rPr>
            </w:pPr>
          </w:p>
        </w:tc>
        <w:tc>
          <w:tcPr>
            <w:tcW w:w="120" w:type="dxa"/>
            <w:vAlign w:val="bottom"/>
            <w:tcBorders>
              <w:top w:val="single" w:sz="8" w:color="0000EE"/>
            </w:tcBorders>
          </w:tcPr>
          <w:p>
            <w:pPr>
              <w:spacing w:after="0"/>
              <w:rPr>
                <w:sz w:val="11"/>
                <w:szCs w:val="11"/>
                <w:color w:val="auto"/>
              </w:rPr>
            </w:pPr>
          </w:p>
        </w:tc>
        <w:tc>
          <w:tcPr>
            <w:tcW w:w="290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60" w:type="dxa"/>
            <w:vAlign w:val="bottom"/>
          </w:tcPr>
          <w:p>
            <w:pPr>
              <w:ind w:left="100"/>
              <w:spacing w:after="0" w:line="134" w:lineRule="exact"/>
              <w:rPr>
                <w:sz w:val="20"/>
                <w:szCs w:val="20"/>
                <w:color w:val="auto"/>
              </w:rPr>
            </w:pPr>
            <w:r>
              <w:rPr>
                <w:rFonts w:ascii="Arial" w:cs="Arial" w:eastAsia="Arial" w:hAnsi="Arial"/>
                <w:sz w:val="13"/>
                <w:szCs w:val="13"/>
                <w:color w:val="auto"/>
              </w:rPr>
              <w:t>Director</w:t>
            </w:r>
          </w:p>
        </w:tc>
        <w:tc>
          <w:tcPr>
            <w:tcW w:w="1140" w:type="dxa"/>
            <w:vAlign w:val="bottom"/>
          </w:tcPr>
          <w:p>
            <w:pPr>
              <w:spacing w:after="0" w:line="13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9"/>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29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660" w:type="dxa"/>
            <w:vAlign w:val="bottom"/>
          </w:tcPr>
          <w:p>
            <w:pPr>
              <w:ind w:left="100"/>
              <w:spacing w:after="0" w:line="139" w:lineRule="exact"/>
              <w:rPr>
                <w:sz w:val="20"/>
                <w:szCs w:val="20"/>
                <w:color w:val="auto"/>
              </w:rPr>
            </w:pPr>
            <w:r>
              <w:rPr>
                <w:rFonts w:ascii="Arial" w:cs="Arial" w:eastAsia="Arial" w:hAnsi="Arial"/>
                <w:sz w:val="13"/>
                <w:szCs w:val="13"/>
                <w:color w:val="auto"/>
              </w:rPr>
              <w:t>Officer (give title</w:t>
            </w:r>
          </w:p>
        </w:tc>
        <w:tc>
          <w:tcPr>
            <w:tcW w:w="1140" w:type="dxa"/>
            <w:vAlign w:val="bottom"/>
          </w:tcPr>
          <w:p>
            <w:pPr>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16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100" w:type="dxa"/>
            <w:vAlign w:val="bottom"/>
            <w:gridSpan w:val="3"/>
          </w:tcPr>
          <w:p>
            <w:pPr>
              <w:ind w:left="80"/>
              <w:spacing w:after="0"/>
              <w:rPr>
                <w:sz w:val="20"/>
                <w:szCs w:val="20"/>
                <w:color w:val="auto"/>
              </w:rPr>
            </w:pPr>
            <w:r>
              <w:rPr>
                <w:rFonts w:ascii="Arial" w:cs="Arial" w:eastAsia="Arial" w:hAnsi="Arial"/>
                <w:sz w:val="17"/>
                <w:szCs w:val="17"/>
                <w:color w:val="0000FF"/>
              </w:rPr>
              <w:t>03/02/2022</w:t>
            </w: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60" w:type="dxa"/>
            <w:vAlign w:val="bottom"/>
          </w:tcPr>
          <w:p>
            <w:pPr>
              <w:ind w:left="660"/>
              <w:spacing w:after="0"/>
              <w:rPr>
                <w:sz w:val="20"/>
                <w:szCs w:val="20"/>
                <w:color w:val="auto"/>
              </w:rPr>
            </w:pPr>
            <w:r>
              <w:rPr>
                <w:rFonts w:ascii="Arial" w:cs="Arial" w:eastAsia="Arial" w:hAnsi="Arial"/>
                <w:sz w:val="17"/>
                <w:szCs w:val="17"/>
                <w:color w:val="0000FF"/>
                <w:w w:val="96"/>
              </w:rPr>
              <w:t>VP Controller</w:t>
            </w: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0" w:type="dxa"/>
            <w:vAlign w:val="bottom"/>
            <w:tcBorders>
              <w:bottom w:val="single" w:sz="8" w:color="2C2C2C"/>
            </w:tcBorders>
          </w:tcPr>
          <w:p>
            <w:pPr>
              <w:spacing w:after="0"/>
              <w:rPr>
                <w:sz w:val="20"/>
                <w:szCs w:val="20"/>
                <w:color w:val="auto"/>
              </w:rPr>
            </w:pPr>
          </w:p>
        </w:tc>
        <w:tc>
          <w:tcPr>
            <w:tcW w:w="120" w:type="dxa"/>
            <w:vAlign w:val="bottom"/>
            <w:tcBorders>
              <w:bottom w:val="single" w:sz="8" w:color="2C2C2C"/>
            </w:tcBorders>
          </w:tcPr>
          <w:p>
            <w:pPr>
              <w:spacing w:after="0"/>
              <w:rPr>
                <w:sz w:val="20"/>
                <w:szCs w:val="20"/>
                <w:color w:val="auto"/>
              </w:rPr>
            </w:pPr>
          </w:p>
        </w:tc>
        <w:tc>
          <w:tcPr>
            <w:tcW w:w="290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80" w:type="dxa"/>
            <w:vAlign w:val="bottom"/>
            <w:gridSpan w:val="2"/>
          </w:tcPr>
          <w:p>
            <w:pPr>
              <w:ind w:left="3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380"/>
              <w:spacing w:after="0" w:line="131"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6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3"/>
          </w:tcPr>
          <w:p>
            <w:pPr>
              <w:ind w:left="60"/>
              <w:spacing w:after="0"/>
              <w:rPr>
                <w:sz w:val="20"/>
                <w:szCs w:val="20"/>
                <w:color w:val="auto"/>
              </w:rPr>
            </w:pPr>
            <w:r>
              <w:rPr>
                <w:rFonts w:ascii="Arial" w:cs="Arial" w:eastAsia="Arial" w:hAnsi="Arial"/>
                <w:sz w:val="17"/>
                <w:szCs w:val="17"/>
                <w:color w:val="0000FF"/>
                <w:w w:val="92"/>
              </w:rPr>
              <w:t>Common Stock, $0.01 Par Value Per</w:t>
            </w:r>
          </w:p>
        </w:tc>
        <w:tc>
          <w:tcPr>
            <w:tcW w:w="14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0000FF"/>
              </w:rPr>
              <w:t>03/02/2022</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0" w:type="dxa"/>
            <w:vAlign w:val="bottom"/>
            <w:vMerge w:val="restart"/>
          </w:tcPr>
          <w:p>
            <w:pPr>
              <w:ind w:left="140"/>
              <w:spacing w:after="0"/>
              <w:rPr>
                <w:sz w:val="20"/>
                <w:szCs w:val="20"/>
                <w:color w:val="auto"/>
              </w:rPr>
            </w:pPr>
            <w:r>
              <w:rPr>
                <w:rFonts w:ascii="Arial" w:cs="Arial" w:eastAsia="Arial" w:hAnsi="Arial"/>
                <w:sz w:val="13"/>
                <w:szCs w:val="13"/>
                <w:color w:val="0000FF"/>
              </w:rPr>
              <w:t>S</w:t>
            </w:r>
          </w:p>
        </w:tc>
        <w:tc>
          <w:tcPr>
            <w:tcW w:w="760" w:type="dxa"/>
            <w:vAlign w:val="bottom"/>
            <w:vMerge w:val="restart"/>
          </w:tcPr>
          <w:p>
            <w:pPr>
              <w:ind w:left="120"/>
              <w:spacing w:after="0"/>
              <w:rPr>
                <w:sz w:val="20"/>
                <w:szCs w:val="20"/>
                <w:color w:val="auto"/>
              </w:rPr>
            </w:pPr>
            <w:r>
              <w:rPr>
                <w:rFonts w:ascii="Arial" w:cs="Arial" w:eastAsia="Arial" w:hAnsi="Arial"/>
                <w:sz w:val="17"/>
                <w:szCs w:val="17"/>
                <w:color w:val="0000FF"/>
              </w:rPr>
              <w:t>20,708</w:t>
            </w:r>
          </w:p>
        </w:tc>
        <w:tc>
          <w:tcPr>
            <w:tcW w:w="440" w:type="dxa"/>
            <w:vAlign w:val="bottom"/>
            <w:vMerge w:val="restart"/>
          </w:tcPr>
          <w:p>
            <w:pPr>
              <w:ind w:left="160"/>
              <w:spacing w:after="0"/>
              <w:rPr>
                <w:sz w:val="20"/>
                <w:szCs w:val="20"/>
                <w:color w:val="auto"/>
              </w:rPr>
            </w:pPr>
            <w:r>
              <w:rPr>
                <w:rFonts w:ascii="Arial" w:cs="Arial" w:eastAsia="Arial" w:hAnsi="Arial"/>
                <w:sz w:val="17"/>
                <w:szCs w:val="17"/>
                <w:color w:val="0000FF"/>
              </w:rPr>
              <w:t>D</w:t>
            </w:r>
          </w:p>
        </w:tc>
        <w:tc>
          <w:tcPr>
            <w:tcW w:w="860" w:type="dxa"/>
            <w:vAlign w:val="bottom"/>
            <w:gridSpan w:val="3"/>
            <w:vMerge w:val="restart"/>
          </w:tcPr>
          <w:p>
            <w:pPr>
              <w:ind w:left="10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38.502</w:t>
            </w:r>
            <w:r>
              <w:rPr>
                <w:rFonts w:ascii="Arial" w:cs="Arial" w:eastAsia="Arial" w:hAnsi="Arial"/>
                <w:sz w:val="22"/>
                <w:szCs w:val="22"/>
                <w:color w:val="008000"/>
                <w:w w:val="93"/>
                <w:vertAlign w:val="superscript"/>
              </w:rPr>
              <w:t>(1)</w:t>
            </w:r>
          </w:p>
        </w:tc>
        <w:tc>
          <w:tcPr>
            <w:tcW w:w="12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33,168</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Share</w:t>
            </w: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78"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$38.50 to $38.505. The price reported above reflects the weighted average sale price. The reporting person hereby undertakes to provide upon request to the SEC staff, the issuer or security holder of the issuer full information regarding the number of shares and prices at which the transaction was effected.</w:t>
      </w:r>
    </w:p>
    <w:p>
      <w:pPr>
        <w:ind w:left="6580"/>
        <w:spacing w:after="0" w:line="183" w:lineRule="auto"/>
        <w:rPr>
          <w:sz w:val="20"/>
          <w:szCs w:val="20"/>
          <w:color w:val="auto"/>
        </w:rPr>
      </w:pPr>
      <w:r>
        <w:rPr>
          <w:rFonts w:ascii="Arial" w:cs="Arial" w:eastAsia="Arial" w:hAnsi="Arial"/>
          <w:sz w:val="17"/>
          <w:szCs w:val="17"/>
          <w:color w:val="0000FF"/>
        </w:rPr>
        <w:t xml:space="preserve">/s/ Samantha Blons, Attorney- </w:t>
      </w:r>
      <w:r>
        <w:rPr>
          <w:rFonts w:ascii="Arial" w:cs="Arial" w:eastAsia="Arial" w:hAnsi="Arial"/>
          <w:sz w:val="32"/>
          <w:szCs w:val="32"/>
          <w:color w:val="0000FF"/>
          <w:vertAlign w:val="subscript"/>
        </w:rPr>
        <w:t>03/04/2022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1997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2022-03-04T15:56:43Z</dcterms:created>
  <dcterms:modified xsi:type="dcterms:W3CDTF">2022-03-04T15:56:43Z</dcterms:modified>
</cp:coreProperties>
</file>