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17"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April 10,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ind w:right="1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Schlumberger Omnibus Incentive Plan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stockholders of Schlumberger Limited (Schlumberger N.V.), a Curaçao corporation (“Schlumberger”), approved the adoption of the 2013 Schlumberger Omnibus Incentive Plan (the “2013 Incentive Plan”) at the 2013 Annual Meeting of Stockholders of Schlumberger (the “Annual Meeting”) held on April 10, 2013. The 2013 Incentive Plan provides for the grant to Schlumberger employees of stock options, cash, stock appreciation rights, and stock awards, which may include restricted stock or restricted stock units. A total of 35 million shares of Schlumberger common stock are subject to the 2013 Incentive Plan. No more than 7.5 million shares of common stock may be the subject of awards that are not options or stock appreciation rights. Awards may be granted under the 2013 Incentive Plan on or before April 9, 2023. The 2013 Incentive Plan was approved by Schlumberger’s Board of Directors on January 17, 2013, subject to stockholder approval. The foregoing description of the 2013 Incentive Plan is qualified in its entirety by reference to the text of the 2013 Incentive Plan, which is included as Exhibit 10.1 hereto and incorporated herein by reference.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Schlumberger Discounted Stock Purchase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stockholders of Schlumberger also approved at the Annual Meeting an amendment and restatement (the “DSPP Amendment”) of the Schlumberger Discounted Stock Purchase Plan (the “DSPP”). The DSPP Amendment increases the number of shares of common stock available for purchase under the DSPP by 22 million shares. The DSPP Amendment was approved by Schlumberger’s Board of Directors as of January 1, 2013, subject to stockholder approval, and is effective as of January 1, 2013. The foregoing description of the DSPP Amendment is qualified in its entirety by reference to the text of the amended and restated DSPP, which is included as Exhibit 10.2 hereto and incorporated herein by reference.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the Annual Meeting on April 10, 2013, the stockholders of Schlumberger:</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11 director nominees;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Schlumberger’s executive compensation;</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Schlumberger’s Consolidated Balance Sheet as at December 31, 2012, its Consolidated Statement of Income for the year ended December 31, 2012, and the declarations of dividends by the Board of Directors in 2012 as reflected in Schlumberger’s 2012 Annual Report to Stockholders;</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4—approved the appointment of PricewaterhouseCoopers LLP as the independent registered public accounting firm to audit the accounts of Schlumberger for 2013;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5—approved the adoption of the 2013 Schlumberger Omnibus Incentive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6—approved the adoption of an amendment and restatement of the Schlumberger Discounted Stock Purchase Plan.</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March 1, 2013 (the “Definitive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are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Broker Non-</w:t>
            </w:r>
          </w:p>
        </w:tc>
      </w:tr>
      <w:tr>
        <w:trPr>
          <w:trHeight w:val="284"/>
        </w:trPr>
        <w:tc>
          <w:tcPr>
            <w:tcW w:w="5660" w:type="dxa"/>
            <w:vAlign w:val="bottom"/>
          </w:tcPr>
          <w:p>
            <w:pPr>
              <w:spacing w:after="0"/>
              <w:rPr>
                <w:sz w:val="24"/>
                <w:szCs w:val="24"/>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For</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Against</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Abstain</w:t>
            </w: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votes</w:t>
            </w:r>
          </w:p>
        </w:tc>
      </w:tr>
      <w:tr>
        <w:trPr>
          <w:trHeight w:val="210"/>
        </w:trPr>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Peter L.S. Currie</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953,590,413</w:t>
            </w: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3,556,306</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2,266,974</w:t>
            </w:r>
          </w:p>
        </w:tc>
        <w:tc>
          <w:tcPr>
            <w:tcW w:w="4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Tony Isaac</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865,765,024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91,387,112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2,261,557</w:t>
            </w:r>
          </w:p>
        </w:tc>
        <w:tc>
          <w:tcPr>
            <w:tcW w:w="4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K. Vaman Kamath</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950,967,082</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6,137,005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2,309,606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Paal Kibsgaard</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956,127,955</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1,113,758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2,171,980</w:t>
            </w:r>
          </w:p>
        </w:tc>
        <w:tc>
          <w:tcPr>
            <w:tcW w:w="4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953,582,735</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3,524,301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2,306,657</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Adrian Lajous</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931,093,331</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26,046,249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2,274,113</w:t>
            </w:r>
          </w:p>
        </w:tc>
        <w:tc>
          <w:tcPr>
            <w:tcW w:w="4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937,043,223</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20,137,162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2,233,308</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Lubna S. Olayan</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938,328,422</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18,781,994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2,303,277</w:t>
            </w:r>
          </w:p>
        </w:tc>
        <w:tc>
          <w:tcPr>
            <w:tcW w:w="4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954,599,092</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2,530,875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2,283,726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Tore I. Sandvold</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954,665,192</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2,504,714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2,243,787</w:t>
            </w:r>
          </w:p>
        </w:tc>
        <w:tc>
          <w:tcPr>
            <w:tcW w:w="4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Henri Seydoux</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951,036,346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1,931,330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6,446,017</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114,127,308</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Resolution to Approve Executive Compensation</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96.07% of the votes cast at the Annual Meeting voting in favor of the advisory resolution.</w:t>
      </w:r>
    </w:p>
    <w:p>
      <w:pPr>
        <w:spacing w:after="0" w:line="16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760" w:type="dxa"/>
            <w:vAlign w:val="bottom"/>
            <w:gridSpan w:val="2"/>
          </w:tcPr>
          <w:p>
            <w:pPr>
              <w:jc w:val="center"/>
              <w:ind w:right="2260"/>
              <w:spacing w:after="0"/>
              <w:rPr>
                <w:sz w:val="20"/>
                <w:szCs w:val="20"/>
                <w:color w:val="auto"/>
              </w:rPr>
            </w:pPr>
            <w:r>
              <w:rPr>
                <w:rFonts w:ascii="Arial" w:cs="Arial" w:eastAsia="Arial" w:hAnsi="Arial"/>
                <w:sz w:val="14"/>
                <w:szCs w:val="14"/>
                <w:b w:val="1"/>
                <w:bCs w:val="1"/>
                <w:color w:val="auto"/>
                <w:w w:val="97"/>
              </w:rPr>
              <w:t>For</w:t>
            </w:r>
          </w:p>
        </w:tc>
        <w:tc>
          <w:tcPr>
            <w:tcW w:w="290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85"/>
              </w:rPr>
              <w:t>Against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18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16"/>
        </w:trPr>
        <w:tc>
          <w:tcPr>
            <w:tcW w:w="1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71"/>
              </w:rPr>
              <w:t>913,637,542</w:t>
            </w:r>
          </w:p>
        </w:tc>
        <w:tc>
          <w:tcPr>
            <w:tcW w:w="22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37,410,716</w:t>
            </w:r>
          </w:p>
        </w:tc>
        <w:tc>
          <w:tcPr>
            <w:tcW w:w="21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8,365,435</w:t>
            </w:r>
          </w:p>
        </w:tc>
        <w:tc>
          <w:tcPr>
            <w:tcW w:w="1820" w:type="dxa"/>
            <w:vAlign w:val="bottom"/>
          </w:tcPr>
          <w:p>
            <w:pPr>
              <w:spacing w:after="0"/>
              <w:rPr>
                <w:sz w:val="18"/>
                <w:szCs w:val="18"/>
                <w:color w:val="auto"/>
              </w:rPr>
            </w:pPr>
          </w:p>
        </w:tc>
        <w:tc>
          <w:tcPr>
            <w:tcW w:w="1380" w:type="dxa"/>
            <w:vAlign w:val="bottom"/>
            <w:tcBorders>
              <w:top w:val="single" w:sz="8" w:color="auto"/>
            </w:tcBorders>
          </w:tcPr>
          <w:p>
            <w:pPr>
              <w:jc w:val="right"/>
              <w:ind w:right="162"/>
              <w:spacing w:after="0"/>
              <w:rPr>
                <w:sz w:val="20"/>
                <w:szCs w:val="20"/>
                <w:color w:val="auto"/>
              </w:rPr>
            </w:pPr>
            <w:r>
              <w:rPr>
                <w:rFonts w:ascii="Arial" w:cs="Arial" w:eastAsia="Arial" w:hAnsi="Arial"/>
                <w:sz w:val="18"/>
                <w:szCs w:val="18"/>
                <w:color w:val="auto"/>
              </w:rPr>
              <w:t>114,127,308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3—Financial Statements and Dividends</w:t>
      </w:r>
    </w:p>
    <w:p>
      <w:pPr>
        <w:spacing w:after="0" w:line="90"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The proposal to approve Schlumberger’s Consolidated Balance Sheet as at December 31, 2012, its Consolidated Statement of Income for the year ended December 31, 2012, and the declarations of dividends by the Board of Directors in 2012 as reflected in Schlumberger’s 2012 Annual Report to Stockholders, as described in the Definitive Proxy Statement, was approved with approximately 99.78% of the votes cast at the Annual Meeting voting for the proposal.</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126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For</w:t>
            </w:r>
          </w:p>
        </w:tc>
        <w:tc>
          <w:tcPr>
            <w:tcW w:w="3160" w:type="dxa"/>
            <w:vAlign w:val="bottom"/>
          </w:tcPr>
          <w:p>
            <w:pPr>
              <w:spacing w:after="0"/>
              <w:rPr>
                <w:sz w:val="15"/>
                <w:szCs w:val="15"/>
                <w:color w:val="auto"/>
              </w:rPr>
            </w:pPr>
          </w:p>
        </w:tc>
        <w:tc>
          <w:tcPr>
            <w:tcW w:w="260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85"/>
              </w:rPr>
              <w:t>Against</w:t>
            </w:r>
          </w:p>
        </w:tc>
        <w:tc>
          <w:tcPr>
            <w:tcW w:w="260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9"/>
              </w:rPr>
              <w:t>Abstain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03"/>
        </w:trPr>
        <w:tc>
          <w:tcPr>
            <w:tcW w:w="4920" w:type="dxa"/>
            <w:vAlign w:val="bottom"/>
            <w:tcBorders>
              <w:top w:val="single" w:sz="8" w:color="CCEEFF"/>
            </w:tcBorders>
            <w:gridSpan w:val="3"/>
            <w:shd w:val="clear" w:color="auto" w:fill="CCEEFF"/>
          </w:tcPr>
          <w:p>
            <w:pPr>
              <w:jc w:val="right"/>
              <w:ind w:right="2900"/>
              <w:spacing w:after="0" w:line="202" w:lineRule="exact"/>
              <w:rPr>
                <w:sz w:val="20"/>
                <w:szCs w:val="20"/>
                <w:color w:val="auto"/>
              </w:rPr>
            </w:pPr>
            <w:r>
              <w:rPr>
                <w:rFonts w:ascii="Arial" w:cs="Arial" w:eastAsia="Arial" w:hAnsi="Arial"/>
                <w:sz w:val="18"/>
                <w:szCs w:val="18"/>
                <w:color w:val="auto"/>
              </w:rPr>
              <w:t>1,063,486,828</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2,375,835</w:t>
            </w:r>
          </w:p>
        </w:tc>
        <w:tc>
          <w:tcPr>
            <w:tcW w:w="19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7,678,338</w:t>
            </w:r>
          </w:p>
        </w:tc>
        <w:tc>
          <w:tcPr>
            <w:tcW w:w="18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522"/>
              <w:spacing w:after="0" w:line="203" w:lineRule="exact"/>
              <w:rPr>
                <w:sz w:val="20"/>
                <w:szCs w:val="20"/>
                <w:color w:val="auto"/>
              </w:rPr>
            </w:pPr>
            <w:r>
              <w:rPr>
                <w:rFonts w:ascii="Arial" w:cs="Arial" w:eastAsia="Arial" w:hAnsi="Arial"/>
                <w:sz w:val="18"/>
                <w:szCs w:val="18"/>
                <w:color w:val="auto"/>
              </w:rPr>
              <w:t>0</w:t>
            </w:r>
          </w:p>
        </w:tc>
      </w:tr>
    </w:tbl>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Item 4—Independent Registered Public Accounting Firm</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proposal to approve the appointment of PricewaterhouseCoopers LLP as the independent registered public accounting firm to audit the accounts of Schlumberger for 2013, as described in the Definitive Proxy Statement, was approved with approximately 98.36% of the votes cast at the Annual Meeting voting for the proposal.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For</w:t>
            </w:r>
          </w:p>
        </w:tc>
        <w:tc>
          <w:tcPr>
            <w:tcW w:w="3100" w:type="dxa"/>
            <w:vAlign w:val="bottom"/>
          </w:tcPr>
          <w:p>
            <w:pPr>
              <w:spacing w:after="0"/>
              <w:rPr>
                <w:sz w:val="15"/>
                <w:szCs w:val="15"/>
                <w:color w:val="auto"/>
              </w:rPr>
            </w:pPr>
          </w:p>
        </w:tc>
        <w:tc>
          <w:tcPr>
            <w:tcW w:w="270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5"/>
              </w:rPr>
              <w:t>Against</w:t>
            </w:r>
          </w:p>
        </w:tc>
        <w:tc>
          <w:tcPr>
            <w:tcW w:w="262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5"/>
              </w:rPr>
              <w:t>Abstain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03"/>
        </w:trPr>
        <w:tc>
          <w:tcPr>
            <w:tcW w:w="4800" w:type="dxa"/>
            <w:vAlign w:val="bottom"/>
            <w:tcBorders>
              <w:top w:val="single" w:sz="8" w:color="CCEEFF"/>
            </w:tcBorders>
            <w:gridSpan w:val="3"/>
            <w:shd w:val="clear" w:color="auto" w:fill="CCEEFF"/>
          </w:tcPr>
          <w:p>
            <w:pPr>
              <w:jc w:val="right"/>
              <w:ind w:right="2840"/>
              <w:spacing w:after="0" w:line="202" w:lineRule="exact"/>
              <w:rPr>
                <w:sz w:val="20"/>
                <w:szCs w:val="20"/>
                <w:color w:val="auto"/>
              </w:rPr>
            </w:pPr>
            <w:r>
              <w:rPr>
                <w:rFonts w:ascii="Arial" w:cs="Arial" w:eastAsia="Arial" w:hAnsi="Arial"/>
                <w:sz w:val="18"/>
                <w:szCs w:val="18"/>
                <w:color w:val="auto"/>
              </w:rPr>
              <w:t>1,052,727,963</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17,509,915</w:t>
            </w:r>
          </w:p>
        </w:tc>
        <w:tc>
          <w:tcPr>
            <w:tcW w:w="19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3,303,123</w:t>
            </w:r>
          </w:p>
        </w:tc>
        <w:tc>
          <w:tcPr>
            <w:tcW w:w="19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522"/>
              <w:spacing w:after="0" w:line="203" w:lineRule="exact"/>
              <w:rPr>
                <w:sz w:val="20"/>
                <w:szCs w:val="20"/>
                <w:color w:val="auto"/>
              </w:rPr>
            </w:pPr>
            <w:r>
              <w:rPr>
                <w:rFonts w:ascii="Arial" w:cs="Arial" w:eastAsia="Arial" w:hAnsi="Arial"/>
                <w:sz w:val="18"/>
                <w:szCs w:val="18"/>
                <w:color w:val="auto"/>
              </w:rPr>
              <w:t>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5—Adoption of 2013 Schlumberger Omnibus Incentive Plan</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proposal to approve the adoption of the 2013 Schlumberger Omnibus Incentive Plan, as described in the Definitive Proxy Statement, was approved with approximately 95.18% of the votes cast at the Annual Meeting voting for the proposal.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3140" w:type="dxa"/>
            <w:vAlign w:val="bottom"/>
          </w:tcPr>
          <w:p>
            <w:pPr>
              <w:spacing w:after="0"/>
              <w:rPr>
                <w:sz w:val="15"/>
                <w:szCs w:val="15"/>
                <w:color w:val="auto"/>
              </w:rPr>
            </w:pPr>
          </w:p>
        </w:tc>
        <w:tc>
          <w:tcPr>
            <w:tcW w:w="26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5"/>
              </w:rPr>
              <w:t>Against</w:t>
            </w:r>
          </w:p>
        </w:tc>
        <w:tc>
          <w:tcPr>
            <w:tcW w:w="254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85"/>
              </w:rPr>
              <w:t>Abstain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03"/>
        </w:trPr>
        <w:tc>
          <w:tcPr>
            <w:tcW w:w="4980" w:type="dxa"/>
            <w:vAlign w:val="bottom"/>
            <w:tcBorders>
              <w:top w:val="single" w:sz="8" w:color="CCEEFF"/>
            </w:tcBorders>
            <w:gridSpan w:val="3"/>
            <w:shd w:val="clear" w:color="auto" w:fill="CCEEFF"/>
          </w:tcPr>
          <w:p>
            <w:pPr>
              <w:jc w:val="right"/>
              <w:ind w:right="2960"/>
              <w:spacing w:after="0" w:line="202" w:lineRule="exact"/>
              <w:rPr>
                <w:sz w:val="20"/>
                <w:szCs w:val="20"/>
                <w:color w:val="auto"/>
              </w:rPr>
            </w:pPr>
            <w:r>
              <w:rPr>
                <w:rFonts w:ascii="Arial" w:cs="Arial" w:eastAsia="Arial" w:hAnsi="Arial"/>
                <w:sz w:val="18"/>
                <w:szCs w:val="18"/>
                <w:color w:val="auto"/>
              </w:rPr>
              <w:t>909,784,009</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46,065,741</w:t>
            </w:r>
          </w:p>
        </w:tc>
        <w:tc>
          <w:tcPr>
            <w:tcW w:w="1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3,563,943</w:t>
            </w:r>
          </w:p>
        </w:tc>
        <w:tc>
          <w:tcPr>
            <w:tcW w:w="18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42"/>
              <w:spacing w:after="0" w:line="203" w:lineRule="exact"/>
              <w:rPr>
                <w:sz w:val="20"/>
                <w:szCs w:val="20"/>
                <w:color w:val="auto"/>
              </w:rPr>
            </w:pPr>
            <w:r>
              <w:rPr>
                <w:rFonts w:ascii="Arial" w:cs="Arial" w:eastAsia="Arial" w:hAnsi="Arial"/>
                <w:sz w:val="18"/>
                <w:szCs w:val="18"/>
                <w:color w:val="auto"/>
              </w:rPr>
              <w:t>114,127,308</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6—Amendment and Restatement of Schlumberger Discounted Stock Purchase Plan</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proposal to approve the adoption of an amendment and restatement of the Schlumberger Discounted Stock Purchase Plan, as described in the Definitive Proxy Statement, was approved with approximately 99.45% of the votes cast at the Annual Meeting voting for the proposal.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For</w:t>
            </w:r>
          </w:p>
        </w:tc>
        <w:tc>
          <w:tcPr>
            <w:tcW w:w="3180" w:type="dxa"/>
            <w:vAlign w:val="bottom"/>
          </w:tcPr>
          <w:p>
            <w:pPr>
              <w:spacing w:after="0"/>
              <w:rPr>
                <w:sz w:val="15"/>
                <w:szCs w:val="15"/>
                <w:color w:val="auto"/>
              </w:rPr>
            </w:pPr>
          </w:p>
        </w:tc>
        <w:tc>
          <w:tcPr>
            <w:tcW w:w="252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85"/>
              </w:rPr>
              <w:t>Against</w:t>
            </w:r>
          </w:p>
        </w:tc>
        <w:tc>
          <w:tcPr>
            <w:tcW w:w="252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89"/>
              </w:rPr>
              <w:t>Abstain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03"/>
        </w:trPr>
        <w:tc>
          <w:tcPr>
            <w:tcW w:w="5080" w:type="dxa"/>
            <w:vAlign w:val="bottom"/>
            <w:tcBorders>
              <w:top w:val="single" w:sz="8" w:color="CCEEFF"/>
            </w:tcBorders>
            <w:gridSpan w:val="3"/>
            <w:shd w:val="clear" w:color="auto" w:fill="CCEEFF"/>
          </w:tcPr>
          <w:p>
            <w:pPr>
              <w:jc w:val="right"/>
              <w:ind w:right="3000"/>
              <w:spacing w:after="0" w:line="202" w:lineRule="exact"/>
              <w:rPr>
                <w:sz w:val="20"/>
                <w:szCs w:val="20"/>
                <w:color w:val="auto"/>
              </w:rPr>
            </w:pPr>
            <w:r>
              <w:rPr>
                <w:rFonts w:ascii="Arial" w:cs="Arial" w:eastAsia="Arial" w:hAnsi="Arial"/>
                <w:sz w:val="18"/>
                <w:szCs w:val="18"/>
                <w:color w:val="auto"/>
              </w:rPr>
              <w:t>950,679,423</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5,263,176</w:t>
            </w:r>
          </w:p>
        </w:tc>
        <w:tc>
          <w:tcPr>
            <w:tcW w:w="18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3,471,094</w:t>
            </w:r>
          </w:p>
        </w:tc>
        <w:tc>
          <w:tcPr>
            <w:tcW w:w="18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42"/>
              <w:spacing w:after="0" w:line="203" w:lineRule="exact"/>
              <w:rPr>
                <w:sz w:val="20"/>
                <w:szCs w:val="20"/>
                <w:color w:val="auto"/>
              </w:rPr>
            </w:pPr>
            <w:r>
              <w:rPr>
                <w:rFonts w:ascii="Arial" w:cs="Arial" w:eastAsia="Arial" w:hAnsi="Arial"/>
                <w:sz w:val="18"/>
                <w:szCs w:val="18"/>
                <w:color w:val="auto"/>
              </w:rPr>
              <w:t>114,127,308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11000" w:type="dxa"/>
            <w:vAlign w:val="bottom"/>
          </w:tcPr>
          <w:p>
            <w:pPr>
              <w:ind w:left="80"/>
              <w:spacing w:after="0"/>
              <w:rPr>
                <w:sz w:val="20"/>
                <w:szCs w:val="20"/>
                <w:color w:val="auto"/>
              </w:rPr>
            </w:pPr>
            <w:r>
              <w:rPr>
                <w:rFonts w:ascii="Arial" w:cs="Arial" w:eastAsia="Arial" w:hAnsi="Arial"/>
                <w:sz w:val="18"/>
                <w:szCs w:val="18"/>
                <w:color w:val="auto"/>
              </w:rPr>
              <w:t>The following are filed as exhibits to this report:</w:t>
            </w:r>
          </w:p>
        </w:tc>
      </w:tr>
      <w:tr>
        <w:trPr>
          <w:trHeight w:val="291"/>
        </w:trPr>
        <w:tc>
          <w:tcPr>
            <w:tcW w:w="38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1000" w:type="dxa"/>
            <w:vAlign w:val="bottom"/>
          </w:tcPr>
          <w:p>
            <w:pPr>
              <w:ind w:left="540"/>
              <w:spacing w:after="0"/>
              <w:rPr>
                <w:sz w:val="20"/>
                <w:szCs w:val="20"/>
                <w:color w:val="auto"/>
              </w:rPr>
            </w:pPr>
            <w:r>
              <w:rPr>
                <w:rFonts w:ascii="Arial" w:cs="Arial" w:eastAsia="Arial" w:hAnsi="Arial"/>
                <w:sz w:val="18"/>
                <w:szCs w:val="18"/>
                <w:color w:val="auto"/>
                <w:w w:val="91"/>
              </w:rPr>
              <w:t>Schlumberger 2013 Omnibus Stock Incentive Plan (incorporated by reference to Appendix A of Schlumberger’s Definitive Proxy Statement filed</w:t>
            </w:r>
          </w:p>
        </w:tc>
      </w:tr>
      <w:tr>
        <w:trPr>
          <w:trHeight w:val="222"/>
        </w:trPr>
        <w:tc>
          <w:tcPr>
            <w:tcW w:w="380" w:type="dxa"/>
            <w:vAlign w:val="bottom"/>
          </w:tcPr>
          <w:p>
            <w:pPr>
              <w:spacing w:after="0"/>
              <w:rPr>
                <w:sz w:val="19"/>
                <w:szCs w:val="19"/>
                <w:color w:val="auto"/>
              </w:rPr>
            </w:pPr>
          </w:p>
        </w:tc>
        <w:tc>
          <w:tcPr>
            <w:tcW w:w="11000" w:type="dxa"/>
            <w:vAlign w:val="bottom"/>
          </w:tcPr>
          <w:p>
            <w:pPr>
              <w:ind w:left="540"/>
              <w:spacing w:after="0"/>
              <w:rPr>
                <w:sz w:val="20"/>
                <w:szCs w:val="20"/>
                <w:color w:val="auto"/>
              </w:rPr>
            </w:pPr>
            <w:r>
              <w:rPr>
                <w:rFonts w:ascii="Arial" w:cs="Arial" w:eastAsia="Arial" w:hAnsi="Arial"/>
                <w:sz w:val="18"/>
                <w:szCs w:val="18"/>
                <w:color w:val="auto"/>
              </w:rPr>
              <w:t>with the SEC on March 1, 2013).</w:t>
            </w:r>
          </w:p>
        </w:tc>
      </w:tr>
      <w:tr>
        <w:trPr>
          <w:trHeight w:val="291"/>
        </w:trPr>
        <w:tc>
          <w:tcPr>
            <w:tcW w:w="38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1000" w:type="dxa"/>
            <w:vAlign w:val="bottom"/>
          </w:tcPr>
          <w:p>
            <w:pPr>
              <w:ind w:left="540"/>
              <w:spacing w:after="0"/>
              <w:rPr>
                <w:sz w:val="20"/>
                <w:szCs w:val="20"/>
                <w:color w:val="auto"/>
              </w:rPr>
            </w:pPr>
            <w:r>
              <w:rPr>
                <w:rFonts w:ascii="Arial" w:cs="Arial" w:eastAsia="Arial" w:hAnsi="Arial"/>
                <w:sz w:val="18"/>
                <w:szCs w:val="18"/>
                <w:color w:val="auto"/>
                <w:w w:val="87"/>
              </w:rPr>
              <w:t>Schlumberger Discounted Stock Purchase Plan, as amended and restated effective as of January 1, 2013 (incorporated by reference to Appendix B of</w:t>
            </w:r>
          </w:p>
        </w:tc>
      </w:tr>
      <w:tr>
        <w:trPr>
          <w:trHeight w:val="222"/>
        </w:trPr>
        <w:tc>
          <w:tcPr>
            <w:tcW w:w="380" w:type="dxa"/>
            <w:vAlign w:val="bottom"/>
          </w:tcPr>
          <w:p>
            <w:pPr>
              <w:spacing w:after="0"/>
              <w:rPr>
                <w:sz w:val="19"/>
                <w:szCs w:val="19"/>
                <w:color w:val="auto"/>
              </w:rPr>
            </w:pPr>
          </w:p>
        </w:tc>
        <w:tc>
          <w:tcPr>
            <w:tcW w:w="11000" w:type="dxa"/>
            <w:vAlign w:val="bottom"/>
          </w:tcPr>
          <w:p>
            <w:pPr>
              <w:ind w:left="540"/>
              <w:spacing w:after="0"/>
              <w:rPr>
                <w:sz w:val="20"/>
                <w:szCs w:val="20"/>
                <w:color w:val="auto"/>
              </w:rPr>
            </w:pPr>
            <w:r>
              <w:rPr>
                <w:rFonts w:ascii="Arial" w:cs="Arial" w:eastAsia="Arial" w:hAnsi="Arial"/>
                <w:sz w:val="18"/>
                <w:szCs w:val="18"/>
                <w:color w:val="auto"/>
              </w:rPr>
              <w:t>Schlumberger’s Definitive Proxy Statement filed with the SEC on March 1, 2013).</w:t>
            </w:r>
          </w:p>
        </w:tc>
      </w:tr>
    </w:tbl>
    <w:p>
      <w:pPr>
        <w:sectPr>
          <w:pgSz w:w="11900" w:h="16838" w:orient="portrait"/>
          <w:cols w:equalWidth="0" w:num="1">
            <w:col w:w="11420"/>
          </w:cols>
          <w:pgMar w:left="240" w:top="275" w:right="239"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9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10, 2013</w:t>
      </w:r>
    </w:p>
    <w:sectPr>
      <w:pgSz w:w="11900" w:h="16838" w:orient="portrait"/>
      <w:cols w:equalWidth="0" w:num="1">
        <w:col w:w="11000"/>
      </w:cols>
      <w:pgMar w:left="240"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2019-12-05T15:32:54Z</dcterms:created>
  <dcterms:modified xsi:type="dcterms:W3CDTF">2019-12-05T15:32:54Z</dcterms:modified>
</cp:coreProperties>
</file>