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80"/>
        <w:spacing w:after="0"/>
        <w:rPr>
          <w:sz w:val="20"/>
          <w:szCs w:val="20"/>
          <w:color w:val="auto"/>
        </w:rPr>
      </w:pPr>
      <w:r>
        <w:rPr>
          <w:rFonts w:ascii="Arial" w:cs="Arial" w:eastAsia="Arial" w:hAnsi="Arial"/>
          <w:sz w:val="14"/>
          <w:szCs w:val="14"/>
          <w:color w:val="auto"/>
        </w:rPr>
        <w:t>Filed by Schlumberger N.V. (Schlumberger Limited)</w:t>
      </w:r>
    </w:p>
    <w:p>
      <w:pPr>
        <w:ind w:left="2780"/>
        <w:spacing w:after="0" w:line="217" w:lineRule="auto"/>
        <w:rPr>
          <w:sz w:val="20"/>
          <w:szCs w:val="20"/>
          <w:color w:val="auto"/>
        </w:rPr>
      </w:pPr>
      <w:r>
        <w:rPr>
          <w:rFonts w:ascii="Arial" w:cs="Arial" w:eastAsia="Arial" w:hAnsi="Arial"/>
          <w:sz w:val="14"/>
          <w:szCs w:val="14"/>
          <w:color w:val="auto"/>
        </w:rPr>
        <w:t>Pursuant to Rule 425 of the Securities Act of 1933, as amended,</w:t>
      </w:r>
    </w:p>
    <w:p>
      <w:pPr>
        <w:ind w:left="2780" w:right="1840"/>
        <w:spacing w:after="0" w:line="237" w:lineRule="auto"/>
        <w:rPr>
          <w:sz w:val="20"/>
          <w:szCs w:val="20"/>
          <w:color w:val="auto"/>
        </w:rPr>
      </w:pPr>
      <w:r>
        <w:rPr>
          <w:rFonts w:ascii="Arial" w:cs="Arial" w:eastAsia="Arial" w:hAnsi="Arial"/>
          <w:sz w:val="14"/>
          <w:szCs w:val="14"/>
          <w:color w:val="auto"/>
        </w:rPr>
        <w:t>and deemed filed pursuant to Rule 14a-12 of the Securities Exchange Act of 1934, as amended Schlumberger N.V. (Schlumberger Limited) (File No.: 1-4601)</w:t>
      </w:r>
    </w:p>
    <w:p>
      <w:pPr>
        <w:spacing w:after="0" w:line="5" w:lineRule="exact"/>
        <w:rPr>
          <w:sz w:val="24"/>
          <w:szCs w:val="24"/>
          <w:color w:val="auto"/>
        </w:rPr>
      </w:pPr>
    </w:p>
    <w:p>
      <w:pPr>
        <w:ind w:left="2780"/>
        <w:spacing w:after="0"/>
        <w:rPr>
          <w:sz w:val="20"/>
          <w:szCs w:val="20"/>
          <w:color w:val="auto"/>
        </w:rPr>
      </w:pPr>
      <w:r>
        <w:rPr>
          <w:rFonts w:ascii="Arial" w:cs="Arial" w:eastAsia="Arial" w:hAnsi="Arial"/>
          <w:sz w:val="14"/>
          <w:szCs w:val="14"/>
          <w:color w:val="auto"/>
        </w:rPr>
        <w:t>Subject Company: Smith International, Inc. (File No: 1-8514)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spacing w:after="0" w:line="289" w:lineRule="auto"/>
        <w:rPr>
          <w:sz w:val="20"/>
          <w:szCs w:val="20"/>
          <w:color w:val="auto"/>
        </w:rPr>
      </w:pPr>
      <w:r>
        <w:rPr>
          <w:rFonts w:ascii="Arial" w:cs="Arial" w:eastAsia="Arial" w:hAnsi="Arial"/>
          <w:sz w:val="50"/>
          <w:szCs w:val="50"/>
          <w:b w:val="1"/>
          <w:bCs w:val="1"/>
          <w:color w:val="003366"/>
        </w:rPr>
        <w:t>Completions Town Hall Meeting Schlumberger &amp; Smith International Merger</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33"/>
          <w:szCs w:val="33"/>
          <w:color w:val="auto"/>
        </w:rPr>
        <w:t>May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-426720</wp:posOffset>
            </wp:positionH>
            <wp:positionV relativeFrom="paragraph">
              <wp:posOffset>1464310</wp:posOffset>
            </wp:positionV>
            <wp:extent cx="5949315" cy="542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49315" cy="542290"/>
                    </a:xfrm>
                    <a:prstGeom prst="rect">
                      <a:avLst/>
                    </a:prstGeom>
                    <a:noFill/>
                  </pic:spPr>
                </pic:pic>
              </a:graphicData>
            </a:graphic>
          </wp:anchor>
        </w:drawing>
      </w:r>
    </w:p>
    <w:p>
      <w:pPr>
        <w:sectPr>
          <w:pgSz w:w="11900" w:h="16838" w:orient="portrait"/>
          <w:cols w:equalWidth="0" w:num="1">
            <w:col w:w="10340"/>
          </w:cols>
          <w:pgMar w:left="1000" w:top="304" w:right="559" w:bottom="1440" w:gutter="0" w:footer="0" w:header="0"/>
        </w:sectPr>
      </w:pPr>
    </w:p>
    <w:bookmarkStart w:id="1" w:name="page2"/>
    <w:bookmarkEnd w:id="1"/>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Background</w:t>
      </w: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Arial" w:cs="Arial" w:eastAsia="Arial" w:hAnsi="Arial"/>
          <w:sz w:val="30"/>
          <w:szCs w:val="30"/>
          <w:b w:val="1"/>
          <w:bCs w:val="1"/>
          <w:color w:val="auto"/>
        </w:rPr>
        <w:t>Schlumberger:</w:t>
      </w:r>
      <w:r>
        <w:rPr>
          <w:rFonts w:ascii="Arial" w:cs="Arial" w:eastAsia="Arial" w:hAnsi="Arial"/>
          <w:sz w:val="30"/>
          <w:szCs w:val="30"/>
          <w:color w:val="auto"/>
        </w:rPr>
        <w:t>suppliestechnology,informationsolutionsandintegrated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-120015</wp:posOffset>
            </wp:positionV>
            <wp:extent cx="5982335" cy="3681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2335" cy="3681730"/>
                    </a:xfrm>
                    <a:prstGeom prst="rect">
                      <a:avLst/>
                    </a:prstGeom>
                    <a:noFill/>
                  </pic:spPr>
                </pic:pic>
              </a:graphicData>
            </a:graphic>
          </wp:anchor>
        </w:drawing>
      </w:r>
    </w:p>
    <w:p>
      <w:pPr>
        <w:spacing w:after="0" w:line="37" w:lineRule="exact"/>
        <w:rPr>
          <w:sz w:val="20"/>
          <w:szCs w:val="20"/>
          <w:color w:val="auto"/>
        </w:rPr>
      </w:pPr>
    </w:p>
    <w:p>
      <w:pPr>
        <w:ind w:left="400" w:right="420"/>
        <w:spacing w:after="0" w:line="266" w:lineRule="auto"/>
        <w:rPr>
          <w:sz w:val="20"/>
          <w:szCs w:val="20"/>
          <w:color w:val="auto"/>
        </w:rPr>
      </w:pPr>
      <w:r>
        <w:rPr>
          <w:rFonts w:ascii="Arial" w:cs="Arial" w:eastAsia="Arial" w:hAnsi="Arial"/>
          <w:sz w:val="30"/>
          <w:szCs w:val="30"/>
          <w:color w:val="auto"/>
        </w:rPr>
        <w:t>project management that optimize reservoir performance for customers working in the oil and gas industry</w:t>
      </w: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Arial" w:cs="Arial" w:eastAsia="Arial" w:hAnsi="Arial"/>
          <w:sz w:val="30"/>
          <w:szCs w:val="30"/>
          <w:b w:val="1"/>
          <w:bCs w:val="1"/>
          <w:color w:val="auto"/>
        </w:rPr>
        <w:t>Smith:</w:t>
      </w:r>
      <w:r>
        <w:rPr>
          <w:rFonts w:ascii="Arial" w:cs="Arial" w:eastAsia="Arial" w:hAnsi="Arial"/>
          <w:sz w:val="30"/>
          <w:szCs w:val="30"/>
          <w:color w:val="auto"/>
        </w:rPr>
        <w:t>threeoperatingsegmentsthattogetherprovidecomprehensive</w:t>
      </w:r>
    </w:p>
    <w:p>
      <w:pPr>
        <w:spacing w:after="0" w:line="57" w:lineRule="exact"/>
        <w:rPr>
          <w:sz w:val="20"/>
          <w:szCs w:val="20"/>
          <w:color w:val="auto"/>
        </w:rPr>
      </w:pPr>
    </w:p>
    <w:p>
      <w:pPr>
        <w:jc w:val="both"/>
        <w:ind w:left="400"/>
        <w:spacing w:after="0" w:line="259" w:lineRule="auto"/>
        <w:rPr>
          <w:sz w:val="20"/>
          <w:szCs w:val="20"/>
          <w:color w:val="auto"/>
        </w:rPr>
      </w:pPr>
      <w:r>
        <w:rPr>
          <w:rFonts w:ascii="Arial" w:cs="Arial" w:eastAsia="Arial" w:hAnsi="Arial"/>
          <w:sz w:val="30"/>
          <w:szCs w:val="30"/>
          <w:color w:val="auto"/>
        </w:rPr>
        <w:t>products, services and solutions that extend from the rig floor to the bit, for drilling and evaluation, and for the life of the well, through completion and production</w:t>
      </w:r>
    </w:p>
    <w:p>
      <w:pPr>
        <w:spacing w:after="0" w:line="139"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003366"/>
        </w:rPr>
        <w:t>Smith’s drilling technologies and other</w:t>
      </w:r>
    </w:p>
    <w:p>
      <w:pPr>
        <w:spacing w:after="0" w:line="43"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003366"/>
        </w:rPr>
        <w:t>products and expertise complement</w:t>
      </w:r>
    </w:p>
    <w:p>
      <w:pPr>
        <w:spacing w:after="0" w:line="6"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003366"/>
        </w:rPr>
        <w:t>Schlumberger, resulting in extended</w:t>
      </w:r>
    </w:p>
    <w:p>
      <w:pPr>
        <w:spacing w:after="0" w:line="13"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003366"/>
        </w:rPr>
        <w:t>offerings worldwide.</w:t>
      </w:r>
    </w:p>
    <w:p>
      <w:pPr>
        <w:sectPr>
          <w:pgSz w:w="11900" w:h="16838" w:orient="portrait"/>
          <w:cols w:equalWidth="0" w:num="1">
            <w:col w:w="10300"/>
          </w:cols>
          <w:pgMar w:left="520" w:top="198" w:right="1079" w:bottom="1440" w:gutter="0" w:footer="0" w:header="0"/>
        </w:sectPr>
      </w:pPr>
    </w:p>
    <w:bookmarkStart w:id="2" w:name="page3"/>
    <w:bookmarkEnd w:id="2"/>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Merger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127000</wp:posOffset>
            </wp:positionV>
            <wp:extent cx="6352540" cy="409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33"/>
          <w:szCs w:val="33"/>
          <w:color w:val="auto"/>
        </w:rPr>
        <w:t>To improve drilling performance for our customers</w:t>
      </w:r>
    </w:p>
    <w:p>
      <w:pPr>
        <w:spacing w:after="0" w:line="22" w:lineRule="exact"/>
        <w:rPr>
          <w:sz w:val="20"/>
          <w:szCs w:val="20"/>
          <w:color w:val="auto"/>
        </w:rPr>
      </w:pPr>
    </w:p>
    <w:p>
      <w:pPr>
        <w:ind w:left="700" w:right="779"/>
        <w:spacing w:after="0" w:line="263" w:lineRule="auto"/>
        <w:rPr>
          <w:sz w:val="20"/>
          <w:szCs w:val="20"/>
          <w:color w:val="auto"/>
        </w:rPr>
      </w:pPr>
      <w:r>
        <w:rPr>
          <w:rFonts w:ascii="Arial" w:cs="Arial" w:eastAsia="Arial" w:hAnsi="Arial"/>
          <w:sz w:val="28"/>
          <w:szCs w:val="28"/>
          <w:color w:val="auto"/>
        </w:rPr>
        <w:t>Optimized drilling system designs—range of drilling environments New product development—evolving</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28"/>
          <w:szCs w:val="28"/>
          <w:color w:val="auto"/>
        </w:rPr>
        <w:t>drilling challenges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28"/>
          <w:szCs w:val="28"/>
          <w:color w:val="auto"/>
        </w:rPr>
        <w:t>Improved total system reliability</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33"/>
          <w:szCs w:val="33"/>
          <w:color w:val="auto"/>
        </w:rPr>
        <w:t>Enhance completions offerings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28"/>
          <w:szCs w:val="28"/>
          <w:color w:val="auto"/>
        </w:rPr>
        <w:t>Liner Hanger Systems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28"/>
          <w:szCs w:val="28"/>
          <w:color w:val="auto"/>
        </w:rPr>
        <w:t>Liner Hangers for gas wells monc</w:t>
      </w:r>
      <w:r>
        <w:rPr>
          <w:rFonts w:ascii="Arial" w:cs="Arial" w:eastAsia="Arial" w:hAnsi="Arial"/>
          <w:sz w:val="28"/>
          <w:szCs w:val="28"/>
          <w:b w:val="1"/>
          <w:bCs w:val="1"/>
          <w:color w:val="auto"/>
        </w:rPr>
        <w:t>o</w:t>
      </w:r>
      <w:r>
        <w:rPr>
          <w:rFonts w:ascii="Arial" w:cs="Arial" w:eastAsia="Arial" w:hAnsi="Arial"/>
          <w:sz w:val="28"/>
          <w:szCs w:val="28"/>
          <w:color w:val="auto"/>
        </w:rPr>
        <w:t>borempletions</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28"/>
          <w:szCs w:val="28"/>
          <w:color w:val="auto"/>
        </w:rPr>
        <w:t>Completion Operations in US Land</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28"/>
          <w:szCs w:val="28"/>
          <w:color w:val="auto"/>
        </w:rPr>
        <w:t>Completion equipment for Multistage Fracturing</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28"/>
          <w:szCs w:val="28"/>
          <w:color w:val="auto"/>
        </w:rPr>
        <w:t>Completion equipment for selective water injection</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33"/>
          <w:szCs w:val="33"/>
          <w:color w:val="auto"/>
        </w:rPr>
        <w:t>Expand opportunities for Smith brands</w:t>
      </w:r>
    </w:p>
    <w:p>
      <w:pPr>
        <w:spacing w:after="0" w:line="22" w:lineRule="exact"/>
        <w:rPr>
          <w:sz w:val="20"/>
          <w:szCs w:val="20"/>
          <w:color w:val="auto"/>
        </w:rPr>
      </w:pPr>
    </w:p>
    <w:p>
      <w:pPr>
        <w:ind w:left="700" w:right="3099"/>
        <w:spacing w:after="0" w:line="283" w:lineRule="auto"/>
        <w:rPr>
          <w:sz w:val="20"/>
          <w:szCs w:val="20"/>
          <w:color w:val="auto"/>
        </w:rPr>
      </w:pPr>
      <w:r>
        <w:rPr>
          <w:rFonts w:ascii="Arial" w:cs="Arial" w:eastAsia="Arial" w:hAnsi="Arial"/>
          <w:sz w:val="28"/>
          <w:szCs w:val="28"/>
          <w:color w:val="auto"/>
        </w:rPr>
        <w:t>Increase access to new business opportunities Access to SLB R&amp;D</w:t>
      </w:r>
    </w:p>
    <w:p>
      <w:pPr>
        <w:sectPr>
          <w:pgSz w:w="11900" w:h="16838" w:orient="portrait"/>
          <w:cols w:equalWidth="0" w:num="1">
            <w:col w:w="9619"/>
          </w:cols>
          <w:pgMar w:left="840" w:top="198" w:right="1440" w:bottom="1440" w:gutter="0" w:footer="0" w:header="0"/>
        </w:sectPr>
      </w:pPr>
    </w:p>
    <w:bookmarkStart w:id="3" w:name="page4"/>
    <w:bookmarkEnd w:id="3"/>
    <w:p>
      <w:pPr>
        <w:spacing w:after="0"/>
        <w:rPr>
          <w:sz w:val="20"/>
          <w:szCs w:val="20"/>
          <w:color w:val="auto"/>
        </w:rPr>
      </w:pPr>
      <w:r>
        <w:rPr>
          <w:rFonts w:ascii="Arial" w:cs="Arial" w:eastAsia="Arial" w:hAnsi="Arial"/>
          <w:sz w:val="49"/>
          <w:szCs w:val="49"/>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Smith/Geoservices: Complementary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48260</wp:posOffset>
            </wp:positionV>
            <wp:extent cx="6352540" cy="409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ectPr>
          <w:pgSz w:w="11900" w:h="16838" w:orient="portrait"/>
          <w:cols w:equalWidth="0" w:num="1">
            <w:col w:w="10920"/>
          </w:cols>
          <w:pgMar w:left="840" w:top="198" w:right="1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120"/>
        <w:spacing w:after="0"/>
        <w:rPr>
          <w:sz w:val="20"/>
          <w:szCs w:val="20"/>
          <w:color w:val="auto"/>
        </w:rPr>
      </w:pPr>
      <w:r>
        <w:rPr>
          <w:rFonts w:ascii="Arial" w:cs="Arial" w:eastAsia="Arial" w:hAnsi="Arial"/>
          <w:sz w:val="30"/>
          <w:szCs w:val="30"/>
          <w:b w:val="1"/>
          <w:bCs w:val="1"/>
          <w:color w:val="auto"/>
        </w:rPr>
        <w:t>Market Positions in Drilling Sub-Segments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Arial" w:cs="Arial" w:eastAsia="Arial" w:hAnsi="Arial"/>
          <w:sz w:val="25"/>
          <w:szCs w:val="25"/>
          <w:color w:val="auto"/>
        </w:rPr>
        <w:t>Complementary offerings enable improved drilling performancelowertotalandwell cost</w:t>
      </w:r>
    </w:p>
    <w:p>
      <w:pPr>
        <w:spacing w:after="0" w:line="98" w:lineRule="exact"/>
        <w:rPr>
          <w:sz w:val="20"/>
          <w:szCs w:val="20"/>
          <w:color w:val="auto"/>
        </w:rPr>
      </w:pPr>
    </w:p>
    <w:p>
      <w:pPr>
        <w:ind w:left="300" w:right="980"/>
        <w:spacing w:after="0" w:line="253" w:lineRule="auto"/>
        <w:rPr>
          <w:sz w:val="20"/>
          <w:szCs w:val="20"/>
          <w:color w:val="auto"/>
        </w:rPr>
      </w:pPr>
      <w:r>
        <w:rPr>
          <w:rFonts w:ascii="Arial" w:cs="Arial" w:eastAsia="Arial" w:hAnsi="Arial"/>
          <w:sz w:val="25"/>
          <w:szCs w:val="25"/>
          <w:color w:val="auto"/>
        </w:rPr>
        <w:t>Bottom-hole assembly optimization comes from directional drilling, measurement-while-drilling and logging-while-drilling with drill bits and drilling tools</w:t>
      </w:r>
    </w:p>
    <w:p>
      <w:pPr>
        <w:spacing w:after="0" w:line="71" w:lineRule="exact"/>
        <w:rPr>
          <w:sz w:val="20"/>
          <w:szCs w:val="20"/>
          <w:color w:val="auto"/>
        </w:rPr>
      </w:pPr>
    </w:p>
    <w:p>
      <w:pPr>
        <w:ind w:left="300" w:right="860"/>
        <w:spacing w:after="0" w:line="262" w:lineRule="auto"/>
        <w:rPr>
          <w:sz w:val="20"/>
          <w:szCs w:val="20"/>
          <w:color w:val="auto"/>
        </w:rPr>
      </w:pPr>
      <w:r>
        <w:rPr>
          <w:rFonts w:ascii="Arial" w:cs="Arial" w:eastAsia="Arial" w:hAnsi="Arial"/>
          <w:sz w:val="25"/>
          <w:szCs w:val="25"/>
          <w:color w:val="auto"/>
        </w:rPr>
        <w:t>Borehole hydraulics optimization will be enhanced through combining DD, MWD, &amp; LWD with drill bits, drilling tools, downholemeasurements and drilling fluids</w:t>
      </w:r>
    </w:p>
    <w:p>
      <w:pPr>
        <w:sectPr>
          <w:pgSz w:w="11900" w:h="16838" w:orient="portrait"/>
          <w:cols w:equalWidth="0" w:num="1">
            <w:col w:w="10920"/>
          </w:cols>
          <w:pgMar w:left="840" w:top="198" w:right="1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Completions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127000</wp:posOffset>
            </wp:positionV>
            <wp:extent cx="6352540" cy="409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spacing w:after="0"/>
        <w:rPr>
          <w:sz w:val="20"/>
          <w:szCs w:val="20"/>
          <w:color w:val="auto"/>
        </w:rPr>
      </w:pPr>
      <w:r>
        <w:rPr>
          <w:rFonts w:ascii="Arial" w:cs="Arial" w:eastAsia="Arial" w:hAnsi="Arial"/>
          <w:sz w:val="28"/>
          <w:szCs w:val="28"/>
          <w:color w:val="auto"/>
        </w:rPr>
        <w:t>Complementary Completions offerings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28"/>
          <w:szCs w:val="28"/>
          <w:color w:val="auto"/>
        </w:rPr>
        <w:t>Smith strengths: Liner hangers; Land packers and accessories</w:t>
      </w:r>
    </w:p>
    <w:p>
      <w:pPr>
        <w:spacing w:after="0" w:line="32" w:lineRule="exact"/>
        <w:rPr>
          <w:sz w:val="20"/>
          <w:szCs w:val="20"/>
          <w:color w:val="auto"/>
        </w:rPr>
      </w:pPr>
    </w:p>
    <w:p>
      <w:pPr>
        <w:ind w:left="440" w:right="179"/>
        <w:spacing w:after="0" w:line="252" w:lineRule="auto"/>
        <w:rPr>
          <w:sz w:val="20"/>
          <w:szCs w:val="20"/>
          <w:color w:val="auto"/>
        </w:rPr>
      </w:pPr>
      <w:r>
        <w:rPr>
          <w:rFonts w:ascii="Arial" w:cs="Arial" w:eastAsia="Arial" w:hAnsi="Arial"/>
          <w:sz w:val="28"/>
          <w:szCs w:val="28"/>
          <w:color w:val="auto"/>
        </w:rPr>
        <w:t>Schlumberger strengths: Reservoir monitoring and control; Sand control; Deepwater barrier valves and packers.</w:t>
      </w:r>
    </w:p>
    <w:p>
      <w:pPr>
        <w:sectPr>
          <w:pgSz w:w="11900" w:h="16838" w:orient="portrait"/>
          <w:cols w:equalWidth="0" w:num="1">
            <w:col w:w="9619"/>
          </w:cols>
          <w:pgMar w:left="840" w:top="198" w:right="1440" w:bottom="1440" w:gutter="0" w:footer="0" w:header="0"/>
        </w:sectPr>
      </w:pPr>
    </w:p>
    <w:bookmarkStart w:id="5" w:name="page6"/>
    <w:bookmarkEnd w:id="5"/>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Merger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127000</wp:posOffset>
            </wp:positionV>
            <wp:extent cx="6352540" cy="4091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Arial" w:cs="Arial" w:eastAsia="Arial" w:hAnsi="Arial"/>
          <w:sz w:val="28"/>
          <w:szCs w:val="28"/>
          <w:color w:val="auto"/>
        </w:rPr>
        <w:t>Complementary geographic footprint</w:t>
      </w:r>
    </w:p>
    <w:p>
      <w:pPr>
        <w:spacing w:after="0" w:line="42" w:lineRule="exact"/>
        <w:rPr>
          <w:sz w:val="20"/>
          <w:szCs w:val="20"/>
          <w:color w:val="auto"/>
        </w:rPr>
      </w:pPr>
    </w:p>
    <w:p>
      <w:pPr>
        <w:ind w:left="760"/>
        <w:spacing w:after="0" w:line="244" w:lineRule="auto"/>
        <w:rPr>
          <w:sz w:val="20"/>
          <w:szCs w:val="20"/>
          <w:color w:val="auto"/>
        </w:rPr>
      </w:pPr>
      <w:r>
        <w:rPr>
          <w:rFonts w:ascii="Arial" w:cs="Arial" w:eastAsia="Arial" w:hAnsi="Arial"/>
          <w:sz w:val="28"/>
          <w:szCs w:val="28"/>
          <w:color w:val="auto"/>
        </w:rPr>
        <w:t>Smith Completions operate primarily in countries where Schlumberger has very limited presence, i.e., US Land, Argentina, Algeria</w:t>
      </w:r>
    </w:p>
    <w:p>
      <w:pPr>
        <w:sectPr>
          <w:pgSz w:w="11900" w:h="16838" w:orient="portrait"/>
          <w:cols w:equalWidth="0" w:num="1">
            <w:col w:w="10620"/>
          </w:cols>
          <w:pgMar w:left="840" w:top="198" w:right="439" w:bottom="1440" w:gutter="0" w:footer="0" w:header="0"/>
        </w:sectPr>
      </w:pPr>
    </w:p>
    <w:bookmarkStart w:id="6" w:name="page7"/>
    <w:bookmarkEnd w:id="6"/>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Integration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40640</wp:posOffset>
            </wp:positionV>
            <wp:extent cx="6352540" cy="4091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5080" w:type="dxa"/>
            <w:vAlign w:val="bottom"/>
          </w:tcPr>
          <w:p>
            <w:pPr>
              <w:spacing w:after="0"/>
              <w:rPr>
                <w:sz w:val="20"/>
                <w:szCs w:val="20"/>
                <w:color w:val="auto"/>
              </w:rPr>
            </w:pPr>
            <w:r>
              <w:rPr>
                <w:rFonts w:ascii="Arial" w:cs="Arial" w:eastAsia="Arial" w:hAnsi="Arial"/>
                <w:sz w:val="28"/>
                <w:szCs w:val="28"/>
                <w:b w:val="1"/>
                <w:bCs w:val="1"/>
                <w:color w:val="336699"/>
              </w:rPr>
              <w:t>Sign</w:t>
            </w:r>
          </w:p>
        </w:tc>
        <w:tc>
          <w:tcPr>
            <w:tcW w:w="14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28"/>
                <w:szCs w:val="28"/>
                <w:b w:val="1"/>
                <w:bCs w:val="1"/>
                <w:color w:val="336699"/>
              </w:rPr>
              <w:t>Close</w:t>
            </w:r>
          </w:p>
        </w:tc>
        <w:tc>
          <w:tcPr>
            <w:tcW w:w="0" w:type="dxa"/>
            <w:vAlign w:val="bottom"/>
          </w:tcPr>
          <w:p>
            <w:pPr>
              <w:spacing w:after="0"/>
              <w:rPr>
                <w:sz w:val="1"/>
                <w:szCs w:val="1"/>
                <w:color w:val="auto"/>
              </w:rPr>
            </w:pPr>
          </w:p>
        </w:tc>
      </w:tr>
      <w:tr>
        <w:trPr>
          <w:trHeight w:val="442"/>
        </w:trPr>
        <w:tc>
          <w:tcPr>
            <w:tcW w:w="5080" w:type="dxa"/>
            <w:vAlign w:val="bottom"/>
          </w:tcPr>
          <w:p>
            <w:pPr>
              <w:ind w:left="3040"/>
              <w:spacing w:after="0"/>
              <w:rPr>
                <w:sz w:val="20"/>
                <w:szCs w:val="20"/>
                <w:color w:val="auto"/>
              </w:rPr>
            </w:pPr>
            <w:r>
              <w:rPr>
                <w:rFonts w:ascii="Arial" w:cs="Arial" w:eastAsia="Arial" w:hAnsi="Arial"/>
                <w:sz w:val="22"/>
                <w:szCs w:val="22"/>
                <w:b w:val="1"/>
                <w:bCs w:val="1"/>
                <w:color w:val="auto"/>
              </w:rPr>
              <w:t>Strategic</w:t>
            </w:r>
          </w:p>
        </w:tc>
        <w:tc>
          <w:tcPr>
            <w:tcW w:w="1420" w:type="dxa"/>
            <w:vAlign w:val="bottom"/>
          </w:tcPr>
          <w:p>
            <w:pPr>
              <w:ind w:left="500"/>
              <w:spacing w:after="0"/>
              <w:rPr>
                <w:sz w:val="20"/>
                <w:szCs w:val="20"/>
                <w:color w:val="auto"/>
              </w:rPr>
            </w:pPr>
            <w:r>
              <w:rPr>
                <w:rFonts w:ascii="Arial" w:cs="Arial" w:eastAsia="Arial" w:hAnsi="Arial"/>
                <w:sz w:val="22"/>
                <w:szCs w:val="22"/>
                <w:b w:val="1"/>
                <w:bCs w:val="1"/>
                <w:color w:val="auto"/>
              </w:rPr>
              <w:t>Detailed</w:t>
            </w:r>
          </w:p>
        </w:tc>
        <w:tc>
          <w:tcPr>
            <w:tcW w:w="2240" w:type="dxa"/>
            <w:vAlign w:val="bottom"/>
            <w:vMerge w:val="restart"/>
          </w:tcPr>
          <w:p>
            <w:pPr>
              <w:ind w:left="1200"/>
              <w:spacing w:after="0"/>
              <w:rPr>
                <w:sz w:val="20"/>
                <w:szCs w:val="20"/>
                <w:color w:val="auto"/>
              </w:rPr>
            </w:pPr>
            <w:r>
              <w:rPr>
                <w:rFonts w:ascii="Arial" w:cs="Arial" w:eastAsia="Arial" w:hAnsi="Arial"/>
                <w:sz w:val="22"/>
                <w:szCs w:val="22"/>
                <w:b w:val="1"/>
                <w:bCs w:val="1"/>
                <w:color w:val="auto"/>
                <w:w w:val="96"/>
              </w:rPr>
              <w:t>Execution</w:t>
            </w:r>
          </w:p>
        </w:tc>
        <w:tc>
          <w:tcPr>
            <w:tcW w:w="0" w:type="dxa"/>
            <w:vAlign w:val="bottom"/>
          </w:tcPr>
          <w:p>
            <w:pPr>
              <w:spacing w:after="0"/>
              <w:rPr>
                <w:sz w:val="1"/>
                <w:szCs w:val="1"/>
                <w:color w:val="auto"/>
              </w:rPr>
            </w:pPr>
          </w:p>
        </w:tc>
      </w:tr>
      <w:tr>
        <w:trPr>
          <w:trHeight w:val="207"/>
        </w:trPr>
        <w:tc>
          <w:tcPr>
            <w:tcW w:w="5080" w:type="dxa"/>
            <w:vAlign w:val="bottom"/>
            <w:vMerge w:val="restart"/>
          </w:tcPr>
          <w:p>
            <w:pPr>
              <w:ind w:left="2640"/>
              <w:spacing w:after="0"/>
              <w:rPr>
                <w:sz w:val="20"/>
                <w:szCs w:val="20"/>
                <w:color w:val="auto"/>
              </w:rPr>
            </w:pPr>
            <w:r>
              <w:rPr>
                <w:rFonts w:ascii="Arial" w:cs="Arial" w:eastAsia="Arial" w:hAnsi="Arial"/>
                <w:sz w:val="22"/>
                <w:szCs w:val="22"/>
                <w:b w:val="1"/>
                <w:bCs w:val="1"/>
                <w:color w:val="auto"/>
              </w:rPr>
              <w:t>Recommendations</w:t>
            </w:r>
          </w:p>
        </w:tc>
        <w:tc>
          <w:tcPr>
            <w:tcW w:w="1420" w:type="dxa"/>
            <w:vAlign w:val="bottom"/>
            <w:vMerge w:val="restart"/>
          </w:tcPr>
          <w:p>
            <w:pPr>
              <w:ind w:left="480"/>
              <w:spacing w:after="0"/>
              <w:rPr>
                <w:sz w:val="20"/>
                <w:szCs w:val="20"/>
                <w:color w:val="auto"/>
              </w:rPr>
            </w:pPr>
            <w:r>
              <w:rPr>
                <w:rFonts w:ascii="Arial" w:cs="Arial" w:eastAsia="Arial" w:hAnsi="Arial"/>
                <w:sz w:val="22"/>
                <w:szCs w:val="22"/>
                <w:b w:val="1"/>
                <w:bCs w:val="1"/>
                <w:color w:val="auto"/>
                <w:w w:val="98"/>
              </w:rPr>
              <w:t>Planning</w:t>
            </w: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0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000"/>
        <w:spacing w:after="0" w:line="264" w:lineRule="auto"/>
        <w:rPr>
          <w:sz w:val="20"/>
          <w:szCs w:val="20"/>
          <w:color w:val="auto"/>
        </w:rPr>
      </w:pPr>
      <w:r>
        <w:rPr>
          <w:rFonts w:ascii="Arial" w:cs="Arial" w:eastAsia="Arial" w:hAnsi="Arial"/>
          <w:sz w:val="33"/>
          <w:szCs w:val="33"/>
          <w:color w:val="auto"/>
        </w:rPr>
        <w:t>To facilitate this integration, the following groups are in place comprised of equal representation from Schlumberger and Smith:</w:t>
      </w:r>
    </w:p>
    <w:p>
      <w:pPr>
        <w:spacing w:after="0" w:line="215" w:lineRule="exact"/>
        <w:rPr>
          <w:sz w:val="20"/>
          <w:szCs w:val="20"/>
          <w:color w:val="auto"/>
        </w:rPr>
      </w:pPr>
    </w:p>
    <w:p>
      <w:pPr>
        <w:ind w:left="1940"/>
        <w:spacing w:after="0"/>
        <w:rPr>
          <w:sz w:val="20"/>
          <w:szCs w:val="20"/>
          <w:color w:val="auto"/>
        </w:rPr>
      </w:pPr>
      <w:r>
        <w:rPr>
          <w:rFonts w:ascii="Arial" w:cs="Arial" w:eastAsia="Arial" w:hAnsi="Arial"/>
          <w:sz w:val="36"/>
          <w:szCs w:val="36"/>
          <w:b w:val="1"/>
          <w:bCs w:val="1"/>
          <w:color w:val="002060"/>
        </w:rPr>
        <w:t>Executive Steering Committee (ESC)</w:t>
      </w:r>
    </w:p>
    <w:p>
      <w:pPr>
        <w:spacing w:after="0" w:line="107" w:lineRule="exact"/>
        <w:rPr>
          <w:sz w:val="20"/>
          <w:szCs w:val="20"/>
          <w:color w:val="auto"/>
        </w:rPr>
      </w:pPr>
    </w:p>
    <w:p>
      <w:pPr>
        <w:ind w:left="1920"/>
        <w:spacing w:after="0"/>
        <w:rPr>
          <w:sz w:val="20"/>
          <w:szCs w:val="20"/>
          <w:color w:val="auto"/>
        </w:rPr>
      </w:pPr>
      <w:r>
        <w:rPr>
          <w:rFonts w:ascii="Arial" w:cs="Arial" w:eastAsia="Arial" w:hAnsi="Arial"/>
          <w:sz w:val="36"/>
          <w:szCs w:val="36"/>
          <w:b w:val="1"/>
          <w:bCs w:val="1"/>
          <w:color w:val="002060"/>
        </w:rPr>
        <w:t>Integration Management Office (IMO)</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36"/>
          <w:szCs w:val="36"/>
          <w:b w:val="1"/>
          <w:bCs w:val="1"/>
          <w:color w:val="002060"/>
        </w:rPr>
        <w:t>Integration Teams</w:t>
      </w:r>
    </w:p>
    <w:p>
      <w:pPr>
        <w:sectPr>
          <w:pgSz w:w="11900" w:h="16838" w:orient="portrait"/>
          <w:cols w:equalWidth="0" w:num="1">
            <w:col w:w="10680"/>
          </w:cols>
          <w:pgMar w:left="840" w:top="198" w:right="379" w:bottom="1440" w:gutter="0" w:footer="0" w:header="0"/>
        </w:sectPr>
      </w:pPr>
    </w:p>
    <w:bookmarkStart w:id="7" w:name="page8"/>
    <w:bookmarkEnd w:id="7"/>
    <w:p>
      <w:pPr>
        <w:spacing w:after="0"/>
        <w:rPr>
          <w:sz w:val="20"/>
          <w:szCs w:val="20"/>
          <w:color w:val="auto"/>
        </w:rPr>
      </w:pPr>
      <w:r>
        <w:rPr>
          <w:rFonts w:ascii="Arial" w:cs="Arial" w:eastAsia="Arial" w:hAnsi="Arial"/>
          <w:sz w:val="49"/>
          <w:szCs w:val="49"/>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Integration Team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54610</wp:posOffset>
            </wp:positionV>
            <wp:extent cx="6352540" cy="4091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ectPr>
          <w:pgSz w:w="11900" w:h="16838" w:orient="portrait"/>
          <w:cols w:equalWidth="0" w:num="1">
            <w:col w:w="9619"/>
          </w:cols>
          <w:pgMar w:left="840" w:top="1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right="4059"/>
        <w:spacing w:after="0" w:line="264" w:lineRule="auto"/>
        <w:rPr>
          <w:sz w:val="20"/>
          <w:szCs w:val="20"/>
          <w:color w:val="auto"/>
        </w:rPr>
      </w:pPr>
      <w:r>
        <w:rPr>
          <w:rFonts w:ascii="Arial" w:cs="Arial" w:eastAsia="Arial" w:hAnsi="Arial"/>
          <w:sz w:val="33"/>
          <w:szCs w:val="33"/>
          <w:color w:val="auto"/>
        </w:rPr>
        <w:t>Process for decision-making based on “best of the best”approach</w:t>
      </w:r>
    </w:p>
    <w:p>
      <w:pPr>
        <w:spacing w:after="0" w:line="200" w:lineRule="exact"/>
        <w:rPr>
          <w:sz w:val="20"/>
          <w:szCs w:val="20"/>
          <w:color w:val="auto"/>
        </w:rPr>
      </w:pPr>
    </w:p>
    <w:p>
      <w:pPr>
        <w:spacing w:after="0" w:line="329" w:lineRule="exact"/>
        <w:rPr>
          <w:sz w:val="20"/>
          <w:szCs w:val="20"/>
          <w:color w:val="auto"/>
        </w:rPr>
      </w:pPr>
    </w:p>
    <w:p>
      <w:pPr>
        <w:ind w:left="380" w:right="4179"/>
        <w:spacing w:after="0" w:line="264" w:lineRule="auto"/>
        <w:rPr>
          <w:sz w:val="20"/>
          <w:szCs w:val="20"/>
          <w:color w:val="auto"/>
        </w:rPr>
      </w:pPr>
      <w:r>
        <w:rPr>
          <w:rFonts w:ascii="Arial" w:cs="Arial" w:eastAsia="Arial" w:hAnsi="Arial"/>
          <w:sz w:val="33"/>
          <w:szCs w:val="33"/>
          <w:color w:val="auto"/>
        </w:rPr>
        <w:t>To define a detailed organizational model post-closing</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Arial" w:cs="Arial" w:eastAsia="Arial" w:hAnsi="Arial"/>
          <w:sz w:val="33"/>
          <w:szCs w:val="33"/>
          <w:color w:val="auto"/>
        </w:rPr>
        <w:t>To define financial reporting</w:t>
      </w: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33"/>
          <w:szCs w:val="33"/>
          <w:color w:val="auto"/>
        </w:rPr>
        <w:t>To ensure a smooth transition</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33"/>
          <w:szCs w:val="33"/>
          <w:color w:val="auto"/>
        </w:rPr>
        <w:t>process</w:t>
      </w:r>
    </w:p>
    <w:p>
      <w:pPr>
        <w:sectPr>
          <w:pgSz w:w="11900" w:h="16838" w:orient="portrait"/>
          <w:cols w:equalWidth="0" w:num="1">
            <w:col w:w="9619"/>
          </w:cols>
          <w:pgMar w:left="840" w:top="198"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Integration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47625</wp:posOffset>
            </wp:positionV>
            <wp:extent cx="6352540" cy="4091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 w:right="1140"/>
        <w:spacing w:after="0" w:line="270" w:lineRule="auto"/>
        <w:rPr>
          <w:sz w:val="20"/>
          <w:szCs w:val="20"/>
          <w:color w:val="auto"/>
        </w:rPr>
      </w:pPr>
      <w:r>
        <w:rPr>
          <w:rFonts w:ascii="Arial" w:cs="Arial" w:eastAsia="Arial" w:hAnsi="Arial"/>
          <w:sz w:val="33"/>
          <w:szCs w:val="33"/>
          <w:color w:val="auto"/>
        </w:rPr>
        <w:t>Integration team and process are focused on addressing your questions/concerns</w:t>
      </w:r>
    </w:p>
    <w:p>
      <w:pPr>
        <w:spacing w:after="0" w:line="200" w:lineRule="exact"/>
        <w:rPr>
          <w:sz w:val="20"/>
          <w:szCs w:val="20"/>
          <w:color w:val="auto"/>
        </w:rPr>
      </w:pPr>
    </w:p>
    <w:p>
      <w:pPr>
        <w:spacing w:after="0" w:line="310" w:lineRule="exact"/>
        <w:rPr>
          <w:sz w:val="20"/>
          <w:szCs w:val="20"/>
          <w:color w:val="auto"/>
        </w:rPr>
      </w:pPr>
    </w:p>
    <w:p>
      <w:pPr>
        <w:ind w:left="380"/>
        <w:spacing w:after="0" w:line="270" w:lineRule="auto"/>
        <w:rPr>
          <w:sz w:val="20"/>
          <w:szCs w:val="20"/>
          <w:color w:val="auto"/>
        </w:rPr>
      </w:pPr>
      <w:r>
        <w:rPr>
          <w:rFonts w:ascii="Arial" w:cs="Arial" w:eastAsia="Arial" w:hAnsi="Arial"/>
          <w:sz w:val="33"/>
          <w:szCs w:val="33"/>
          <w:color w:val="auto"/>
        </w:rPr>
        <w:t>Commitment to continuous communications (subject to the limitations imposed by the regulatory approval processes)</w:t>
      </w:r>
    </w:p>
    <w:p>
      <w:pPr>
        <w:spacing w:after="0" w:line="200" w:lineRule="exact"/>
        <w:rPr>
          <w:sz w:val="20"/>
          <w:szCs w:val="20"/>
          <w:color w:val="auto"/>
        </w:rPr>
      </w:pPr>
    </w:p>
    <w:p>
      <w:pPr>
        <w:spacing w:after="0" w:line="310" w:lineRule="exact"/>
        <w:rPr>
          <w:sz w:val="20"/>
          <w:szCs w:val="20"/>
          <w:color w:val="auto"/>
        </w:rPr>
      </w:pPr>
    </w:p>
    <w:p>
      <w:pPr>
        <w:ind w:left="380"/>
        <w:spacing w:after="0"/>
        <w:rPr>
          <w:sz w:val="20"/>
          <w:szCs w:val="20"/>
          <w:color w:val="auto"/>
        </w:rPr>
      </w:pPr>
      <w:r>
        <w:rPr>
          <w:rFonts w:ascii="Arial" w:cs="Arial" w:eastAsia="Arial" w:hAnsi="Arial"/>
          <w:sz w:val="33"/>
          <w:szCs w:val="33"/>
          <w:color w:val="auto"/>
        </w:rPr>
        <w:t>Legal guidelines must be followed in each phase of integration</w:t>
      </w: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33"/>
          <w:szCs w:val="33"/>
          <w:color w:val="auto"/>
        </w:rPr>
        <w:t>Some information may not be available until post-merger</w:t>
      </w:r>
    </w:p>
    <w:p>
      <w:pPr>
        <w:sectPr>
          <w:pgSz w:w="11900" w:h="16838" w:orient="portrait"/>
          <w:cols w:equalWidth="0" w:num="1">
            <w:col w:w="10600"/>
          </w:cols>
          <w:pgMar w:left="840" w:top="198" w:right="459" w:bottom="1440" w:gutter="0" w:footer="0" w:header="0"/>
        </w:sectPr>
      </w:pPr>
    </w:p>
    <w:bookmarkStart w:id="9" w:name="page10"/>
    <w:bookmarkEnd w:id="9"/>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Integration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40640</wp:posOffset>
            </wp:positionV>
            <wp:extent cx="6352540" cy="4091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33"/>
          <w:szCs w:val="33"/>
          <w:b w:val="1"/>
          <w:bCs w:val="1"/>
          <w:color w:val="auto"/>
        </w:rPr>
        <w:t>Pre-Merger</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33"/>
          <w:szCs w:val="33"/>
          <w:color w:val="auto"/>
        </w:rPr>
        <w:t>Business as usual until merger closes</w:t>
      </w:r>
    </w:p>
    <w:p>
      <w:pPr>
        <w:spacing w:after="0" w:line="58" w:lineRule="exact"/>
        <w:rPr>
          <w:sz w:val="20"/>
          <w:szCs w:val="20"/>
          <w:color w:val="auto"/>
        </w:rPr>
      </w:pPr>
    </w:p>
    <w:p>
      <w:pPr>
        <w:ind w:left="520" w:right="3559"/>
        <w:spacing w:after="0" w:line="244" w:lineRule="auto"/>
        <w:rPr>
          <w:sz w:val="20"/>
          <w:szCs w:val="20"/>
          <w:color w:val="auto"/>
        </w:rPr>
      </w:pPr>
      <w:r>
        <w:rPr>
          <w:rFonts w:ascii="Arial" w:cs="Arial" w:eastAsia="Arial" w:hAnsi="Arial"/>
          <w:sz w:val="33"/>
          <w:szCs w:val="33"/>
          <w:color w:val="auto"/>
        </w:rPr>
        <w:t>Both companies remain separate and independent</w:t>
      </w:r>
    </w:p>
    <w:p>
      <w:pPr>
        <w:spacing w:after="0" w:line="200" w:lineRule="exact"/>
        <w:rPr>
          <w:sz w:val="20"/>
          <w:szCs w:val="20"/>
          <w:color w:val="auto"/>
        </w:rPr>
      </w:pPr>
    </w:p>
    <w:p>
      <w:pPr>
        <w:spacing w:after="0" w:line="236" w:lineRule="exact"/>
        <w:rPr>
          <w:sz w:val="20"/>
          <w:szCs w:val="20"/>
          <w:color w:val="auto"/>
        </w:rPr>
      </w:pPr>
    </w:p>
    <w:p>
      <w:pPr>
        <w:ind w:left="520" w:right="3559" w:hanging="499"/>
        <w:spacing w:after="0" w:line="293" w:lineRule="auto"/>
        <w:rPr>
          <w:sz w:val="20"/>
          <w:szCs w:val="20"/>
          <w:color w:val="auto"/>
        </w:rPr>
      </w:pPr>
      <w:r>
        <w:rPr>
          <w:rFonts w:ascii="Arial" w:cs="Arial" w:eastAsia="Arial" w:hAnsi="Arial"/>
          <w:sz w:val="33"/>
          <w:szCs w:val="33"/>
          <w:b w:val="1"/>
          <w:bCs w:val="1"/>
          <w:color w:val="auto"/>
        </w:rPr>
        <w:t xml:space="preserve">Not to be Discussed until Post-Merger </w:t>
      </w:r>
      <w:r>
        <w:rPr>
          <w:rFonts w:ascii="Arial" w:cs="Arial" w:eastAsia="Arial" w:hAnsi="Arial"/>
          <w:sz w:val="33"/>
          <w:szCs w:val="33"/>
          <w:color w:val="auto"/>
        </w:rPr>
        <w:t>Pricing information</w:t>
      </w:r>
    </w:p>
    <w:p>
      <w:pPr>
        <w:ind w:left="520"/>
        <w:spacing w:after="0"/>
        <w:rPr>
          <w:sz w:val="20"/>
          <w:szCs w:val="20"/>
          <w:color w:val="auto"/>
        </w:rPr>
      </w:pPr>
      <w:r>
        <w:rPr>
          <w:rFonts w:ascii="Arial" w:cs="Arial" w:eastAsia="Arial" w:hAnsi="Arial"/>
          <w:sz w:val="33"/>
          <w:szCs w:val="33"/>
          <w:color w:val="auto"/>
        </w:rPr>
        <w:t>Customer details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33"/>
          <w:szCs w:val="33"/>
          <w:color w:val="auto"/>
        </w:rPr>
        <w:t>R&amp;D plans / new products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33"/>
          <w:szCs w:val="33"/>
          <w:color w:val="auto"/>
        </w:rPr>
        <w:t>Sales &amp; Marketing policies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33"/>
          <w:szCs w:val="33"/>
          <w:color w:val="auto"/>
        </w:rPr>
        <w:t>…..</w:t>
      </w:r>
    </w:p>
    <w:p>
      <w:pPr>
        <w:sectPr>
          <w:pgSz w:w="11900" w:h="16838" w:orient="portrait"/>
          <w:cols w:equalWidth="0" w:num="1">
            <w:col w:w="9619"/>
          </w:cols>
          <w:pgMar w:left="840" w:top="198" w:right="1440" w:bottom="1440" w:gutter="0" w:footer="0" w:header="0"/>
        </w:sectPr>
      </w:pPr>
    </w:p>
    <w:bookmarkStart w:id="10" w:name="page11"/>
    <w:bookmarkEnd w:id="10"/>
    <w:p>
      <w:pPr>
        <w:spacing w:after="0"/>
        <w:rPr>
          <w:sz w:val="20"/>
          <w:szCs w:val="20"/>
          <w:color w:val="auto"/>
        </w:rPr>
      </w:pPr>
      <w:r>
        <w:rPr>
          <w:rFonts w:ascii="Arial" w:cs="Arial" w:eastAsia="Arial" w:hAnsi="Arial"/>
          <w:sz w:val="50"/>
          <w:szCs w:val="50"/>
          <w:b w:val="1"/>
          <w:bCs w:val="1"/>
          <w:color w:val="003366"/>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How Does This Merger Affect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47625</wp:posOffset>
            </wp:positionV>
            <wp:extent cx="6352540" cy="4091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2540" cy="409194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Merged Organization Structure</w:t>
      </w:r>
    </w:p>
    <w:p>
      <w:pPr>
        <w:spacing w:after="0" w:line="191" w:lineRule="exact"/>
        <w:rPr>
          <w:sz w:val="20"/>
          <w:szCs w:val="20"/>
          <w:color w:val="auto"/>
        </w:rPr>
      </w:pPr>
    </w:p>
    <w:p>
      <w:pPr>
        <w:ind w:left="280" w:right="560"/>
        <w:spacing w:after="0" w:line="262" w:lineRule="auto"/>
        <w:rPr>
          <w:sz w:val="20"/>
          <w:szCs w:val="20"/>
          <w:color w:val="auto"/>
        </w:rPr>
      </w:pPr>
      <w:r>
        <w:rPr>
          <w:rFonts w:ascii="Arial" w:cs="Arial" w:eastAsia="Arial" w:hAnsi="Arial"/>
          <w:sz w:val="36"/>
          <w:szCs w:val="36"/>
          <w:color w:val="auto"/>
        </w:rPr>
        <w:t>Smith International Inc. will not be a separate business unit of Schlumberger</w:t>
      </w:r>
    </w:p>
    <w:p>
      <w:pPr>
        <w:spacing w:after="0" w:line="96" w:lineRule="exact"/>
        <w:rPr>
          <w:sz w:val="20"/>
          <w:szCs w:val="20"/>
          <w:color w:val="auto"/>
        </w:rPr>
      </w:pPr>
    </w:p>
    <w:p>
      <w:pPr>
        <w:ind w:left="280"/>
        <w:spacing w:after="0" w:line="339" w:lineRule="auto"/>
        <w:rPr>
          <w:sz w:val="20"/>
          <w:szCs w:val="20"/>
          <w:color w:val="auto"/>
        </w:rPr>
      </w:pPr>
      <w:r>
        <w:rPr>
          <w:rFonts w:ascii="Arial" w:cs="Arial" w:eastAsia="Arial" w:hAnsi="Arial"/>
          <w:sz w:val="36"/>
          <w:szCs w:val="36"/>
          <w:color w:val="auto"/>
        </w:rPr>
        <w:t>Smith brand names have high market value and will be protected No plans to divest any part of Smith International Inc. “Best of the Best”approach will be applied</w:t>
      </w:r>
    </w:p>
    <w:p>
      <w:pPr>
        <w:sectPr>
          <w:pgSz w:w="11900" w:h="16838" w:orient="portrait"/>
          <w:cols w:equalWidth="0" w:num="1">
            <w:col w:w="10760"/>
          </w:cols>
          <w:pgMar w:left="840" w:top="198" w:right="29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128905</wp:posOffset>
            </wp:positionH>
            <wp:positionV relativeFrom="page">
              <wp:posOffset>88900</wp:posOffset>
            </wp:positionV>
            <wp:extent cx="73164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Forward-Looking Statements</w:t>
      </w:r>
    </w:p>
    <w:p>
      <w:pPr>
        <w:spacing w:after="0" w:line="70"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The attached presentation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w:t>
      </w:r>
      <w:r>
        <w:rPr>
          <w:rFonts w:ascii="Arial" w:cs="Arial" w:eastAsia="Arial" w:hAnsi="Arial"/>
          <w:sz w:val="12"/>
          <w:szCs w:val="12"/>
          <w:u w:val="single" w:color="auto"/>
          <w:color w:val="auto"/>
        </w:rPr>
        <w:t>http://www.sec.gov</w:t>
      </w:r>
      <w:r>
        <w:rPr>
          <w:rFonts w:ascii="Arial" w:cs="Arial" w:eastAsia="Arial" w:hAnsi="Arial"/>
          <w:sz w:val="12"/>
          <w:szCs w:val="12"/>
          <w:color w:val="auto"/>
        </w:rPr>
        <w:t>). Actual results may differ materially from those expected, estimated or projected.</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Forward-looking statements speak only as of the date they are made, and we undertake no obligation to publicly update or revise any of them in light of new information, future events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70" w:lineRule="exact"/>
        <w:rPr>
          <w:sz w:val="20"/>
          <w:szCs w:val="20"/>
          <w:color w:val="auto"/>
        </w:rPr>
      </w:pPr>
    </w:p>
    <w:p>
      <w:pPr>
        <w:ind w:right="60"/>
        <w:spacing w:after="0" w:line="299" w:lineRule="auto"/>
        <w:rPr>
          <w:sz w:val="20"/>
          <w:szCs w:val="20"/>
          <w:color w:val="auto"/>
        </w:rPr>
      </w:pPr>
      <w:r>
        <w:rPr>
          <w:rFonts w:ascii="Arial" w:cs="Arial" w:eastAsia="Arial" w:hAnsi="Arial"/>
          <w:sz w:val="12"/>
          <w:szCs w:val="12"/>
          <w:color w:val="auto"/>
        </w:rPr>
        <w:t xml:space="preserve">Schlumberger has filed with the Securities and Exchange Commission a registration statement on Form S-4 containing a preliminary proxy statement/prospectus of Schlumberger and Smith and other documents related to the proposed transaction. STOCKHOLDERS ARE URGED TO READ THE DEFINITIVE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t>
      </w:r>
      <w:r>
        <w:rPr>
          <w:rFonts w:ascii="Arial" w:cs="Arial" w:eastAsia="Arial" w:hAnsi="Arial"/>
          <w:sz w:val="12"/>
          <w:szCs w:val="12"/>
          <w:u w:val="single" w:color="auto"/>
          <w:color w:val="auto"/>
        </w:rPr>
        <w:t>www.sec.gov</w:t>
      </w:r>
      <w:r>
        <w:rPr>
          <w:rFonts w:ascii="Arial" w:cs="Arial" w:eastAsia="Arial" w:hAnsi="Arial"/>
          <w:sz w:val="12"/>
          <w:szCs w:val="12"/>
          <w:color w:val="auto"/>
        </w:rPr>
        <w:t xml:space="preserve">. In addition, such materials (and all other documents filed with the SEC) will be available free of charge at </w:t>
      </w:r>
      <w:r>
        <w:rPr>
          <w:rFonts w:ascii="Arial" w:cs="Arial" w:eastAsia="Arial" w:hAnsi="Arial"/>
          <w:sz w:val="12"/>
          <w:szCs w:val="12"/>
          <w:u w:val="single" w:color="auto"/>
          <w:color w:val="auto"/>
        </w:rPr>
        <w:t>www.smith.com</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www.slb.com</w:t>
      </w:r>
      <w:r>
        <w:rPr>
          <w:rFonts w:ascii="Arial" w:cs="Arial" w:eastAsia="Arial" w:hAnsi="Arial"/>
          <w:sz w:val="12"/>
          <w:szCs w:val="12"/>
          <w:color w:val="auto"/>
        </w:rPr>
        <w:t>.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254" w:lineRule="exact"/>
        <w:rPr>
          <w:sz w:val="20"/>
          <w:szCs w:val="20"/>
          <w:color w:val="auto"/>
        </w:rPr>
      </w:pPr>
    </w:p>
    <w:p>
      <w:pPr>
        <w:ind w:right="320"/>
        <w:spacing w:after="0" w:line="309" w:lineRule="auto"/>
        <w:rPr>
          <w:sz w:val="20"/>
          <w:szCs w:val="20"/>
          <w:color w:val="auto"/>
        </w:rPr>
      </w:pPr>
      <w:r>
        <w:rPr>
          <w:rFonts w:ascii="Arial" w:cs="Arial" w:eastAsia="Arial" w:hAnsi="Arial"/>
          <w:sz w:val="12"/>
          <w:szCs w:val="12"/>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definitive proxy statement/prospectus and other relevant materials when they become available.</w:t>
      </w:r>
    </w:p>
    <w:sectPr>
      <w:pgSz w:w="11900" w:h="16838" w:orient="portrait"/>
      <w:cols w:equalWidth="0" w:num="1">
        <w:col w:w="11460"/>
      </w:cols>
      <w:pgMar w:left="220" w:top="2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2019-12-20T19:07:29Z</dcterms:created>
  <dcterms:modified xsi:type="dcterms:W3CDTF">2019-12-20T19:07:29Z</dcterms:modified>
</cp:coreProperties>
</file>