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313690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NAUTICUS ROBOTICS,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63911H 108</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9, 2022</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200660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ind w:left="624" w:hanging="377"/>
        <w:spacing w:after="0"/>
        <w:tabs>
          <w:tab w:leader="none" w:pos="6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Schlumberger N.V. (Schlumberger Limited)</w:t>
      </w:r>
    </w:p>
    <w:p>
      <w:pPr>
        <w:spacing w:after="0" w:line="36" w:lineRule="exact"/>
        <w:rPr>
          <w:sz w:val="20"/>
          <w:szCs w:val="20"/>
          <w:color w:val="auto"/>
        </w:rPr>
      </w:pPr>
    </w:p>
    <w:p>
      <w:pPr>
        <w:ind w:left="624" w:hanging="377"/>
        <w:spacing w:after="0"/>
        <w:tabs>
          <w:tab w:leader="none" w:pos="6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Curaçao</w:t>
      </w:r>
    </w:p>
    <w:p>
      <w:pPr>
        <w:spacing w:after="0" w:line="36" w:lineRule="exact"/>
        <w:rPr>
          <w:rFonts w:ascii="Times New Roman" w:cs="Times New Roman" w:eastAsia="Times New Roman" w:hAnsi="Times New Roman"/>
          <w:sz w:val="18"/>
          <w:szCs w:val="18"/>
          <w:color w:val="auto"/>
        </w:rPr>
      </w:pPr>
    </w:p>
    <w:p>
      <w:pPr>
        <w:ind w:left="1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8,682,920*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8,682,920*</w:t>
      </w:r>
    </w:p>
    <w:p>
      <w:pPr>
        <w:spacing w:after="0" w:line="36" w:lineRule="exact"/>
        <w:rPr>
          <w:sz w:val="20"/>
          <w:szCs w:val="20"/>
          <w:color w:val="auto"/>
        </w:rPr>
      </w:pPr>
    </w:p>
    <w:p>
      <w:pPr>
        <w:ind w:left="604" w:hanging="357"/>
        <w:spacing w:after="0"/>
        <w:tabs>
          <w:tab w:leader="none" w:pos="6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8,682,920*</w:t>
      </w:r>
    </w:p>
    <w:p>
      <w:pPr>
        <w:spacing w:after="0" w:line="36" w:lineRule="exact"/>
        <w:rPr>
          <w:sz w:val="20"/>
          <w:szCs w:val="20"/>
          <w:color w:val="auto"/>
        </w:rPr>
      </w:pPr>
    </w:p>
    <w:p>
      <w:pPr>
        <w:ind w:left="624" w:hanging="467"/>
        <w:spacing w:after="0"/>
        <w:tabs>
          <w:tab w:leader="none" w:pos="62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04"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15.5%</w:t>
      </w:r>
      <w:r>
        <w:rPr>
          <w:rFonts w:ascii="Times New Roman" w:cs="Times New Roman" w:eastAsia="Times New Roman" w:hAnsi="Times New Roman"/>
          <w:sz w:val="26"/>
          <w:szCs w:val="26"/>
          <w:color w:val="auto"/>
          <w:vertAlign w:val="superscript"/>
        </w:rPr>
        <w:t>+</w:t>
      </w:r>
    </w:p>
    <w:p>
      <w:pPr>
        <w:ind w:left="604" w:hanging="447"/>
        <w:spacing w:after="0"/>
        <w:tabs>
          <w:tab w:leader="none" w:pos="60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3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w:t>
      </w:r>
    </w:p>
    <w:p>
      <w:pPr>
        <w:spacing w:after="0" w:line="157" w:lineRule="exact"/>
        <w:rPr>
          <w:rFonts w:ascii="Times New Roman" w:cs="Times New Roman" w:eastAsia="Times New Roman" w:hAnsi="Times New Roman"/>
          <w:sz w:val="18"/>
          <w:szCs w:val="18"/>
          <w:color w:val="auto"/>
        </w:rPr>
      </w:pPr>
    </w:p>
    <w:p>
      <w:pPr>
        <w:ind w:left="424" w:hanging="432"/>
        <w:spacing w:after="0" w:line="27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Excludes 1,981,164 additional shares of Common Stock that Schlumberger Technology Corporation (“STC”) has the right to receive if, on or before September 9, 2027, the Common Stock meets or exceeds certain target prices as set forth in the Merger Agreement (“Merger Agreement”), dated as of December 16, 2021, as amended on January 30, 2022 and June 6, 2022, by and among CleanTech Acquisition Corp., CleanTech</w:t>
      </w:r>
    </w:p>
    <w:p>
      <w:pPr>
        <w:spacing w:after="0" w:line="2"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Merger Sub, Inc., Nauticus Robotics, Inc., and Nicolaus Radford, solely in his capacity as the stockholder representative.</w:t>
      </w:r>
    </w:p>
    <w:p>
      <w:pPr>
        <w:spacing w:after="0" w:line="9" w:lineRule="exact"/>
        <w:rPr>
          <w:sz w:val="20"/>
          <w:szCs w:val="20"/>
          <w:color w:val="auto"/>
        </w:rPr>
      </w:pPr>
    </w:p>
    <w:p>
      <w:pPr>
        <w:ind w:left="424" w:right="160" w:hanging="424"/>
        <w:spacing w:after="0" w:line="260"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55,875,773 shares of Common Stock outstanding as of September 9, 2022, as reported on the Form 8-K submitted by the Issuer to the SEC on September 15, 2022.</w:t>
      </w:r>
    </w:p>
    <w:p>
      <w:pPr>
        <w:sectPr>
          <w:pgSz w:w="11900" w:h="16838" w:orient="portrait"/>
          <w:cols w:equalWidth="0" w:num="1">
            <w:col w:w="10944"/>
          </w:cols>
          <w:pgMar w:left="436" w:top="283" w:right="519" w:bottom="1440" w:gutter="0" w:footer="0" w:header="0"/>
        </w:sectPr>
      </w:pPr>
    </w:p>
    <w:bookmarkStart w:id="2" w:name="page3"/>
    <w:bookmarkEnd w:id="2"/>
    <w:p>
      <w:pPr>
        <w:ind w:left="624" w:hanging="377"/>
        <w:spacing w:after="0"/>
        <w:tabs>
          <w:tab w:leader="none" w:pos="6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Schlumberger B.V.</w:t>
      </w:r>
    </w:p>
    <w:p>
      <w:pPr>
        <w:spacing w:after="0" w:line="36" w:lineRule="exact"/>
        <w:rPr>
          <w:sz w:val="20"/>
          <w:szCs w:val="20"/>
          <w:color w:val="auto"/>
        </w:rPr>
      </w:pPr>
    </w:p>
    <w:p>
      <w:pPr>
        <w:ind w:left="624" w:hanging="377"/>
        <w:spacing w:after="0"/>
        <w:tabs>
          <w:tab w:leader="none" w:pos="6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Netherlands</w:t>
      </w:r>
    </w:p>
    <w:p>
      <w:pPr>
        <w:spacing w:after="0" w:line="36" w:lineRule="exact"/>
        <w:rPr>
          <w:rFonts w:ascii="Times New Roman" w:cs="Times New Roman" w:eastAsia="Times New Roman" w:hAnsi="Times New Roman"/>
          <w:sz w:val="18"/>
          <w:szCs w:val="18"/>
          <w:color w:val="auto"/>
        </w:rPr>
      </w:pPr>
    </w:p>
    <w:p>
      <w:pPr>
        <w:ind w:left="1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8,682,920*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8,682,920*</w:t>
      </w:r>
    </w:p>
    <w:p>
      <w:pPr>
        <w:spacing w:after="0" w:line="36" w:lineRule="exact"/>
        <w:rPr>
          <w:sz w:val="20"/>
          <w:szCs w:val="20"/>
          <w:color w:val="auto"/>
        </w:rPr>
      </w:pPr>
    </w:p>
    <w:p>
      <w:pPr>
        <w:ind w:left="604" w:hanging="357"/>
        <w:spacing w:after="0"/>
        <w:tabs>
          <w:tab w:leader="none" w:pos="6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8,682,920*</w:t>
      </w:r>
    </w:p>
    <w:p>
      <w:pPr>
        <w:spacing w:after="0" w:line="36" w:lineRule="exact"/>
        <w:rPr>
          <w:sz w:val="20"/>
          <w:szCs w:val="20"/>
          <w:color w:val="auto"/>
        </w:rPr>
      </w:pPr>
    </w:p>
    <w:p>
      <w:pPr>
        <w:ind w:left="624" w:hanging="467"/>
        <w:spacing w:after="0"/>
        <w:tabs>
          <w:tab w:leader="none" w:pos="6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04"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15.5%</w:t>
      </w:r>
      <w:r>
        <w:rPr>
          <w:rFonts w:ascii="Times New Roman" w:cs="Times New Roman" w:eastAsia="Times New Roman" w:hAnsi="Times New Roman"/>
          <w:sz w:val="26"/>
          <w:szCs w:val="26"/>
          <w:color w:val="auto"/>
          <w:vertAlign w:val="superscript"/>
        </w:rPr>
        <w:t>+</w:t>
      </w:r>
    </w:p>
    <w:p>
      <w:pPr>
        <w:ind w:left="604" w:hanging="447"/>
        <w:spacing w:after="0"/>
        <w:tabs>
          <w:tab w:leader="none" w:pos="60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3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w:t>
      </w:r>
    </w:p>
    <w:p>
      <w:pPr>
        <w:spacing w:after="0" w:line="157" w:lineRule="exact"/>
        <w:rPr>
          <w:rFonts w:ascii="Times New Roman" w:cs="Times New Roman" w:eastAsia="Times New Roman" w:hAnsi="Times New Roman"/>
          <w:sz w:val="18"/>
          <w:szCs w:val="18"/>
          <w:color w:val="auto"/>
        </w:rPr>
      </w:pPr>
    </w:p>
    <w:p>
      <w:pPr>
        <w:ind w:left="424" w:right="40" w:hanging="432"/>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1,981,164 additional shares of Common Stock that STC has the right to receive if, on or before September 9, 2027, the Common Stock meets or exceeds certain target prices as set forth in the Merger Agreement.</w:t>
      </w:r>
    </w:p>
    <w:p>
      <w:pPr>
        <w:ind w:left="424" w:right="120" w:hanging="424"/>
        <w:spacing w:after="0" w:line="200" w:lineRule="auto"/>
        <w:tabs>
          <w:tab w:leader="none" w:pos="424" w:val="left"/>
        </w:tabs>
        <w:numPr>
          <w:ilvl w:val="0"/>
          <w:numId w:val="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Based on 55,875,773 shares of Common Stock outstanding as of September 9, 2022, as reported on the Form 8-K submitted by the Issuer to the SEC on September 15, 2022.</w:t>
      </w:r>
    </w:p>
    <w:p>
      <w:pPr>
        <w:sectPr>
          <w:pgSz w:w="11900" w:h="16838" w:orient="portrait"/>
          <w:cols w:equalWidth="0" w:num="1">
            <w:col w:w="10904"/>
          </w:cols>
          <w:pgMar w:left="436" w:top="283" w:right="559" w:bottom="1440" w:gutter="0" w:footer="0" w:header="0"/>
        </w:sectPr>
      </w:pPr>
    </w:p>
    <w:bookmarkStart w:id="3" w:name="page4"/>
    <w:bookmarkEnd w:id="3"/>
    <w:p>
      <w:pPr>
        <w:ind w:left="624" w:hanging="377"/>
        <w:spacing w:after="0"/>
        <w:tabs>
          <w:tab w:leader="none" w:pos="6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522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Schlumberger Holdings Corporation</w:t>
      </w:r>
    </w:p>
    <w:p>
      <w:pPr>
        <w:spacing w:after="0" w:line="36" w:lineRule="exact"/>
        <w:rPr>
          <w:sz w:val="20"/>
          <w:szCs w:val="20"/>
          <w:color w:val="auto"/>
        </w:rPr>
      </w:pPr>
    </w:p>
    <w:p>
      <w:pPr>
        <w:ind w:left="624" w:hanging="377"/>
        <w:spacing w:after="0"/>
        <w:tabs>
          <w:tab w:leader="none" w:pos="6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United States</w:t>
      </w:r>
    </w:p>
    <w:p>
      <w:pPr>
        <w:spacing w:after="0" w:line="36" w:lineRule="exact"/>
        <w:rPr>
          <w:rFonts w:ascii="Times New Roman" w:cs="Times New Roman" w:eastAsia="Times New Roman" w:hAnsi="Times New Roman"/>
          <w:sz w:val="18"/>
          <w:szCs w:val="18"/>
          <w:color w:val="auto"/>
        </w:rPr>
      </w:pPr>
    </w:p>
    <w:p>
      <w:pPr>
        <w:ind w:left="1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8,682,920*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8,682,920*</w:t>
      </w:r>
    </w:p>
    <w:p>
      <w:pPr>
        <w:spacing w:after="0" w:line="36" w:lineRule="exact"/>
        <w:rPr>
          <w:sz w:val="20"/>
          <w:szCs w:val="20"/>
          <w:color w:val="auto"/>
        </w:rPr>
      </w:pPr>
    </w:p>
    <w:p>
      <w:pPr>
        <w:ind w:left="604" w:hanging="357"/>
        <w:spacing w:after="0"/>
        <w:tabs>
          <w:tab w:leader="none" w:pos="6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8,682,920*</w:t>
      </w:r>
    </w:p>
    <w:p>
      <w:pPr>
        <w:spacing w:after="0" w:line="36" w:lineRule="exact"/>
        <w:rPr>
          <w:sz w:val="20"/>
          <w:szCs w:val="20"/>
          <w:color w:val="auto"/>
        </w:rPr>
      </w:pPr>
    </w:p>
    <w:p>
      <w:pPr>
        <w:ind w:left="624" w:hanging="467"/>
        <w:spacing w:after="0"/>
        <w:tabs>
          <w:tab w:leader="none" w:pos="62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04"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15.5%</w:t>
      </w:r>
      <w:r>
        <w:rPr>
          <w:rFonts w:ascii="Times New Roman" w:cs="Times New Roman" w:eastAsia="Times New Roman" w:hAnsi="Times New Roman"/>
          <w:sz w:val="26"/>
          <w:szCs w:val="26"/>
          <w:color w:val="auto"/>
          <w:vertAlign w:val="superscript"/>
        </w:rPr>
        <w:t>+</w:t>
      </w:r>
    </w:p>
    <w:p>
      <w:pPr>
        <w:ind w:left="604" w:hanging="447"/>
        <w:spacing w:after="0"/>
        <w:tabs>
          <w:tab w:leader="none" w:pos="60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3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w:t>
      </w:r>
    </w:p>
    <w:p>
      <w:pPr>
        <w:spacing w:after="0" w:line="157" w:lineRule="exact"/>
        <w:rPr>
          <w:rFonts w:ascii="Times New Roman" w:cs="Times New Roman" w:eastAsia="Times New Roman" w:hAnsi="Times New Roman"/>
          <w:sz w:val="18"/>
          <w:szCs w:val="18"/>
          <w:color w:val="auto"/>
        </w:rPr>
      </w:pPr>
    </w:p>
    <w:p>
      <w:pPr>
        <w:ind w:left="424" w:right="40" w:hanging="432"/>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1,981,164 additional shares of Common Stock that STC has the right to receive if, on or before September 9, 2027, the Common Stock meets or exceeds certain target prices as set forth in the Merger Agreement.</w:t>
      </w:r>
    </w:p>
    <w:p>
      <w:pPr>
        <w:ind w:left="424" w:right="120" w:hanging="424"/>
        <w:spacing w:after="0" w:line="200" w:lineRule="auto"/>
        <w:tabs>
          <w:tab w:leader="none" w:pos="424" w:val="left"/>
        </w:tabs>
        <w:numPr>
          <w:ilvl w:val="0"/>
          <w:numId w:val="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Based on 55,875,773 shares of Common Stock outstanding as of September 9, 2022, as reported on the Form 8-K submitted by the Issuer to the SEC on September 15, 2022.</w:t>
      </w:r>
    </w:p>
    <w:p>
      <w:pPr>
        <w:sectPr>
          <w:pgSz w:w="11900" w:h="16838" w:orient="portrait"/>
          <w:cols w:equalWidth="0" w:num="1">
            <w:col w:w="10904"/>
          </w:cols>
          <w:pgMar w:left="436" w:top="283" w:right="559" w:bottom="1440" w:gutter="0" w:footer="0" w:header="0"/>
        </w:sectPr>
      </w:pPr>
    </w:p>
    <w:bookmarkStart w:id="4" w:name="page5"/>
    <w:bookmarkEnd w:id="4"/>
    <w:p>
      <w:pPr>
        <w:ind w:left="624" w:hanging="377"/>
        <w:spacing w:after="0"/>
        <w:tabs>
          <w:tab w:leader="none" w:pos="6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Schlumberger Technology Corporation</w:t>
      </w:r>
    </w:p>
    <w:p>
      <w:pPr>
        <w:spacing w:after="0" w:line="36" w:lineRule="exact"/>
        <w:rPr>
          <w:sz w:val="20"/>
          <w:szCs w:val="20"/>
          <w:color w:val="auto"/>
        </w:rPr>
      </w:pPr>
    </w:p>
    <w:p>
      <w:pPr>
        <w:ind w:left="624" w:hanging="377"/>
        <w:spacing w:after="0"/>
        <w:tabs>
          <w:tab w:leader="none" w:pos="6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United States</w:t>
      </w:r>
    </w:p>
    <w:p>
      <w:pPr>
        <w:spacing w:after="0" w:line="36" w:lineRule="exact"/>
        <w:rPr>
          <w:rFonts w:ascii="Times New Roman" w:cs="Times New Roman" w:eastAsia="Times New Roman" w:hAnsi="Times New Roman"/>
          <w:sz w:val="18"/>
          <w:szCs w:val="18"/>
          <w:color w:val="auto"/>
        </w:rPr>
      </w:pPr>
    </w:p>
    <w:p>
      <w:pPr>
        <w:ind w:left="1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8,682,920*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8,682,920*</w:t>
      </w:r>
    </w:p>
    <w:p>
      <w:pPr>
        <w:spacing w:after="0" w:line="36" w:lineRule="exact"/>
        <w:rPr>
          <w:sz w:val="20"/>
          <w:szCs w:val="20"/>
          <w:color w:val="auto"/>
        </w:rPr>
      </w:pPr>
    </w:p>
    <w:p>
      <w:pPr>
        <w:ind w:left="604" w:hanging="357"/>
        <w:spacing w:after="0"/>
        <w:tabs>
          <w:tab w:leader="none" w:pos="60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8,682,920*</w:t>
      </w:r>
    </w:p>
    <w:p>
      <w:pPr>
        <w:spacing w:after="0" w:line="36" w:lineRule="exact"/>
        <w:rPr>
          <w:sz w:val="20"/>
          <w:szCs w:val="20"/>
          <w:color w:val="auto"/>
        </w:rPr>
      </w:pPr>
    </w:p>
    <w:p>
      <w:pPr>
        <w:ind w:left="624" w:hanging="467"/>
        <w:spacing w:after="0"/>
        <w:tabs>
          <w:tab w:leader="none" w:pos="62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04"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15.5%</w:t>
      </w:r>
      <w:r>
        <w:rPr>
          <w:rFonts w:ascii="Times New Roman" w:cs="Times New Roman" w:eastAsia="Times New Roman" w:hAnsi="Times New Roman"/>
          <w:sz w:val="26"/>
          <w:szCs w:val="26"/>
          <w:color w:val="auto"/>
          <w:vertAlign w:val="superscript"/>
        </w:rPr>
        <w:t>+</w:t>
      </w:r>
    </w:p>
    <w:p>
      <w:pPr>
        <w:ind w:left="604" w:hanging="447"/>
        <w:spacing w:after="0"/>
        <w:tabs>
          <w:tab w:leader="none" w:pos="60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3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157" w:lineRule="exact"/>
        <w:rPr>
          <w:rFonts w:ascii="Times New Roman" w:cs="Times New Roman" w:eastAsia="Times New Roman" w:hAnsi="Times New Roman"/>
          <w:sz w:val="18"/>
          <w:szCs w:val="18"/>
          <w:color w:val="auto"/>
        </w:rPr>
      </w:pPr>
    </w:p>
    <w:p>
      <w:pPr>
        <w:ind w:left="424" w:right="40" w:hanging="432"/>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1,981,164 additional shares of Common Stock that STC has the right to receive if, on or before September 9, 2027, the Common Stock meets or exceeds certain target prices as set forth in the Merger Agreement.</w:t>
      </w:r>
    </w:p>
    <w:p>
      <w:pPr>
        <w:ind w:left="424" w:right="120" w:hanging="424"/>
        <w:spacing w:after="0" w:line="200" w:lineRule="auto"/>
        <w:tabs>
          <w:tab w:leader="none" w:pos="424" w:val="left"/>
        </w:tabs>
        <w:numPr>
          <w:ilvl w:val="0"/>
          <w:numId w:val="3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Based on 55,875,773 shares of Common Stock outstanding as of September 9, 2022, as reported on the Form 8-K submitted by the Issuer to the SEC on September 15, 2022.</w:t>
      </w:r>
    </w:p>
    <w:p>
      <w:pPr>
        <w:sectPr>
          <w:pgSz w:w="11900" w:h="16838" w:orient="portrait"/>
          <w:cols w:equalWidth="0" w:num="1">
            <w:col w:w="10904"/>
          </w:cols>
          <w:pgMar w:left="436" w:top="283"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w:t>
      </w:r>
    </w:p>
    <w:p>
      <w:pPr>
        <w:spacing w:after="0" w:line="131" w:lineRule="exact"/>
        <w:rPr>
          <w:sz w:val="20"/>
          <w:szCs w:val="20"/>
          <w:color w:val="auto"/>
        </w:rPr>
      </w:pPr>
    </w:p>
    <w:p>
      <w:pPr>
        <w:ind w:left="980" w:right="8280" w:hanging="552"/>
        <w:spacing w:after="0" w:line="412" w:lineRule="auto"/>
        <w:tabs>
          <w:tab w:leader="none" w:pos="961"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 of Issuer: </w:t>
      </w:r>
      <w:r>
        <w:rPr>
          <w:rFonts w:ascii="Times New Roman" w:cs="Times New Roman" w:eastAsia="Times New Roman" w:hAnsi="Times New Roman"/>
          <w:sz w:val="18"/>
          <w:szCs w:val="18"/>
          <w:color w:val="auto"/>
        </w:rPr>
        <w:t>Nauticus Robotics, Inc.</w:t>
      </w:r>
    </w:p>
    <w:p>
      <w:pPr>
        <w:spacing w:after="0" w:line="72"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Issuer’s Principal Executive Offices:</w:t>
      </w:r>
    </w:p>
    <w:p>
      <w:pPr>
        <w:spacing w:after="0" w:line="121" w:lineRule="exact"/>
        <w:rPr>
          <w:rFonts w:ascii="Times New Roman" w:cs="Times New Roman" w:eastAsia="Times New Roman" w:hAnsi="Times New Roman"/>
          <w:sz w:val="18"/>
          <w:szCs w:val="18"/>
          <w:b w:val="1"/>
          <w:bCs w:val="1"/>
          <w:color w:val="auto"/>
        </w:rPr>
      </w:pPr>
    </w:p>
    <w:p>
      <w:pPr>
        <w:ind w:left="980" w:right="74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17146 Feathercraft Lane, Suite 450 Webster, TX 77598</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31" w:lineRule="exact"/>
        <w:rPr>
          <w:sz w:val="20"/>
          <w:szCs w:val="20"/>
          <w:color w:val="auto"/>
        </w:rPr>
      </w:pPr>
    </w:p>
    <w:p>
      <w:pPr>
        <w:ind w:left="960" w:hanging="532"/>
        <w:spacing w:after="0"/>
        <w:tabs>
          <w:tab w:leader="none" w:pos="9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Person Filing:</w:t>
      </w:r>
    </w:p>
    <w:p>
      <w:pPr>
        <w:spacing w:after="0" w:line="121"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Schedule 13G is being jointly filed on behalf of the following persons (collectively, the “Reporting Persons”):</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N.V. (Schlumberger Limited), a corporation formed under the laws of Curaçao (“Schlumberger Limited”);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B.V., a corporation formed under the laws of the Netherlands (“Schlumberger BV”);</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Holdings Corporation, a corporation formed under the laws of Delaware, United States (“SHC”);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Technology Corporation, a corporation formed under the laws of Texas, United States (“STC”).</w:t>
      </w:r>
    </w:p>
    <w:p>
      <w:pPr>
        <w:spacing w:after="0" w:line="117" w:lineRule="exact"/>
        <w:rPr>
          <w:sz w:val="20"/>
          <w:szCs w:val="20"/>
          <w:color w:val="auto"/>
        </w:rPr>
      </w:pPr>
    </w:p>
    <w:p>
      <w:pPr>
        <w:ind w:left="980" w:right="360"/>
        <w:spacing w:after="0" w:line="282" w:lineRule="auto"/>
        <w:rPr>
          <w:sz w:val="20"/>
          <w:szCs w:val="20"/>
          <w:color w:val="auto"/>
        </w:rPr>
      </w:pPr>
      <w:r>
        <w:rPr>
          <w:rFonts w:ascii="Times New Roman" w:cs="Times New Roman" w:eastAsia="Times New Roman" w:hAnsi="Times New Roman"/>
          <w:sz w:val="18"/>
          <w:szCs w:val="18"/>
          <w:color w:val="auto"/>
        </w:rPr>
        <w:t>Schlumberger Limited is the sole stockholder of Schlumberger BV. Schlumberger BV is the sole stockholder of SHC. SHC is the sole stockholder of STC.</w:t>
      </w:r>
    </w:p>
    <w:p>
      <w:pPr>
        <w:spacing w:after="0" w:line="185" w:lineRule="exact"/>
        <w:rPr>
          <w:sz w:val="20"/>
          <w:szCs w:val="20"/>
          <w:color w:val="auto"/>
        </w:rPr>
      </w:pPr>
    </w:p>
    <w:p>
      <w:pPr>
        <w:ind w:left="960" w:hanging="532"/>
        <w:spacing w:after="0"/>
        <w:tabs>
          <w:tab w:leader="none" w:pos="9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Principal Business Office:</w:t>
      </w:r>
    </w:p>
    <w:p>
      <w:pPr>
        <w:spacing w:after="0" w:line="121" w:lineRule="exact"/>
        <w:rPr>
          <w:rFonts w:ascii="Times New Roman" w:cs="Times New Roman" w:eastAsia="Times New Roman" w:hAnsi="Times New Roman"/>
          <w:sz w:val="18"/>
          <w:szCs w:val="18"/>
          <w:b w:val="1"/>
          <w:bCs w:val="1"/>
          <w:color w:val="auto"/>
        </w:rPr>
      </w:pPr>
    </w:p>
    <w:p>
      <w:pPr>
        <w:ind w:left="980"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business address of Schlumberger Limited for purposes of this Schedule 13G is 5599 San Felipe, 17th Floor, Houston, Texas 77056. The business address of Schlumberger BV is Parkstraat 83, 2514 JG The Hague, Netherlands. The business address of each of SHC and STC is 300 Schlumberger Drive, Sugar Land, Texas 77478.</w:t>
      </w:r>
    </w:p>
    <w:p>
      <w:pPr>
        <w:spacing w:after="0" w:line="198"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w:t>
      </w:r>
    </w:p>
    <w:p>
      <w:pPr>
        <w:spacing w:after="0" w:line="121"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required by Item 3(c) is set forth in Row 4 of the cover pages hereto for each Reporting Person and is incorporated herein by reference for each such Reporting Person.</w:t>
      </w:r>
    </w:p>
    <w:p>
      <w:pPr>
        <w:spacing w:after="0" w:line="184" w:lineRule="exact"/>
        <w:rPr>
          <w:rFonts w:ascii="Times New Roman" w:cs="Times New Roman" w:eastAsia="Times New Roman" w:hAnsi="Times New Roman"/>
          <w:sz w:val="18"/>
          <w:szCs w:val="18"/>
          <w:b w:val="1"/>
          <w:bCs w:val="1"/>
          <w:color w:val="auto"/>
        </w:rPr>
      </w:pPr>
    </w:p>
    <w:p>
      <w:pPr>
        <w:ind w:left="980" w:right="7940" w:hanging="552"/>
        <w:spacing w:after="0" w:line="412" w:lineRule="auto"/>
        <w:tabs>
          <w:tab w:leader="none" w:pos="961"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Title of Class of Securities: </w:t>
      </w:r>
      <w:r>
        <w:rPr>
          <w:rFonts w:ascii="Times New Roman" w:cs="Times New Roman" w:eastAsia="Times New Roman" w:hAnsi="Times New Roman"/>
          <w:sz w:val="18"/>
          <w:szCs w:val="18"/>
          <w:color w:val="auto"/>
        </w:rPr>
        <w:t>Common Stock</w:t>
      </w:r>
    </w:p>
    <w:p>
      <w:pPr>
        <w:spacing w:after="0" w:line="72" w:lineRule="exact"/>
        <w:rPr>
          <w:rFonts w:ascii="Times New Roman" w:cs="Times New Roman" w:eastAsia="Times New Roman" w:hAnsi="Times New Roman"/>
          <w:sz w:val="18"/>
          <w:szCs w:val="18"/>
          <w:b w:val="1"/>
          <w:bCs w:val="1"/>
          <w:color w:val="auto"/>
        </w:rPr>
      </w:pPr>
    </w:p>
    <w:p>
      <w:pPr>
        <w:ind w:left="980" w:right="8700" w:hanging="552"/>
        <w:spacing w:after="0" w:line="383" w:lineRule="auto"/>
        <w:tabs>
          <w:tab w:leader="none" w:pos="961"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CUSIP Number: </w:t>
      </w:r>
      <w:r>
        <w:rPr>
          <w:rFonts w:ascii="Times New Roman" w:cs="Times New Roman" w:eastAsia="Times New Roman" w:hAnsi="Times New Roman"/>
          <w:sz w:val="18"/>
          <w:szCs w:val="18"/>
          <w:color w:val="auto"/>
        </w:rPr>
        <w:t>63911H 108</w:t>
      </w:r>
    </w:p>
    <w:p>
      <w:pPr>
        <w:spacing w:after="0" w:line="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960"/>
          </w:cols>
          <w:pgMar w:left="440" w:top="266" w:right="499" w:bottom="1440" w:gutter="0" w:footer="0" w:header="0"/>
        </w:sectPr>
      </w:pPr>
    </w:p>
    <w:bookmarkStart w:id="6" w:name="page7"/>
    <w:bookmarkEnd w:id="6"/>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ind w:left="980" w:right="80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Items 4(a)-(c) is set forth in Rows 5-11 of the cover pages hereto for each Reporting Person and is incorporated herein by reference for each such Reporting Person.</w:t>
      </w:r>
    </w:p>
    <w:p>
      <w:pPr>
        <w:spacing w:after="0" w:line="54" w:lineRule="exact"/>
        <w:rPr>
          <w:sz w:val="20"/>
          <w:szCs w:val="20"/>
          <w:color w:val="auto"/>
        </w:rPr>
      </w:pPr>
    </w:p>
    <w:p>
      <w:pPr>
        <w:ind w:left="980"/>
        <w:spacing w:after="0" w:line="255" w:lineRule="auto"/>
        <w:rPr>
          <w:sz w:val="20"/>
          <w:szCs w:val="20"/>
          <w:color w:val="auto"/>
        </w:rPr>
      </w:pPr>
      <w:r>
        <w:rPr>
          <w:rFonts w:ascii="Times New Roman" w:cs="Times New Roman" w:eastAsia="Times New Roman" w:hAnsi="Times New Roman"/>
          <w:sz w:val="18"/>
          <w:szCs w:val="18"/>
          <w:color w:val="auto"/>
        </w:rPr>
        <w:t>As of the date hereof, STC directly holds 8,682,920 shares of common stock, par value $0.0001 per share (“Common Stock”), of the Issuer, constituting approximately 15.5% of the 55,875,773 shares of Common Stock outstanding as of September 9, 2022, as reported on the Form 8-K submitted by the Issuer to the SEC on September 15, 2022. In addition, STC has the right to receive an additional 1,981,164 shares of Common Stock if, on or before September 9, 2027, the Common Stock meets or exceeds certain target prices as set forth in the Merger Agreement. Since SHC controls STC, it is deemed to beneficially own the Common Stock held directly by STC. Since Schlumberger BV controls SHC, it is deemed to beneficially own the Common Stock held directly by STC. Since Schlumberger Limited controls Schlumberger BV, it is deemed to beneficially own the Common Stock held directly by STC.</w:t>
      </w:r>
    </w:p>
    <w:p>
      <w:pPr>
        <w:spacing w:after="0" w:line="81" w:lineRule="exact"/>
        <w:rPr>
          <w:sz w:val="20"/>
          <w:szCs w:val="20"/>
          <w:color w:val="auto"/>
        </w:rPr>
      </w:pPr>
    </w:p>
    <w:p>
      <w:pPr>
        <w:ind w:left="980" w:right="20"/>
        <w:spacing w:after="0" w:line="282" w:lineRule="auto"/>
        <w:rPr>
          <w:sz w:val="20"/>
          <w:szCs w:val="20"/>
          <w:color w:val="auto"/>
        </w:rPr>
      </w:pPr>
      <w:r>
        <w:rPr>
          <w:rFonts w:ascii="Times New Roman" w:cs="Times New Roman" w:eastAsia="Times New Roman" w:hAnsi="Times New Roman"/>
          <w:sz w:val="18"/>
          <w:szCs w:val="18"/>
          <w:color w:val="auto"/>
        </w:rPr>
        <w:t>On September 19, 2022, the Reporting Persons entered into a Joint Filing Agreement relating to the filing of this Schedule 13G, a copy of which is annexed hereto as Exhibit 99.1.</w:t>
      </w:r>
    </w:p>
    <w:p>
      <w:pPr>
        <w:spacing w:after="0" w:line="3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980" w:right="600" w:hanging="984"/>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5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a Group.</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940"/>
          </w:cols>
          <w:pgMar w:left="440" w:top="266" w:right="519" w:bottom="1440" w:gutter="0" w:footer="0" w:header="0"/>
        </w:sectPr>
      </w:pPr>
    </w:p>
    <w:bookmarkStart w:id="7" w:name="page8"/>
    <w:bookmarkEnd w:id="7"/>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19,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29" w:lineRule="exact"/>
        <w:rPr>
          <w:sz w:val="20"/>
          <w:szCs w:val="20"/>
          <w:color w:val="auto"/>
        </w:rPr>
      </w:pPr>
    </w:p>
    <w:p>
      <w:pPr>
        <w:ind w:left="662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/s/ Samantha Blons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17145</wp:posOffset>
            </wp:positionV>
            <wp:extent cx="24860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Samantha Blons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Assistant Secretary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B.V.</w:t>
      </w:r>
    </w:p>
    <w:p>
      <w:pPr>
        <w:spacing w:after="0" w:line="229" w:lineRule="exact"/>
        <w:rPr>
          <w:sz w:val="20"/>
          <w:szCs w:val="20"/>
          <w:color w:val="auto"/>
        </w:rPr>
      </w:pPr>
    </w:p>
    <w:p>
      <w:pPr>
        <w:ind w:left="662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/s/ Eileen Hardell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17145</wp:posOffset>
            </wp:positionV>
            <wp:extent cx="24860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Eileen Hardell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Holdings Corporation</w:t>
      </w:r>
    </w:p>
    <w:p>
      <w:pPr>
        <w:spacing w:after="0" w:line="229" w:lineRule="exact"/>
        <w:rPr>
          <w:sz w:val="20"/>
          <w:szCs w:val="20"/>
          <w:color w:val="auto"/>
        </w:rPr>
      </w:pPr>
    </w:p>
    <w:p>
      <w:pPr>
        <w:ind w:left="662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/s/ Abraham Chemphil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17145</wp:posOffset>
            </wp:positionV>
            <wp:extent cx="24860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Abraham Chemphil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Technology Corporation</w:t>
      </w:r>
    </w:p>
    <w:p>
      <w:pPr>
        <w:spacing w:after="0" w:line="229" w:lineRule="exact"/>
        <w:rPr>
          <w:sz w:val="20"/>
          <w:szCs w:val="20"/>
          <w:color w:val="auto"/>
        </w:rPr>
      </w:pPr>
    </w:p>
    <w:p>
      <w:pPr>
        <w:ind w:left="662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/s/ Arindam Bhattacharya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17145</wp:posOffset>
            </wp:positionV>
            <wp:extent cx="24860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Arindam Bhattacharya</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10900"/>
          </w:cols>
          <w:pgMar w:left="440" w:top="266" w:right="5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80" w:firstLine="440"/>
        <w:spacing w:after="0" w:line="287" w:lineRule="auto"/>
        <w:rPr>
          <w:sz w:val="20"/>
          <w:szCs w:val="20"/>
          <w:color w:val="auto"/>
        </w:rPr>
      </w:pPr>
      <w:r>
        <w:rPr>
          <w:rFonts w:ascii="Times New Roman" w:cs="Times New Roman" w:eastAsia="Times New Roman" w:hAnsi="Times New Roman"/>
          <w:sz w:val="17"/>
          <w:szCs w:val="17"/>
          <w:color w:val="auto"/>
        </w:rPr>
        <w:t>In accordance with Rule 13d-1(k)(1) under the Securities Exchange Act of 1934, as amended, the persons below agree to the joint filing on behalf of each of them of a Statement on Schedule 13G, and any and all amendments thereto, with regard to the beneficial ownership of shares of common stock, par value $0.0001 per share, of Nauticus Robotics, Inc., a Delaware corporation, and further agree that this Joint Filing Agreement be included as an exhibit to the Statement on Schedule 13G. In evidence thereof the undersigned hereby execute this Agreement as of the 19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of September, 2022.</w:t>
      </w:r>
    </w:p>
    <w:p>
      <w:pPr>
        <w:spacing w:after="0" w:line="5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29" w:lineRule="exact"/>
        <w:rPr>
          <w:sz w:val="20"/>
          <w:szCs w:val="20"/>
          <w:color w:val="auto"/>
        </w:rPr>
      </w:pPr>
    </w:p>
    <w:p>
      <w:pPr>
        <w:ind w:left="662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/s/ Samantha Blons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17145</wp:posOffset>
            </wp:positionV>
            <wp:extent cx="24860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Samantha Blons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Assistant Secretary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B.V.</w:t>
      </w:r>
    </w:p>
    <w:p>
      <w:pPr>
        <w:spacing w:after="0" w:line="229" w:lineRule="exact"/>
        <w:rPr>
          <w:sz w:val="20"/>
          <w:szCs w:val="20"/>
          <w:color w:val="auto"/>
        </w:rPr>
      </w:pPr>
    </w:p>
    <w:p>
      <w:pPr>
        <w:ind w:left="662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/s/ Eileen Hardell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17145</wp:posOffset>
            </wp:positionV>
            <wp:extent cx="24860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Eileen Hardell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Holdings Corporation</w:t>
      </w:r>
    </w:p>
    <w:p>
      <w:pPr>
        <w:spacing w:after="0" w:line="229" w:lineRule="exact"/>
        <w:rPr>
          <w:sz w:val="20"/>
          <w:szCs w:val="20"/>
          <w:color w:val="auto"/>
        </w:rPr>
      </w:pPr>
    </w:p>
    <w:p>
      <w:pPr>
        <w:ind w:left="662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/s/ Abraham Chemphil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17145</wp:posOffset>
            </wp:positionV>
            <wp:extent cx="24860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Abraham Chemphil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Technology Corporation</w:t>
      </w:r>
    </w:p>
    <w:p>
      <w:pPr>
        <w:spacing w:after="0" w:line="229" w:lineRule="exact"/>
        <w:rPr>
          <w:sz w:val="20"/>
          <w:szCs w:val="20"/>
          <w:color w:val="auto"/>
        </w:rPr>
      </w:pPr>
    </w:p>
    <w:p>
      <w:pPr>
        <w:ind w:left="662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/s/ Arindam Bhattacharya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17145</wp:posOffset>
            </wp:positionV>
            <wp:extent cx="24860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Arindam Bhattacharya</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Vice President</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lvl w:ilvl="1">
      <w:lvlJc w:val="left"/>
      <w:lvlText w:val="☐"/>
      <w:numFmt w:val="bullet"/>
      <w:start w:val="1"/>
    </w:lvl>
  </w:abstractNum>
  <w:abstractNum w:abstractNumId="3">
    <w:nsid w:val="7C83E458"/>
    <w:multiLevelType w:val="hybridMultilevel"/>
    <w:lvl w:ilvl="0">
      <w:lvlJc w:val="left"/>
      <w:lvlText w:val="1"/>
      <w:numFmt w:val="bullet"/>
      <w:start w:val="1"/>
    </w:lvl>
  </w:abstractNum>
  <w:abstractNum w:abstractNumId="4">
    <w:nsid w:val="257130A3"/>
    <w:multiLevelType w:val="hybridMultilevel"/>
    <w:lvl w:ilvl="0">
      <w:lvlJc w:val="left"/>
      <w:lvlText w:val="2"/>
      <w:numFmt w:val="bullet"/>
      <w:start w:val="1"/>
    </w:lvl>
  </w:abstractNum>
  <w:abstractNum w:abstractNumId="5">
    <w:nsid w:val="62BBD95A"/>
    <w:multiLevelType w:val="hybridMultilevel"/>
    <w:lvl w:ilvl="0">
      <w:lvlJc w:val="left"/>
      <w:lvlText w:val="3"/>
      <w:numFmt w:val="bullet"/>
      <w:start w:val="1"/>
    </w:lvl>
  </w:abstractNum>
  <w:abstractNum w:abstractNumId="6">
    <w:nsid w:val="436C6125"/>
    <w:multiLevelType w:val="hybridMultilevel"/>
    <w:lvl w:ilvl="0">
      <w:lvlJc w:val="left"/>
      <w:lvlText w:val="4"/>
      <w:numFmt w:val="bullet"/>
      <w:start w:val="1"/>
    </w:lvl>
  </w:abstractNum>
  <w:abstractNum w:abstractNumId="7">
    <w:nsid w:val="628C895D"/>
    <w:multiLevelType w:val="hybridMultilevel"/>
    <w:lvl w:ilvl="0">
      <w:lvlJc w:val="left"/>
      <w:lvlText w:val="9"/>
      <w:numFmt w:val="bullet"/>
      <w:start w:val="1"/>
    </w:lvl>
  </w:abstractNum>
  <w:abstractNum w:abstractNumId="8">
    <w:nsid w:val="333AB105"/>
    <w:multiLevelType w:val="hybridMultilevel"/>
    <w:lvl w:ilvl="0">
      <w:lvlJc w:val="left"/>
      <w:lvlText w:val="*"/>
      <w:numFmt w:val="bullet"/>
      <w:start w:val="1"/>
    </w:lvl>
    <w:lvl w:ilvl="1">
      <w:lvlJc w:val="left"/>
      <w:lvlText w:val="%2"/>
      <w:numFmt w:val="decimal"/>
      <w:start w:val="10"/>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1"/>
      <w:numFmt w:val="bullet"/>
      <w:start w:val="1"/>
    </w:lvl>
  </w:abstractNum>
  <w:abstractNum w:abstractNumId="11">
    <w:nsid w:val="2D1D5AE9"/>
    <w:multiLevelType w:val="hybridMultilevel"/>
    <w:lvl w:ilvl="0">
      <w:lvlJc w:val="left"/>
      <w:lvlText w:val="2"/>
      <w:numFmt w:val="bullet"/>
      <w:start w:val="1"/>
    </w:lvl>
  </w:abstractNum>
  <w:abstractNum w:abstractNumId="12">
    <w:nsid w:val="6763845E"/>
    <w:multiLevelType w:val="hybridMultilevel"/>
    <w:lvl w:ilvl="0">
      <w:lvlJc w:val="left"/>
      <w:lvlText w:val="3"/>
      <w:numFmt w:val="bullet"/>
      <w:start w:val="1"/>
    </w:lvl>
  </w:abstractNum>
  <w:abstractNum w:abstractNumId="13">
    <w:nsid w:val="75A2A8D4"/>
    <w:multiLevelType w:val="hybridMultilevel"/>
    <w:lvl w:ilvl="0">
      <w:lvlJc w:val="left"/>
      <w:lvlText w:val="4"/>
      <w:numFmt w:val="bullet"/>
      <w:start w:val="1"/>
    </w:lvl>
  </w:abstractNum>
  <w:abstractNum w:abstractNumId="14">
    <w:nsid w:val="8EDBDAB"/>
    <w:multiLevelType w:val="hybridMultilevel"/>
    <w:lvl w:ilvl="0">
      <w:lvlJc w:val="left"/>
      <w:lvlText w:val="9"/>
      <w:numFmt w:val="bullet"/>
      <w:start w:val="1"/>
    </w:lvl>
  </w:abstractNum>
  <w:abstractNum w:abstractNumId="15">
    <w:nsid w:val="79838CB2"/>
    <w:multiLevelType w:val="hybridMultilevel"/>
    <w:lvl w:ilvl="0">
      <w:lvlJc w:val="left"/>
      <w:lvlText w:val="*"/>
      <w:numFmt w:val="bullet"/>
      <w:start w:val="1"/>
    </w:lvl>
    <w:lvl w:ilvl="1">
      <w:lvlJc w:val="left"/>
      <w:lvlText w:val="%2"/>
      <w:numFmt w:val="decimal"/>
      <w:start w:val="10"/>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bullet"/>
      <w:start w:val="1"/>
    </w:lvl>
  </w:abstractNum>
  <w:abstractNum w:abstractNumId="18">
    <w:nsid w:val="189A769B"/>
    <w:multiLevelType w:val="hybridMultilevel"/>
    <w:lvl w:ilvl="0">
      <w:lvlJc w:val="left"/>
      <w:lvlText w:val="2"/>
      <w:numFmt w:val="bullet"/>
      <w:start w:val="1"/>
    </w:lvl>
  </w:abstractNum>
  <w:abstractNum w:abstractNumId="19">
    <w:nsid w:val="54E49EB4"/>
    <w:multiLevelType w:val="hybridMultilevel"/>
    <w:lvl w:ilvl="0">
      <w:lvlJc w:val="left"/>
      <w:lvlText w:val="3"/>
      <w:numFmt w:val="bullet"/>
      <w:start w:val="1"/>
    </w:lvl>
  </w:abstractNum>
  <w:abstractNum w:abstractNumId="20">
    <w:nsid w:val="71F32454"/>
    <w:multiLevelType w:val="hybridMultilevel"/>
    <w:lvl w:ilvl="0">
      <w:lvlJc w:val="left"/>
      <w:lvlText w:val="4"/>
      <w:numFmt w:val="bullet"/>
      <w:start w:val="1"/>
    </w:lvl>
  </w:abstractNum>
  <w:abstractNum w:abstractNumId="21">
    <w:nsid w:val="2CA88611"/>
    <w:multiLevelType w:val="hybridMultilevel"/>
    <w:lvl w:ilvl="0">
      <w:lvlJc w:val="left"/>
      <w:lvlText w:val="9"/>
      <w:numFmt w:val="bullet"/>
      <w:start w:val="1"/>
    </w:lvl>
  </w:abstractNum>
  <w:abstractNum w:abstractNumId="22">
    <w:nsid w:val="836C40E"/>
    <w:multiLevelType w:val="hybridMultilevel"/>
    <w:lvl w:ilvl="0">
      <w:lvlJc w:val="left"/>
      <w:lvlText w:val="*"/>
      <w:numFmt w:val="bullet"/>
      <w:start w:val="1"/>
    </w:lvl>
    <w:lvl w:ilvl="1">
      <w:lvlJc w:val="left"/>
      <w:lvlText w:val="%2"/>
      <w:numFmt w:val="decimal"/>
      <w:start w:val="10"/>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bullet"/>
      <w:start w:val="1"/>
    </w:lvl>
  </w:abstractNum>
  <w:abstractNum w:abstractNumId="25">
    <w:nsid w:val="8138641"/>
    <w:multiLevelType w:val="hybridMultilevel"/>
    <w:lvl w:ilvl="0">
      <w:lvlJc w:val="left"/>
      <w:lvlText w:val="2"/>
      <w:numFmt w:val="bullet"/>
      <w:start w:val="1"/>
    </w:lvl>
  </w:abstractNum>
  <w:abstractNum w:abstractNumId="26">
    <w:nsid w:val="1E7FF521"/>
    <w:multiLevelType w:val="hybridMultilevel"/>
    <w:lvl w:ilvl="0">
      <w:lvlJc w:val="left"/>
      <w:lvlText w:val="3"/>
      <w:numFmt w:val="bullet"/>
      <w:start w:val="1"/>
    </w:lvl>
  </w:abstractNum>
  <w:abstractNum w:abstractNumId="27">
    <w:nsid w:val="7C3DBD3D"/>
    <w:multiLevelType w:val="hybridMultilevel"/>
    <w:lvl w:ilvl="0">
      <w:lvlJc w:val="left"/>
      <w:lvlText w:val="4"/>
      <w:numFmt w:val="bullet"/>
      <w:start w:val="1"/>
    </w:lvl>
  </w:abstractNum>
  <w:abstractNum w:abstractNumId="28">
    <w:nsid w:val="737B8DDC"/>
    <w:multiLevelType w:val="hybridMultilevel"/>
    <w:lvl w:ilvl="0">
      <w:lvlJc w:val="left"/>
      <w:lvlText w:val="9"/>
      <w:numFmt w:val="bullet"/>
      <w:start w:val="1"/>
    </w:lvl>
  </w:abstractNum>
  <w:abstractNum w:abstractNumId="29">
    <w:nsid w:val="6CEAF087"/>
    <w:multiLevelType w:val="hybridMultilevel"/>
    <w:lvl w:ilvl="0">
      <w:lvlJc w:val="left"/>
      <w:lvlText w:val="*"/>
      <w:numFmt w:val="bullet"/>
      <w:start w:val="1"/>
    </w:lvl>
    <w:lvl w:ilvl="1">
      <w:lvlJc w:val="left"/>
      <w:lvlText w:val="%2"/>
      <w:numFmt w:val="decimal"/>
      <w:start w:val="10"/>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lowerLetter"/>
      <w:start w:val="1"/>
    </w:lvl>
    <w:lvl w:ilvl="1">
      <w:lvlJc w:val="left"/>
      <w:lvlText w:val="(%2)"/>
      <w:numFmt w:val="lowerRoman"/>
      <w:start w:val="1"/>
    </w:lvl>
  </w:abstractNum>
  <w:abstractNum w:abstractNumId="33">
    <w:nsid w:val="614FD4A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2022-09-19T14:56:27Z</dcterms:created>
  <dcterms:modified xsi:type="dcterms:W3CDTF">2022-09-19T14:56:27Z</dcterms:modified>
</cp:coreProperties>
</file>