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-619760</wp:posOffset>
            </wp:positionV>
            <wp:extent cx="57785" cy="633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14605</wp:posOffset>
            </wp:positionV>
            <wp:extent cx="7047230" cy="6136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6136005"/>
                    </a:xfrm>
                    <a:prstGeom prst="rect">
                      <a:avLst/>
                    </a:prstGeom>
                    <a:noFill/>
                  </pic:spPr>
                </pic:pic>
              </a:graphicData>
            </a:graphic>
          </wp:anchor>
        </w:drawing>
      </w:r>
    </w:p>
    <w:p>
      <w:pPr>
        <w:spacing w:after="0" w:line="31"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280" w:type="dxa"/>
            <w:vAlign w:val="bottom"/>
            <w:gridSpan w:val="3"/>
          </w:tcPr>
          <w:p>
            <w:pPr>
              <w:ind w:left="14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vMerge w:val="restart"/>
          </w:tcPr>
          <w:p>
            <w:pPr>
              <w:spacing w:after="0"/>
              <w:rPr>
                <w:rFonts w:ascii="Arial" w:cs="Arial" w:eastAsia="Arial" w:hAnsi="Arial"/>
                <w:sz w:val="20"/>
                <w:szCs w:val="20"/>
                <w:color w:val="0000EE"/>
                <w:w w:val="96"/>
              </w:rPr>
            </w:pPr>
            <w:hyperlink r:id="rId12">
              <w:r>
                <w:rPr>
                  <w:rFonts w:ascii="Arial" w:cs="Arial" w:eastAsia="Arial" w:hAnsi="Arial"/>
                  <w:sz w:val="20"/>
                  <w:szCs w:val="20"/>
                  <w:color w:val="0000EE"/>
                  <w:w w:val="96"/>
                </w:rPr>
                <w:t>Gharbi Hinda</w:t>
              </w:r>
            </w:hyperlink>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4"/>
          </w:tcPr>
          <w:p>
            <w:pPr>
              <w:ind w:left="60"/>
              <w:spacing w:after="0" w:line="179" w:lineRule="exact"/>
              <w:rPr>
                <w:rFonts w:ascii="Arial" w:cs="Arial" w:eastAsia="Arial" w:hAnsi="Arial"/>
                <w:sz w:val="20"/>
                <w:szCs w:val="20"/>
                <w:color w:val="0000EE"/>
              </w:rPr>
            </w:pPr>
            <w:hyperlink r:id="rId13">
              <w:r>
                <w:rPr>
                  <w:rFonts w:ascii="Arial" w:cs="Arial" w:eastAsia="Arial" w:hAnsi="Arial"/>
                  <w:sz w:val="20"/>
                  <w:szCs w:val="20"/>
                  <w:color w:val="0000EE"/>
                </w:rPr>
                <w:t xml:space="preserve">SCHLUMBERGER LIMITED/NV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SLB</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760" w:type="dxa"/>
            <w:vAlign w:val="bottom"/>
            <w:tcBorders>
              <w:top w:val="single" w:sz="8" w:color="0000EE"/>
            </w:tcBorders>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20" w:type="dxa"/>
            <w:vAlign w:val="bottom"/>
            <w:tcBorders>
              <w:top w:val="single" w:sz="8" w:color="0000EE"/>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116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(Last)</w:t>
            </w:r>
          </w:p>
        </w:tc>
        <w:tc>
          <w:tcPr>
            <w:tcW w:w="1260" w:type="dxa"/>
            <w:vAlign w:val="bottom"/>
            <w:tcBorders>
              <w:top w:val="single" w:sz="8" w:color="EEEEEE"/>
            </w:tcBorders>
            <w:vMerge w:val="restart"/>
          </w:tcPr>
          <w:p>
            <w:pPr>
              <w:ind w:left="6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tcBorders>
              <w:top w:val="single" w:sz="8" w:color="2C2C2C"/>
            </w:tcBorders>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3040" w:type="dxa"/>
            <w:vAlign w:val="bottom"/>
            <w:gridSpan w:val="4"/>
            <w:vMerge w:val="restart"/>
          </w:tcPr>
          <w:p>
            <w:pPr>
              <w:ind w:left="140"/>
              <w:spacing w:after="0" w:line="167" w:lineRule="exact"/>
              <w:rPr>
                <w:sz w:val="20"/>
                <w:szCs w:val="20"/>
                <w:color w:val="auto"/>
              </w:rPr>
            </w:pPr>
            <w:r>
              <w:rPr>
                <w:rFonts w:ascii="Arial" w:cs="Arial" w:eastAsia="Arial" w:hAnsi="Arial"/>
                <w:sz w:val="17"/>
                <w:szCs w:val="17"/>
                <w:color w:val="0000FF"/>
              </w:rPr>
              <w:t>01/19/2022</w:t>
            </w: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3040" w:type="dxa"/>
            <w:vAlign w:val="bottom"/>
            <w:gridSpan w:val="4"/>
            <w:vMerge w:val="continue"/>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5599 SAN FELIPE, 17TH FLOOR</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left="4" w:right="660" w:hanging="4"/>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tbl>
      <w:tblPr>
        <w:tblLayout w:type="fixed"/>
        <w:tblInd w:w="204"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644"/>
        <w:spacing w:after="0"/>
        <w:rPr>
          <w:sz w:val="20"/>
          <w:szCs w:val="20"/>
          <w:color w:val="auto"/>
        </w:rPr>
      </w:pPr>
      <w:r>
        <w:rPr>
          <w:rFonts w:ascii="Arial" w:cs="Arial" w:eastAsia="Arial" w:hAnsi="Arial"/>
          <w:sz w:val="17"/>
          <w:szCs w:val="17"/>
          <w:color w:val="0000FF"/>
        </w:rPr>
        <w:t>EVP, Services &amp; Equipment</w:t>
      </w:r>
    </w:p>
    <w:p>
      <w:pPr>
        <w:spacing w:after="0" w:line="301" w:lineRule="exact"/>
        <w:rPr>
          <w:sz w:val="20"/>
          <w:szCs w:val="20"/>
          <w:color w:val="auto"/>
        </w:rPr>
      </w:pPr>
    </w:p>
    <w:p>
      <w:pPr>
        <w:sectPr>
          <w:pgSz w:w="11900" w:h="16838" w:orient="portrait"/>
          <w:cols w:equalWidth="0" w:num="2">
            <w:col w:w="7680" w:space="56"/>
            <w:col w:w="3344"/>
          </w:cols>
          <w:pgMar w:left="460" w:top="220" w:right="359" w:bottom="1440" w:gutter="0" w:footer="0" w:header="0"/>
          <w:type w:val="continuous"/>
        </w:sectPr>
      </w:pPr>
    </w:p>
    <w:p>
      <w:pPr>
        <w:spacing w:after="0" w:line="162" w:lineRule="exact"/>
        <w:rPr>
          <w:sz w:val="20"/>
          <w:szCs w:val="20"/>
          <w:color w:val="auto"/>
        </w:rPr>
      </w:pPr>
    </w:p>
    <w:tbl>
      <w:tblPr>
        <w:tblLayout w:type="fixed"/>
        <w:tblInd w:w="80" w:type="dxa"/>
        <w:tblCellMar>
          <w:top w:w="0" w:type="dxa"/>
          <w:left w:w="0" w:type="dxa"/>
          <w:bottom w:w="0" w:type="dxa"/>
          <w:right w:w="0" w:type="dxa"/>
        </w:tblCellMar>
      </w:tblPr>
      <w:tr>
        <w:trPr>
          <w:trHeight w:val="154"/>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20"/>
              <w:spacing w:after="0"/>
              <w:rPr>
                <w:sz w:val="20"/>
                <w:szCs w:val="20"/>
                <w:color w:val="auto"/>
              </w:rPr>
            </w:pPr>
            <w:r>
              <w:rPr>
                <w:rFonts w:ascii="Arial" w:cs="Arial" w:eastAsia="Arial" w:hAnsi="Arial"/>
                <w:sz w:val="17"/>
                <w:szCs w:val="17"/>
                <w:color w:val="0000FF"/>
              </w:rPr>
              <w:t>TX</w:t>
            </w:r>
          </w:p>
        </w:tc>
        <w:tc>
          <w:tcPr>
            <w:tcW w:w="1620" w:type="dxa"/>
            <w:vAlign w:val="bottom"/>
          </w:tcPr>
          <w:p>
            <w:pPr>
              <w:ind w:left="420"/>
              <w:spacing w:after="0"/>
              <w:rPr>
                <w:sz w:val="20"/>
                <w:szCs w:val="20"/>
                <w:color w:val="auto"/>
              </w:rPr>
            </w:pPr>
            <w:r>
              <w:rPr>
                <w:rFonts w:ascii="Arial" w:cs="Arial" w:eastAsia="Arial" w:hAnsi="Arial"/>
                <w:sz w:val="17"/>
                <w:szCs w:val="17"/>
                <w:color w:val="0000FF"/>
              </w:rPr>
              <w:t>77056</w:t>
            </w:r>
          </w:p>
        </w:tc>
      </w:tr>
      <w:tr>
        <w:trPr>
          <w:trHeight w:val="147"/>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4" w:lineRule="auto"/>
        <w:tabs>
          <w:tab w:leader="none" w:pos="436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1" w:lineRule="exact"/>
        <w:rPr>
          <w:sz w:val="20"/>
          <w:szCs w:val="20"/>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ind w:left="4380"/>
        <w:spacing w:after="0"/>
        <w:rPr>
          <w:sz w:val="20"/>
          <w:szCs w:val="20"/>
          <w:color w:val="auto"/>
        </w:rPr>
      </w:pPr>
      <w:r>
        <w:rPr>
          <w:rFonts w:ascii="Arial" w:cs="Arial" w:eastAsia="Arial" w:hAnsi="Arial"/>
          <w:sz w:val="13"/>
          <w:szCs w:val="13"/>
          <w:color w:val="auto"/>
        </w:rPr>
        <w:t>Person</w:t>
      </w:r>
    </w:p>
    <w:p>
      <w:pPr>
        <w:spacing w:after="0" w:line="293" w:lineRule="exact"/>
        <w:rPr>
          <w:sz w:val="20"/>
          <w:szCs w:val="20"/>
          <w:color w:val="auto"/>
        </w:rPr>
      </w:pPr>
    </w:p>
    <w:p>
      <w:pPr>
        <w:sectPr>
          <w:pgSz w:w="11900" w:h="16838" w:orient="portrait"/>
          <w:cols w:equalWidth="0" w:num="2">
            <w:col w:w="3760" w:space="14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80" w:type="dxa"/>
            <w:vAlign w:val="bottom"/>
          </w:tcPr>
          <w:p>
            <w:pPr>
              <w:spacing w:after="0"/>
              <w:rPr>
                <w:sz w:val="13"/>
                <w:szCs w:val="13"/>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280" w:type="dxa"/>
            <w:vAlign w:val="bottom"/>
            <w:tcBorders>
              <w:bottom w:val="single" w:sz="8" w:color="2C2C2C"/>
            </w:tcBorders>
            <w:gridSpan w:val="4"/>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280" w:type="dxa"/>
            <w:vAlign w:val="bottom"/>
            <w:gridSpan w:val="4"/>
          </w:tcPr>
          <w:p>
            <w:pPr>
              <w:ind w:left="60"/>
              <w:spacing w:after="0"/>
              <w:rPr>
                <w:sz w:val="20"/>
                <w:szCs w:val="20"/>
                <w:color w:val="auto"/>
              </w:rPr>
            </w:pPr>
            <w:r>
              <w:rPr>
                <w:rFonts w:ascii="Arial" w:cs="Arial" w:eastAsia="Arial" w:hAnsi="Arial"/>
                <w:sz w:val="17"/>
                <w:szCs w:val="17"/>
                <w:color w:val="0000FF"/>
                <w:w w:val="97"/>
              </w:rPr>
              <w:t>Common Stock, $0.01 Par Value Per Share</w:t>
            </w:r>
          </w:p>
        </w:tc>
        <w:tc>
          <w:tcPr>
            <w:tcW w:w="1060" w:type="dxa"/>
            <w:vAlign w:val="bottom"/>
            <w:gridSpan w:val="2"/>
          </w:tcPr>
          <w:p>
            <w:pPr>
              <w:jc w:val="center"/>
              <w:ind w:right="1"/>
              <w:spacing w:after="0"/>
              <w:rPr>
                <w:sz w:val="20"/>
                <w:szCs w:val="20"/>
                <w:color w:val="auto"/>
              </w:rPr>
            </w:pPr>
            <w:r>
              <w:rPr>
                <w:rFonts w:ascii="Arial" w:cs="Arial" w:eastAsia="Arial" w:hAnsi="Arial"/>
                <w:sz w:val="17"/>
                <w:szCs w:val="17"/>
                <w:color w:val="0000FF"/>
                <w:w w:val="89"/>
              </w:rPr>
              <w:t>01/19/2022</w:t>
            </w: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40"/>
              <w:spacing w:after="0"/>
              <w:rPr>
                <w:sz w:val="20"/>
                <w:szCs w:val="20"/>
                <w:color w:val="auto"/>
              </w:rPr>
            </w:pPr>
            <w:r>
              <w:rPr>
                <w:rFonts w:ascii="Arial" w:cs="Arial" w:eastAsia="Arial" w:hAnsi="Arial"/>
                <w:sz w:val="13"/>
                <w:szCs w:val="13"/>
                <w:color w:val="0000FF"/>
                <w:w w:val="91"/>
              </w:rPr>
              <w:t>M</w:t>
            </w:r>
          </w:p>
        </w:tc>
        <w:tc>
          <w:tcPr>
            <w:tcW w:w="680" w:type="dxa"/>
            <w:vAlign w:val="bottom"/>
          </w:tcPr>
          <w:p>
            <w:pPr>
              <w:ind w:left="260"/>
              <w:spacing w:after="0"/>
              <w:rPr>
                <w:sz w:val="20"/>
                <w:szCs w:val="20"/>
                <w:color w:val="auto"/>
              </w:rPr>
            </w:pPr>
            <w:r>
              <w:rPr>
                <w:rFonts w:ascii="Arial" w:cs="Arial" w:eastAsia="Arial" w:hAnsi="Arial"/>
                <w:sz w:val="17"/>
                <w:szCs w:val="17"/>
                <w:color w:val="0000FF"/>
                <w:w w:val="93"/>
              </w:rPr>
              <w:t>1,500</w:t>
            </w:r>
          </w:p>
        </w:tc>
        <w:tc>
          <w:tcPr>
            <w:tcW w:w="660" w:type="dxa"/>
            <w:vAlign w:val="bottom"/>
          </w:tcPr>
          <w:p>
            <w:pPr>
              <w:ind w:left="340"/>
              <w:spacing w:after="0"/>
              <w:rPr>
                <w:sz w:val="20"/>
                <w:szCs w:val="20"/>
                <w:color w:val="auto"/>
              </w:rPr>
            </w:pPr>
            <w:r>
              <w:rPr>
                <w:rFonts w:ascii="Arial" w:cs="Arial" w:eastAsia="Arial" w:hAnsi="Arial"/>
                <w:sz w:val="17"/>
                <w:szCs w:val="17"/>
                <w:color w:val="0000FF"/>
              </w:rPr>
              <w:t>A</w:t>
            </w:r>
          </w:p>
        </w:tc>
        <w:tc>
          <w:tcPr>
            <w:tcW w:w="520" w:type="dxa"/>
            <w:vAlign w:val="bottom"/>
          </w:tcPr>
          <w:p>
            <w:pPr>
              <w:jc w:val="center"/>
              <w:ind w:right="3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2"/>
                <w:szCs w:val="22"/>
                <w:color w:val="auto"/>
              </w:rPr>
            </w:pPr>
          </w:p>
        </w:tc>
        <w:tc>
          <w:tcPr>
            <w:tcW w:w="1280" w:type="dxa"/>
            <w:vAlign w:val="bottom"/>
            <w:gridSpan w:val="3"/>
          </w:tcPr>
          <w:p>
            <w:pPr>
              <w:jc w:val="center"/>
              <w:spacing w:after="0"/>
              <w:rPr>
                <w:sz w:val="20"/>
                <w:szCs w:val="20"/>
                <w:color w:val="auto"/>
              </w:rPr>
            </w:pPr>
            <w:r>
              <w:rPr>
                <w:rFonts w:ascii="Arial" w:cs="Arial" w:eastAsia="Arial" w:hAnsi="Arial"/>
                <w:sz w:val="17"/>
                <w:szCs w:val="17"/>
                <w:color w:val="0000FF"/>
                <w:w w:val="87"/>
              </w:rPr>
              <w:t>130,762</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3280" w:type="dxa"/>
            <w:vAlign w:val="bottom"/>
            <w:tcBorders>
              <w:bottom w:val="single" w:sz="8" w:color="2C2C2C"/>
            </w:tcBorders>
            <w:gridSpan w:val="4"/>
          </w:tcPr>
          <w:p>
            <w:pPr>
              <w:spacing w:after="0"/>
              <w:rPr>
                <w:sz w:val="5"/>
                <w:szCs w:val="5"/>
                <w:color w:val="auto"/>
              </w:rPr>
            </w:pPr>
          </w:p>
        </w:tc>
        <w:tc>
          <w:tcPr>
            <w:tcW w:w="106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280" w:type="dxa"/>
            <w:vAlign w:val="bottom"/>
            <w:gridSpan w:val="4"/>
          </w:tcPr>
          <w:p>
            <w:pPr>
              <w:ind w:left="60"/>
              <w:spacing w:after="0"/>
              <w:rPr>
                <w:sz w:val="20"/>
                <w:szCs w:val="20"/>
                <w:color w:val="auto"/>
              </w:rPr>
            </w:pPr>
            <w:r>
              <w:rPr>
                <w:rFonts w:ascii="Arial" w:cs="Arial" w:eastAsia="Arial" w:hAnsi="Arial"/>
                <w:sz w:val="17"/>
                <w:szCs w:val="17"/>
                <w:color w:val="0000FF"/>
                <w:w w:val="97"/>
              </w:rPr>
              <w:t>Common Stock, $0.01 Par Value Per Share</w:t>
            </w:r>
          </w:p>
        </w:tc>
        <w:tc>
          <w:tcPr>
            <w:tcW w:w="1060" w:type="dxa"/>
            <w:vAlign w:val="bottom"/>
            <w:gridSpan w:val="2"/>
          </w:tcPr>
          <w:p>
            <w:pPr>
              <w:jc w:val="center"/>
              <w:ind w:right="1"/>
              <w:spacing w:after="0"/>
              <w:rPr>
                <w:sz w:val="20"/>
                <w:szCs w:val="20"/>
                <w:color w:val="auto"/>
              </w:rPr>
            </w:pPr>
            <w:r>
              <w:rPr>
                <w:rFonts w:ascii="Arial" w:cs="Arial" w:eastAsia="Arial" w:hAnsi="Arial"/>
                <w:sz w:val="17"/>
                <w:szCs w:val="17"/>
                <w:color w:val="0000FF"/>
                <w:w w:val="89"/>
              </w:rPr>
              <w:t>01/19/2022</w:t>
            </w: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40"/>
              <w:spacing w:after="0"/>
              <w:rPr>
                <w:sz w:val="20"/>
                <w:szCs w:val="20"/>
                <w:color w:val="auto"/>
              </w:rPr>
            </w:pPr>
            <w:r>
              <w:rPr>
                <w:rFonts w:ascii="Arial" w:cs="Arial" w:eastAsia="Arial" w:hAnsi="Arial"/>
                <w:sz w:val="13"/>
                <w:szCs w:val="13"/>
                <w:color w:val="0000FF"/>
                <w:w w:val="74"/>
              </w:rPr>
              <w:t>F</w:t>
            </w:r>
          </w:p>
        </w:tc>
        <w:tc>
          <w:tcPr>
            <w:tcW w:w="680" w:type="dxa"/>
            <w:vAlign w:val="bottom"/>
          </w:tcPr>
          <w:p>
            <w:pPr>
              <w:ind w:left="320"/>
              <w:spacing w:after="0"/>
              <w:rPr>
                <w:sz w:val="20"/>
                <w:szCs w:val="20"/>
                <w:color w:val="auto"/>
              </w:rPr>
            </w:pPr>
            <w:r>
              <w:rPr>
                <w:rFonts w:ascii="Arial" w:cs="Arial" w:eastAsia="Arial" w:hAnsi="Arial"/>
                <w:sz w:val="17"/>
                <w:szCs w:val="17"/>
                <w:color w:val="0000FF"/>
              </w:rPr>
              <w:t>291</w:t>
            </w:r>
          </w:p>
        </w:tc>
        <w:tc>
          <w:tcPr>
            <w:tcW w:w="660" w:type="dxa"/>
            <w:vAlign w:val="bottom"/>
          </w:tcPr>
          <w:p>
            <w:pPr>
              <w:ind w:left="340"/>
              <w:spacing w:after="0"/>
              <w:rPr>
                <w:sz w:val="20"/>
                <w:szCs w:val="20"/>
                <w:color w:val="auto"/>
              </w:rPr>
            </w:pPr>
            <w:r>
              <w:rPr>
                <w:rFonts w:ascii="Arial" w:cs="Arial" w:eastAsia="Arial" w:hAnsi="Arial"/>
                <w:sz w:val="17"/>
                <w:szCs w:val="17"/>
                <w:color w:val="0000FF"/>
              </w:rPr>
              <w:t>D</w:t>
            </w:r>
          </w:p>
        </w:tc>
        <w:tc>
          <w:tcPr>
            <w:tcW w:w="580" w:type="dxa"/>
            <w:vAlign w:val="bottom"/>
            <w:gridSpan w:val="2"/>
          </w:tcPr>
          <w:p>
            <w:pPr>
              <w:jc w:val="center"/>
              <w:ind w:right="20"/>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37.31</w:t>
            </w:r>
          </w:p>
        </w:tc>
        <w:tc>
          <w:tcPr>
            <w:tcW w:w="1280" w:type="dxa"/>
            <w:vAlign w:val="bottom"/>
            <w:gridSpan w:val="3"/>
          </w:tcPr>
          <w:p>
            <w:pPr>
              <w:jc w:val="center"/>
              <w:spacing w:after="0"/>
              <w:rPr>
                <w:sz w:val="20"/>
                <w:szCs w:val="20"/>
                <w:color w:val="auto"/>
              </w:rPr>
            </w:pPr>
            <w:r>
              <w:rPr>
                <w:rFonts w:ascii="Arial" w:cs="Arial" w:eastAsia="Arial" w:hAnsi="Arial"/>
                <w:sz w:val="17"/>
                <w:szCs w:val="17"/>
                <w:color w:val="0000FF"/>
                <w:w w:val="87"/>
              </w:rPr>
              <w:t>130,471</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280" w:type="dxa"/>
            <w:vAlign w:val="bottom"/>
            <w:gridSpan w:val="4"/>
            <w:vMerge w:val="restart"/>
          </w:tcPr>
          <w:p>
            <w:pPr>
              <w:ind w:left="60"/>
              <w:spacing w:after="0"/>
              <w:rPr>
                <w:sz w:val="20"/>
                <w:szCs w:val="20"/>
                <w:color w:val="auto"/>
              </w:rPr>
            </w:pPr>
            <w:r>
              <w:rPr>
                <w:rFonts w:ascii="Arial" w:cs="Arial" w:eastAsia="Arial" w:hAnsi="Arial"/>
                <w:sz w:val="17"/>
                <w:szCs w:val="17"/>
                <w:color w:val="0000FF"/>
                <w:w w:val="97"/>
              </w:rPr>
              <w:t>Common Stock, $0.01 Par Value Per Share</w:t>
            </w: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218</w:t>
            </w:r>
          </w:p>
        </w:tc>
        <w:tc>
          <w:tcPr>
            <w:tcW w:w="26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80" w:type="dxa"/>
            <w:vAlign w:val="bottom"/>
            <w:gridSpan w:val="4"/>
            <w:vMerge w:val="continue"/>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6"/>
          </w:tcPr>
          <w:p>
            <w:pPr>
              <w:spacing w:after="0"/>
              <w:rPr>
                <w:sz w:val="8"/>
                <w:szCs w:val="8"/>
                <w:color w:val="auto"/>
              </w:rPr>
            </w:pPr>
          </w:p>
        </w:tc>
        <w:tc>
          <w:tcPr>
            <w:tcW w:w="258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3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jc w:val="center"/>
              <w:ind w:right="17"/>
              <w:spacing w:after="0"/>
              <w:rPr>
                <w:sz w:val="20"/>
                <w:szCs w:val="20"/>
                <w:color w:val="auto"/>
              </w:rPr>
            </w:pPr>
            <w:r>
              <w:rPr>
                <w:rFonts w:ascii="Arial" w:cs="Arial" w:eastAsia="Arial" w:hAnsi="Arial"/>
                <w:sz w:val="13"/>
                <w:szCs w:val="13"/>
                <w:color w:val="0000FF"/>
                <w:w w:val="87"/>
              </w:rPr>
              <w:t>Common</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RSU</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jc w:val="center"/>
              <w:ind w:right="17"/>
              <w:spacing w:after="0" w:line="141" w:lineRule="exact"/>
              <w:rPr>
                <w:sz w:val="20"/>
                <w:szCs w:val="20"/>
                <w:color w:val="auto"/>
              </w:rPr>
            </w:pPr>
            <w:r>
              <w:rPr>
                <w:rFonts w:ascii="Arial" w:cs="Arial" w:eastAsia="Arial" w:hAnsi="Arial"/>
                <w:sz w:val="13"/>
                <w:szCs w:val="13"/>
                <w:color w:val="0000FF"/>
                <w:w w:val="93"/>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restart"/>
          </w:tcPr>
          <w:p>
            <w:pPr>
              <w:jc w:val="center"/>
              <w:ind w:right="17"/>
              <w:spacing w:after="0" w:line="141" w:lineRule="exact"/>
              <w:rPr>
                <w:sz w:val="20"/>
                <w:szCs w:val="20"/>
                <w:color w:val="auto"/>
              </w:rPr>
            </w:pPr>
            <w:r>
              <w:rPr>
                <w:rFonts w:ascii="Arial" w:cs="Arial" w:eastAsia="Arial" w:hAnsi="Arial"/>
                <w:sz w:val="13"/>
                <w:szCs w:val="13"/>
                <w:color w:val="0000FF"/>
                <w:w w:val="92"/>
              </w:rPr>
              <w:t>$0.01</w:t>
            </w: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w w:val="95"/>
              </w:rPr>
              <w:t>(Restricted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(2)</w:t>
            </w:r>
          </w:p>
        </w:tc>
        <w:tc>
          <w:tcPr>
            <w:tcW w:w="660" w:type="dxa"/>
            <w:vAlign w:val="bottom"/>
            <w:vMerge w:val="continue"/>
          </w:tcPr>
          <w:p>
            <w:pPr>
              <w:spacing w:after="0"/>
              <w:rPr>
                <w:sz w:val="6"/>
                <w:szCs w:val="6"/>
                <w:color w:val="auto"/>
              </w:rPr>
            </w:pPr>
          </w:p>
        </w:tc>
        <w:tc>
          <w:tcPr>
            <w:tcW w:w="520" w:type="dxa"/>
            <w:vAlign w:val="bottom"/>
            <w:vMerge w:val="restart"/>
          </w:tcPr>
          <w:p>
            <w:pPr>
              <w:jc w:val="right"/>
              <w:ind w:right="32"/>
              <w:spacing w:after="0"/>
              <w:rPr>
                <w:sz w:val="20"/>
                <w:szCs w:val="20"/>
                <w:color w:val="auto"/>
              </w:rPr>
            </w:pPr>
            <w:r>
              <w:rPr>
                <w:rFonts w:ascii="Arial" w:cs="Arial" w:eastAsia="Arial" w:hAnsi="Arial"/>
                <w:sz w:val="17"/>
                <w:szCs w:val="17"/>
                <w:color w:val="0000FF"/>
                <w:w w:val="93"/>
              </w:rPr>
              <w:t>1,500</w:t>
            </w: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60"/>
              <w:spacing w:after="0" w:line="141" w:lineRule="exact"/>
              <w:rPr>
                <w:sz w:val="20"/>
                <w:szCs w:val="20"/>
                <w:color w:val="auto"/>
              </w:rPr>
            </w:pPr>
            <w:r>
              <w:rPr>
                <w:rFonts w:ascii="Arial" w:cs="Arial" w:eastAsia="Arial" w:hAnsi="Arial"/>
                <w:sz w:val="13"/>
                <w:szCs w:val="13"/>
                <w:color w:val="0000FF"/>
              </w:rPr>
              <w:t>01/19/2022</w:t>
            </w: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vMerge w:val="restart"/>
          </w:tcPr>
          <w:p>
            <w:pPr>
              <w:jc w:val="center"/>
              <w:ind w:right="281"/>
              <w:spacing w:after="0" w:line="141" w:lineRule="exact"/>
              <w:rPr>
                <w:sz w:val="20"/>
                <w:szCs w:val="20"/>
                <w:color w:val="auto"/>
              </w:rPr>
            </w:pPr>
            <w:r>
              <w:rPr>
                <w:rFonts w:ascii="Arial" w:cs="Arial" w:eastAsia="Arial" w:hAnsi="Arial"/>
                <w:sz w:val="13"/>
                <w:szCs w:val="13"/>
                <w:color w:val="0000FF"/>
              </w:rPr>
              <w:t>M</w:t>
            </w:r>
          </w:p>
        </w:tc>
        <w:tc>
          <w:tcPr>
            <w:tcW w:w="580" w:type="dxa"/>
            <w:vAlign w:val="bottom"/>
          </w:tcPr>
          <w:p>
            <w:pPr>
              <w:spacing w:after="0"/>
              <w:rPr>
                <w:sz w:val="5"/>
                <w:szCs w:val="5"/>
                <w:color w:val="auto"/>
              </w:rPr>
            </w:pPr>
          </w:p>
        </w:tc>
        <w:tc>
          <w:tcPr>
            <w:tcW w:w="420" w:type="dxa"/>
            <w:vAlign w:val="bottom"/>
            <w:vMerge w:val="restart"/>
          </w:tcPr>
          <w:p>
            <w:pPr>
              <w:ind w:left="40"/>
              <w:spacing w:after="0" w:line="141" w:lineRule="exact"/>
              <w:rPr>
                <w:sz w:val="20"/>
                <w:szCs w:val="20"/>
                <w:color w:val="auto"/>
              </w:rPr>
            </w:pPr>
            <w:r>
              <w:rPr>
                <w:rFonts w:ascii="Arial" w:cs="Arial" w:eastAsia="Arial" w:hAnsi="Arial"/>
                <w:sz w:val="13"/>
                <w:szCs w:val="13"/>
                <w:color w:val="0000FF"/>
              </w:rPr>
              <w:t>1,500</w:t>
            </w: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restart"/>
          </w:tcPr>
          <w:p>
            <w:pPr>
              <w:jc w:val="center"/>
              <w:ind w:right="17"/>
              <w:spacing w:after="0" w:line="141" w:lineRule="exact"/>
              <w:rPr>
                <w:sz w:val="20"/>
                <w:szCs w:val="20"/>
                <w:color w:val="auto"/>
              </w:rPr>
            </w:pPr>
            <w:r>
              <w:rPr>
                <w:rFonts w:ascii="Arial" w:cs="Arial" w:eastAsia="Arial" w:hAnsi="Arial"/>
                <w:sz w:val="13"/>
                <w:szCs w:val="13"/>
                <w:color w:val="0000FF"/>
                <w:w w:val="88"/>
              </w:rPr>
              <w:t>Par</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600" w:type="dxa"/>
            <w:vAlign w:val="bottom"/>
            <w:vMerge w:val="restart"/>
          </w:tcPr>
          <w:p>
            <w:pPr>
              <w:jc w:val="right"/>
              <w:ind w:right="101"/>
              <w:spacing w:after="0" w:line="141" w:lineRule="exact"/>
              <w:rPr>
                <w:sz w:val="20"/>
                <w:szCs w:val="20"/>
                <w:color w:val="auto"/>
              </w:rPr>
            </w:pPr>
            <w:r>
              <w:rPr>
                <w:rFonts w:ascii="Arial" w:cs="Arial" w:eastAsia="Arial" w:hAnsi="Arial"/>
                <w:sz w:val="13"/>
                <w:szCs w:val="13"/>
                <w:color w:val="0000FF"/>
              </w:rPr>
              <w:t>0</w:t>
            </w:r>
          </w:p>
        </w:tc>
        <w:tc>
          <w:tcPr>
            <w:tcW w:w="26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restart"/>
          </w:tcPr>
          <w:p>
            <w:pPr>
              <w:jc w:val="center"/>
              <w:ind w:right="17"/>
              <w:spacing w:after="0" w:line="141" w:lineRule="exact"/>
              <w:rPr>
                <w:sz w:val="20"/>
                <w:szCs w:val="20"/>
                <w:color w:val="auto"/>
              </w:rPr>
            </w:pPr>
            <w:r>
              <w:rPr>
                <w:rFonts w:ascii="Arial" w:cs="Arial" w:eastAsia="Arial" w:hAnsi="Arial"/>
                <w:sz w:val="13"/>
                <w:szCs w:val="13"/>
                <w:color w:val="0000FF"/>
                <w:w w:val="90"/>
              </w:rPr>
              <w:t>Value</w:t>
            </w: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restart"/>
          </w:tcPr>
          <w:p>
            <w:pPr>
              <w:jc w:val="center"/>
              <w:ind w:right="17"/>
              <w:spacing w:after="0" w:line="141" w:lineRule="exact"/>
              <w:rPr>
                <w:sz w:val="20"/>
                <w:szCs w:val="20"/>
                <w:color w:val="auto"/>
              </w:rPr>
            </w:pPr>
            <w:r>
              <w:rPr>
                <w:rFonts w:ascii="Arial" w:cs="Arial" w:eastAsia="Arial" w:hAnsi="Arial"/>
                <w:sz w:val="13"/>
                <w:szCs w:val="13"/>
                <w:color w:val="0000FF"/>
                <w:w w:val="88"/>
              </w:rPr>
              <w:t>Per</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jc w:val="center"/>
              <w:ind w:right="17"/>
              <w:spacing w:after="0"/>
              <w:rPr>
                <w:sz w:val="20"/>
                <w:szCs w:val="20"/>
                <w:color w:val="auto"/>
              </w:rPr>
            </w:pPr>
            <w:r>
              <w:rPr>
                <w:rFonts w:ascii="Arial" w:cs="Arial" w:eastAsia="Arial" w:hAnsi="Arial"/>
                <w:sz w:val="13"/>
                <w:szCs w:val="13"/>
                <w:color w:val="0000FF"/>
                <w:w w:val="86"/>
              </w:rPr>
              <w:t>Share</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jc w:val="center"/>
              <w:ind w:right="17"/>
              <w:spacing w:after="0"/>
              <w:rPr>
                <w:sz w:val="20"/>
                <w:szCs w:val="20"/>
                <w:color w:val="auto"/>
              </w:rPr>
            </w:pPr>
            <w:r>
              <w:rPr>
                <w:rFonts w:ascii="Arial" w:cs="Arial" w:eastAsia="Arial" w:hAnsi="Arial"/>
                <w:sz w:val="13"/>
                <w:szCs w:val="13"/>
                <w:color w:val="0000FF"/>
                <w:w w:val="87"/>
              </w:rPr>
              <w:t>Common</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RSU</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jc w:val="center"/>
              <w:ind w:right="17"/>
              <w:spacing w:after="0" w:line="141" w:lineRule="exact"/>
              <w:rPr>
                <w:sz w:val="20"/>
                <w:szCs w:val="20"/>
                <w:color w:val="auto"/>
              </w:rPr>
            </w:pPr>
            <w:r>
              <w:rPr>
                <w:rFonts w:ascii="Arial" w:cs="Arial" w:eastAsia="Arial" w:hAnsi="Arial"/>
                <w:sz w:val="13"/>
                <w:szCs w:val="13"/>
                <w:color w:val="0000FF"/>
                <w:w w:val="93"/>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restart"/>
          </w:tcPr>
          <w:p>
            <w:pPr>
              <w:jc w:val="center"/>
              <w:ind w:right="17"/>
              <w:spacing w:after="0" w:line="141" w:lineRule="exact"/>
              <w:rPr>
                <w:sz w:val="20"/>
                <w:szCs w:val="20"/>
                <w:color w:val="auto"/>
              </w:rPr>
            </w:pPr>
            <w:r>
              <w:rPr>
                <w:rFonts w:ascii="Arial" w:cs="Arial" w:eastAsia="Arial" w:hAnsi="Arial"/>
                <w:sz w:val="13"/>
                <w:szCs w:val="13"/>
                <w:color w:val="0000FF"/>
                <w:w w:val="92"/>
              </w:rPr>
              <w:t>$0.01</w:t>
            </w: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w w:val="95"/>
              </w:rPr>
              <w:t>(Restricted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660" w:type="dxa"/>
            <w:vAlign w:val="bottom"/>
            <w:vMerge w:val="continue"/>
          </w:tcPr>
          <w:p>
            <w:pPr>
              <w:spacing w:after="0"/>
              <w:rPr>
                <w:sz w:val="6"/>
                <w:szCs w:val="6"/>
                <w:color w:val="auto"/>
              </w:rPr>
            </w:pPr>
          </w:p>
        </w:tc>
        <w:tc>
          <w:tcPr>
            <w:tcW w:w="520" w:type="dxa"/>
            <w:vAlign w:val="bottom"/>
            <w:vMerge w:val="restart"/>
          </w:tcPr>
          <w:p>
            <w:pPr>
              <w:jc w:val="right"/>
              <w:spacing w:after="0"/>
              <w:rPr>
                <w:sz w:val="20"/>
                <w:szCs w:val="20"/>
                <w:color w:val="auto"/>
              </w:rPr>
            </w:pPr>
            <w:r>
              <w:rPr>
                <w:rFonts w:ascii="Arial" w:cs="Arial" w:eastAsia="Arial" w:hAnsi="Arial"/>
                <w:sz w:val="17"/>
                <w:szCs w:val="17"/>
                <w:color w:val="0000FF"/>
                <w:w w:val="84"/>
              </w:rPr>
              <w:t>24,414</w:t>
            </w: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60"/>
              <w:spacing w:after="0"/>
              <w:rPr>
                <w:sz w:val="20"/>
                <w:szCs w:val="20"/>
                <w:color w:val="auto"/>
              </w:rPr>
            </w:pPr>
            <w:r>
              <w:rPr>
                <w:rFonts w:ascii="Arial" w:cs="Arial" w:eastAsia="Arial" w:hAnsi="Arial"/>
                <w:sz w:val="13"/>
                <w:szCs w:val="13"/>
                <w:color w:val="0000FF"/>
              </w:rPr>
              <w:t>01/19/2022</w:t>
            </w: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vMerge w:val="restart"/>
          </w:tcPr>
          <w:p>
            <w:pPr>
              <w:jc w:val="center"/>
              <w:ind w:right="261"/>
              <w:spacing w:after="0"/>
              <w:rPr>
                <w:sz w:val="20"/>
                <w:szCs w:val="20"/>
                <w:color w:val="auto"/>
              </w:rPr>
            </w:pPr>
            <w:r>
              <w:rPr>
                <w:rFonts w:ascii="Arial" w:cs="Arial" w:eastAsia="Arial" w:hAnsi="Arial"/>
                <w:sz w:val="13"/>
                <w:szCs w:val="13"/>
                <w:color w:val="0000FF"/>
              </w:rPr>
              <w:t>A</w:t>
            </w:r>
          </w:p>
        </w:tc>
        <w:tc>
          <w:tcPr>
            <w:tcW w:w="580" w:type="dxa"/>
            <w:vAlign w:val="bottom"/>
            <w:vMerge w:val="restart"/>
          </w:tcPr>
          <w:p>
            <w:pPr>
              <w:ind w:left="120"/>
              <w:spacing w:after="0"/>
              <w:rPr>
                <w:sz w:val="20"/>
                <w:szCs w:val="20"/>
                <w:color w:val="auto"/>
              </w:rPr>
            </w:pPr>
            <w:r>
              <w:rPr>
                <w:rFonts w:ascii="Arial" w:cs="Arial" w:eastAsia="Arial" w:hAnsi="Arial"/>
                <w:sz w:val="13"/>
                <w:szCs w:val="13"/>
                <w:color w:val="0000FF"/>
              </w:rPr>
              <w:t>24,414</w:t>
            </w:r>
          </w:p>
        </w:tc>
        <w:tc>
          <w:tcPr>
            <w:tcW w:w="4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restart"/>
          </w:tcPr>
          <w:p>
            <w:pPr>
              <w:jc w:val="center"/>
              <w:ind w:right="17"/>
              <w:spacing w:after="0"/>
              <w:rPr>
                <w:sz w:val="20"/>
                <w:szCs w:val="20"/>
                <w:color w:val="auto"/>
              </w:rPr>
            </w:pPr>
            <w:r>
              <w:rPr>
                <w:rFonts w:ascii="Arial" w:cs="Arial" w:eastAsia="Arial" w:hAnsi="Arial"/>
                <w:sz w:val="13"/>
                <w:szCs w:val="13"/>
                <w:color w:val="0000FF"/>
                <w:w w:val="88"/>
              </w:rPr>
              <w:t>Par</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0000FF"/>
              </w:rPr>
              <w:t>24,414</w:t>
            </w:r>
          </w:p>
        </w:tc>
        <w:tc>
          <w:tcPr>
            <w:tcW w:w="260" w:type="dxa"/>
            <w:vAlign w:val="bottom"/>
          </w:tcPr>
          <w:p>
            <w:pPr>
              <w:spacing w:after="0"/>
              <w:rPr>
                <w:sz w:val="5"/>
                <w:szCs w:val="5"/>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0" w:type="dxa"/>
            <w:vAlign w:val="bottom"/>
          </w:tcPr>
          <w:p>
            <w:pPr>
              <w:ind w:left="60"/>
              <w:spacing w:after="0" w:line="87" w:lineRule="exact"/>
              <w:rPr>
                <w:sz w:val="20"/>
                <w:szCs w:val="20"/>
                <w:color w:val="auto"/>
              </w:rPr>
            </w:pPr>
            <w:r>
              <w:rPr>
                <w:rFonts w:ascii="Arial" w:cs="Arial" w:eastAsia="Arial" w:hAnsi="Arial"/>
                <w:sz w:val="10"/>
                <w:szCs w:val="10"/>
                <w:color w:val="0000FF"/>
              </w:rPr>
              <w:t>Stock</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30"/>
        </w:trPr>
        <w:tc>
          <w:tcPr>
            <w:tcW w:w="3580" w:type="dxa"/>
            <w:vAlign w:val="bottom"/>
            <w:vMerge w:val="restart"/>
          </w:tcPr>
          <w:p>
            <w:pPr>
              <w:spacing w:after="0"/>
              <w:rPr>
                <w:sz w:val="20"/>
                <w:szCs w:val="20"/>
                <w:color w:val="auto"/>
              </w:rPr>
            </w:pPr>
            <w:r>
              <w:rPr>
                <w:rFonts w:ascii="Arial" w:cs="Arial" w:eastAsia="Arial" w:hAnsi="Arial"/>
                <w:sz w:val="13"/>
                <w:szCs w:val="13"/>
                <w:color w:val="0000FF"/>
              </w:rPr>
              <w:t>Unit)</w:t>
            </w:r>
          </w:p>
        </w:tc>
        <w:tc>
          <w:tcPr>
            <w:tcW w:w="3600" w:type="dxa"/>
            <w:vAlign w:val="bottom"/>
          </w:tcPr>
          <w:p>
            <w:pPr>
              <w:jc w:val="center"/>
              <w:ind w:left="3236"/>
              <w:spacing w:after="0" w:line="131" w:lineRule="exact"/>
              <w:rPr>
                <w:sz w:val="20"/>
                <w:szCs w:val="20"/>
                <w:color w:val="auto"/>
              </w:rPr>
            </w:pPr>
            <w:r>
              <w:rPr>
                <w:rFonts w:ascii="Arial" w:cs="Arial" w:eastAsia="Arial" w:hAnsi="Arial"/>
                <w:sz w:val="13"/>
                <w:szCs w:val="13"/>
                <w:color w:val="0000FF"/>
                <w:w w:val="90"/>
              </w:rPr>
              <w:t>Value</w:t>
            </w:r>
          </w:p>
        </w:tc>
        <w:tc>
          <w:tcPr>
            <w:tcW w:w="0" w:type="dxa"/>
            <w:vAlign w:val="bottom"/>
          </w:tcPr>
          <w:p>
            <w:pPr>
              <w:spacing w:after="0"/>
              <w:rPr>
                <w:sz w:val="1"/>
                <w:szCs w:val="1"/>
                <w:color w:val="auto"/>
              </w:rPr>
            </w:pPr>
          </w:p>
        </w:tc>
      </w:tr>
      <w:tr>
        <w:trPr>
          <w:trHeight w:val="85"/>
        </w:trPr>
        <w:tc>
          <w:tcPr>
            <w:tcW w:w="3580" w:type="dxa"/>
            <w:vAlign w:val="bottom"/>
            <w:vMerge w:val="continue"/>
          </w:tcPr>
          <w:p>
            <w:pPr>
              <w:spacing w:after="0"/>
              <w:rPr>
                <w:sz w:val="7"/>
                <w:szCs w:val="7"/>
                <w:color w:val="auto"/>
              </w:rPr>
            </w:pPr>
          </w:p>
        </w:tc>
        <w:tc>
          <w:tcPr>
            <w:tcW w:w="3600" w:type="dxa"/>
            <w:vAlign w:val="bottom"/>
            <w:vMerge w:val="restart"/>
          </w:tcPr>
          <w:p>
            <w:pPr>
              <w:jc w:val="center"/>
              <w:ind w:left="3236"/>
              <w:spacing w:after="0" w:line="141" w:lineRule="exact"/>
              <w:rPr>
                <w:sz w:val="20"/>
                <w:szCs w:val="20"/>
                <w:color w:val="auto"/>
              </w:rPr>
            </w:pPr>
            <w:r>
              <w:rPr>
                <w:rFonts w:ascii="Arial" w:cs="Arial" w:eastAsia="Arial" w:hAnsi="Arial"/>
                <w:sz w:val="13"/>
                <w:szCs w:val="13"/>
                <w:color w:val="0000FF"/>
                <w:w w:val="88"/>
              </w:rPr>
              <w:t>Per</w:t>
            </w:r>
          </w:p>
        </w:tc>
        <w:tc>
          <w:tcPr>
            <w:tcW w:w="0" w:type="dxa"/>
            <w:vAlign w:val="bottom"/>
          </w:tcPr>
          <w:p>
            <w:pPr>
              <w:spacing w:after="0"/>
              <w:rPr>
                <w:sz w:val="1"/>
                <w:szCs w:val="1"/>
                <w:color w:val="auto"/>
              </w:rPr>
            </w:pPr>
          </w:p>
        </w:tc>
      </w:tr>
      <w:tr>
        <w:trPr>
          <w:trHeight w:val="55"/>
        </w:trPr>
        <w:tc>
          <w:tcPr>
            <w:tcW w:w="3580" w:type="dxa"/>
            <w:vAlign w:val="bottom"/>
          </w:tcPr>
          <w:p>
            <w:pPr>
              <w:spacing w:after="0"/>
              <w:rPr>
                <w:sz w:val="4"/>
                <w:szCs w:val="4"/>
                <w:color w:val="auto"/>
              </w:rPr>
            </w:pPr>
          </w:p>
        </w:tc>
        <w:tc>
          <w:tcPr>
            <w:tcW w:w="3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3600" w:type="dxa"/>
            <w:vAlign w:val="bottom"/>
          </w:tcPr>
          <w:p>
            <w:pPr>
              <w:jc w:val="center"/>
              <w:ind w:left="3236"/>
              <w:spacing w:after="0"/>
              <w:rPr>
                <w:sz w:val="20"/>
                <w:szCs w:val="20"/>
                <w:color w:val="auto"/>
              </w:rPr>
            </w:pPr>
            <w:r>
              <w:rPr>
                <w:rFonts w:ascii="Arial" w:cs="Arial" w:eastAsia="Arial" w:hAnsi="Arial"/>
                <w:sz w:val="13"/>
                <w:szCs w:val="13"/>
                <w:color w:val="0000FF"/>
                <w:w w:val="86"/>
              </w:rPr>
              <w:t>Share</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the right to receive, at settlement, one (1) share of common stock.</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restricted stock unit award was granted January 19, 2017 and vested 60% on January 19, 2020 and 20% on January 19, 2021. The remaining restricted stock unit award vested on January 19, 2022.</w:t>
      </w:r>
    </w:p>
    <w:p>
      <w:pPr>
        <w:spacing w:after="0" w:line="53" w:lineRule="exact"/>
        <w:rPr>
          <w:rFonts w:ascii="Arial" w:cs="Arial" w:eastAsia="Arial" w:hAnsi="Arial"/>
          <w:sz w:val="12"/>
          <w:szCs w:val="12"/>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 award was granted January 19, 2022 and vests 100% on January 19, 2025.</w:t>
      </w:r>
    </w:p>
    <w:p>
      <w:pPr>
        <w:spacing w:after="0" w:line="4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6"/>
              </w:rPr>
              <w:t>/s/ Samantha Blons, Attorney-</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01/21/2022</w:t>
            </w:r>
          </w:p>
        </w:tc>
        <w:tc>
          <w:tcPr>
            <w:tcW w:w="0" w:type="dxa"/>
            <w:vAlign w:val="bottom"/>
          </w:tcPr>
          <w:p>
            <w:pPr>
              <w:spacing w:after="0"/>
              <w:rPr>
                <w:sz w:val="1"/>
                <w:szCs w:val="1"/>
                <w:color w:val="auto"/>
              </w:rPr>
            </w:pPr>
          </w:p>
        </w:tc>
      </w:tr>
      <w:tr>
        <w:trPr>
          <w:trHeight w:val="87"/>
        </w:trPr>
        <w:tc>
          <w:tcPr>
            <w:tcW w:w="480" w:type="dxa"/>
            <w:vAlign w:val="bottom"/>
            <w:tcBorders>
              <w:top w:val="single" w:sz="8" w:color="auto"/>
              <w:bottom w:val="single" w:sz="8" w:color="auto"/>
            </w:tcBorders>
            <w:vMerge w:val="restart"/>
          </w:tcPr>
          <w:p>
            <w:pPr>
              <w:spacing w:after="0" w:line="185" w:lineRule="exact"/>
              <w:rPr>
                <w:sz w:val="20"/>
                <w:szCs w:val="20"/>
                <w:color w:val="auto"/>
              </w:rPr>
            </w:pPr>
            <w:r>
              <w:rPr>
                <w:rFonts w:ascii="Arial" w:cs="Arial" w:eastAsia="Arial" w:hAnsi="Arial"/>
                <w:sz w:val="17"/>
                <w:szCs w:val="17"/>
                <w:color w:val="0000FF"/>
                <w:w w:val="88"/>
              </w:rPr>
              <w:t>in-Fact</w:t>
            </w:r>
          </w:p>
        </w:tc>
        <w:tc>
          <w:tcPr>
            <w:tcW w:w="15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80" w:type="dxa"/>
            <w:vAlign w:val="bottom"/>
            <w:tcBorders>
              <w:bottom w:val="single" w:sz="8" w:color="auto"/>
            </w:tcBorders>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29"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0"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SCHLUMBERGER LIMITED</w:t>
      </w:r>
    </w:p>
    <w:p>
      <w:pPr>
        <w:spacing w:after="0" w:line="238" w:lineRule="auto"/>
        <w:rPr>
          <w:sz w:val="20"/>
          <w:szCs w:val="20"/>
          <w:color w:val="auto"/>
        </w:rPr>
      </w:pPr>
      <w:r>
        <w:rPr>
          <w:rFonts w:ascii="Courier New" w:cs="Courier New" w:eastAsia="Courier New" w:hAnsi="Courier New"/>
          <w:sz w:val="17"/>
          <w:szCs w:val="17"/>
          <w:color w:val="auto"/>
        </w:rPr>
        <w:t>POWER OF ATTORNEY</w:t>
      </w:r>
    </w:p>
    <w:p>
      <w:pPr>
        <w:spacing w:after="0" w:line="197" w:lineRule="exact"/>
        <w:rPr>
          <w:sz w:val="20"/>
          <w:szCs w:val="20"/>
          <w:color w:val="auto"/>
        </w:rPr>
      </w:pPr>
    </w:p>
    <w:p>
      <w:pPr>
        <w:ind w:right="4319" w:firstLine="697"/>
        <w:spacing w:after="0" w:line="253" w:lineRule="auto"/>
        <w:rPr>
          <w:sz w:val="20"/>
          <w:szCs w:val="20"/>
          <w:color w:val="auto"/>
        </w:rPr>
      </w:pPr>
      <w:r>
        <w:rPr>
          <w:rFonts w:ascii="Courier New" w:cs="Courier New" w:eastAsia="Courier New" w:hAnsi="Courier New"/>
          <w:sz w:val="16"/>
          <w:szCs w:val="16"/>
          <w:color w:val="auto"/>
        </w:rPr>
        <w:t>The undersigned, in her capacity as a director or officer, or both, of Schlumberger Limited, a Curacao corporation (the "Company"), does hereby appoint each of Dianne B. Ralston, Samantha Blons, and LaToyia Tilley, or any of them acting singly, her true and lawful attorney-in-fact with full power of substitution, to (a) prepare, execute in the undersigneds name and on the undersigneds behalf, and submit to the U.S. Securities and Exchange Commission (the "SEC") a Form ID, including amendments thereto, and any other documents necessary or appropriate to obtain codes, passwords and passphrases enabling the undersigned to make electronic filings with the SEC</w:t>
      </w:r>
    </w:p>
    <w:p>
      <w:pPr>
        <w:spacing w:after="0" w:line="4" w:lineRule="exact"/>
        <w:rPr>
          <w:sz w:val="20"/>
          <w:szCs w:val="20"/>
          <w:color w:val="auto"/>
        </w:rPr>
      </w:pPr>
    </w:p>
    <w:p>
      <w:pPr>
        <w:ind w:right="4119"/>
        <w:spacing w:after="0" w:line="237" w:lineRule="auto"/>
        <w:rPr>
          <w:sz w:val="20"/>
          <w:szCs w:val="20"/>
          <w:color w:val="auto"/>
        </w:rPr>
      </w:pPr>
      <w:r>
        <w:rPr>
          <w:rFonts w:ascii="Courier New" w:cs="Courier New" w:eastAsia="Courier New" w:hAnsi="Courier New"/>
          <w:sz w:val="17"/>
          <w:szCs w:val="17"/>
          <w:color w:val="auto"/>
        </w:rPr>
        <w:t>of reports required by Section 16(a) of the Securities Exchange Act of 1934, as amended (the Exchange Act), or any rule or regulation of the SEC; and (b) execute for and on behalf of the undersigned, in the undersigneds capacity as a director 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196"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This Power of Attorney supersedes any and all</w:t>
      </w:r>
    </w:p>
    <w:p>
      <w:pPr>
        <w:spacing w:after="0" w:line="238" w:lineRule="auto"/>
        <w:rPr>
          <w:sz w:val="20"/>
          <w:szCs w:val="20"/>
          <w:color w:val="auto"/>
        </w:rPr>
      </w:pPr>
      <w:r>
        <w:rPr>
          <w:rFonts w:ascii="Courier New" w:cs="Courier New" w:eastAsia="Courier New" w:hAnsi="Courier New"/>
          <w:sz w:val="17"/>
          <w:szCs w:val="17"/>
          <w:color w:val="auto"/>
        </w:rPr>
        <w:t>prior and existing powers of attorney signed by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undersigned with respect to the subject matter hereof, and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shall remain in full force and effect until the undersigned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is no longer required to file Forms 3, 4, 5 or 144 with</w:t>
      </w:r>
    </w:p>
    <w:p>
      <w:pPr>
        <w:spacing w:after="0" w:line="238" w:lineRule="auto"/>
        <w:rPr>
          <w:sz w:val="20"/>
          <w:szCs w:val="20"/>
          <w:color w:val="auto"/>
        </w:rPr>
      </w:pPr>
      <w:r>
        <w:rPr>
          <w:rFonts w:ascii="Courier New" w:cs="Courier New" w:eastAsia="Courier New" w:hAnsi="Courier New"/>
          <w:sz w:val="17"/>
          <w:szCs w:val="17"/>
          <w:color w:val="auto"/>
        </w:rPr>
        <w:t>respect to the undersigneds holdings of and transactions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securities issued by the Company, unless earlier revoked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the undersigned in a signed writing delivered to the</w:t>
      </w:r>
    </w:p>
    <w:p>
      <w:pPr>
        <w:spacing w:after="0" w:line="238" w:lineRule="auto"/>
        <w:rPr>
          <w:sz w:val="20"/>
          <w:szCs w:val="20"/>
          <w:color w:val="auto"/>
        </w:rPr>
      </w:pPr>
      <w:r>
        <w:rPr>
          <w:rFonts w:ascii="Courier New" w:cs="Courier New" w:eastAsia="Courier New" w:hAnsi="Courier New"/>
          <w:sz w:val="17"/>
          <w:szCs w:val="17"/>
          <w:color w:val="auto"/>
        </w:rPr>
        <w:t>foregoing attorneys-in-fact.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4, 2021</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Hinda Gharbi</w:t>
      </w:r>
    </w:p>
    <w:p>
      <w:pPr>
        <w:spacing w:after="0" w:line="238" w:lineRule="auto"/>
        <w:rPr>
          <w:sz w:val="20"/>
          <w:szCs w:val="20"/>
          <w:color w:val="auto"/>
        </w:rPr>
      </w:pPr>
      <w:r>
        <w:rPr>
          <w:rFonts w:ascii="Courier New" w:cs="Courier New" w:eastAsia="Courier New" w:hAnsi="Courier New"/>
          <w:sz w:val="17"/>
          <w:szCs w:val="17"/>
          <w:color w:val="auto"/>
        </w:rPr>
        <w:t>Hinda Gharbi</w:t>
      </w:r>
    </w:p>
    <w:sectPr>
      <w:pgSz w:w="11900" w:h="16838" w:orient="portrait"/>
      <w:cols w:equalWidth="0" w:num="1">
        <w:col w:w="9999"/>
      </w:cols>
      <w:pgMar w:left="46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08286"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2022-01-21T19:24:50Z</dcterms:created>
  <dcterms:modified xsi:type="dcterms:W3CDTF">2022-01-21T19:24:50Z</dcterms:modified>
</cp:coreProperties>
</file>