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right"/>
              <w:ind w:right="577"/>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5599 San Felipe, 17th Floor</w:t>
            </w:r>
          </w:p>
        </w:tc>
        <w:tc>
          <w:tcPr>
            <w:tcW w:w="7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ind w:right="279"/>
              <w:spacing w:after="0" w:line="144" w:lineRule="exact"/>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460"/>
              <w:spacing w:after="0" w:line="144"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2"/>
                <w:szCs w:val="12"/>
                <w:color w:val="auto"/>
              </w:rPr>
            </w:pPr>
          </w:p>
        </w:tc>
        <w:tc>
          <w:tcPr>
            <w:tcW w:w="5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12"/>
                <w:szCs w:val="12"/>
                <w:color w:val="auto"/>
              </w:rPr>
            </w:pPr>
          </w:p>
        </w:tc>
        <w:tc>
          <w:tcPr>
            <w:tcW w:w="80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437"/>
              <w:spacing w:after="0" w:line="144" w:lineRule="exact"/>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06"/>
        </w:trPr>
        <w:tc>
          <w:tcPr>
            <w:tcW w:w="2880" w:type="dxa"/>
            <w:vAlign w:val="bottom"/>
            <w:tcBorders>
              <w:left w:val="single" w:sz="8" w:color="auto"/>
              <w:right w:val="single" w:sz="8" w:color="auto"/>
            </w:tcBorders>
          </w:tcPr>
          <w:p>
            <w:pPr>
              <w:ind w:left="80"/>
              <w:spacing w:after="0" w:line="107" w:lineRule="exact"/>
              <w:rPr>
                <w:sz w:val="20"/>
                <w:szCs w:val="20"/>
                <w:color w:val="auto"/>
              </w:rPr>
            </w:pPr>
            <w:r>
              <w:rPr>
                <w:rFonts w:ascii="Arial" w:cs="Arial" w:eastAsia="Arial" w:hAnsi="Arial"/>
                <w:sz w:val="12"/>
                <w:szCs w:val="12"/>
                <w:color w:val="auto"/>
              </w:rPr>
              <w:t>Patrick Schorn</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Officer</w:t>
            </w:r>
          </w:p>
        </w:tc>
        <w:tc>
          <w:tcPr>
            <w:tcW w:w="560" w:type="dxa"/>
            <w:vAlign w:val="bottom"/>
            <w:tcBorders>
              <w:right w:val="single" w:sz="8" w:color="auto"/>
            </w:tcBorders>
          </w:tcPr>
          <w:p>
            <w:pPr>
              <w:spacing w:after="0"/>
              <w:rPr>
                <w:sz w:val="9"/>
                <w:szCs w:val="9"/>
                <w:color w:val="auto"/>
              </w:rPr>
            </w:pPr>
          </w:p>
        </w:tc>
        <w:tc>
          <w:tcPr>
            <w:tcW w:w="2220" w:type="dxa"/>
            <w:vAlign w:val="bottom"/>
            <w:gridSpan w:val="4"/>
          </w:tcPr>
          <w:p>
            <w:pPr>
              <w:jc w:val="right"/>
              <w:ind w:right="800"/>
              <w:spacing w:after="0" w:line="107" w:lineRule="exact"/>
              <w:rPr>
                <w:sz w:val="20"/>
                <w:szCs w:val="20"/>
                <w:color w:val="auto"/>
              </w:rPr>
            </w:pPr>
            <w:r>
              <w:rPr>
                <w:rFonts w:ascii="Arial" w:cs="Arial" w:eastAsia="Arial" w:hAnsi="Arial"/>
                <w:sz w:val="12"/>
                <w:szCs w:val="12"/>
                <w:color w:val="auto"/>
              </w:rPr>
              <w:t>c/o Schlumberger Limited</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90"/>
        </w:trPr>
        <w:tc>
          <w:tcPr>
            <w:tcW w:w="288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20" w:type="dxa"/>
            <w:vAlign w:val="bottom"/>
            <w:gridSpan w:val="4"/>
            <w:vMerge w:val="restart"/>
          </w:tcPr>
          <w:p>
            <w:pPr>
              <w:jc w:val="right"/>
              <w:ind w:right="700"/>
              <w:spacing w:after="0" w:line="147" w:lineRule="exact"/>
              <w:rPr>
                <w:sz w:val="20"/>
                <w:szCs w:val="20"/>
                <w:color w:val="auto"/>
              </w:rPr>
            </w:pPr>
            <w:r>
              <w:rPr>
                <w:rFonts w:ascii="Arial" w:cs="Arial" w:eastAsia="Arial" w:hAnsi="Arial"/>
                <w:sz w:val="13"/>
                <w:szCs w:val="13"/>
                <w:color w:val="auto"/>
                <w:w w:val="93"/>
              </w:rPr>
              <w:t>5599 San Felipe, 17th Floor</w:t>
            </w: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4"/>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spacing w:after="0"/>
              <w:rPr>
                <w:sz w:val="16"/>
                <w:szCs w:val="16"/>
                <w:color w:val="auto"/>
              </w:rPr>
            </w:pPr>
          </w:p>
        </w:tc>
        <w:tc>
          <w:tcPr>
            <w:tcW w:w="268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 USE</w:t>
            </w:r>
          </w:p>
        </w:tc>
        <w:tc>
          <w:tcPr>
            <w:tcW w:w="120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ONLY</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1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240" w:type="dxa"/>
            <w:vAlign w:val="bottom"/>
          </w:tcPr>
          <w:p>
            <w:pPr>
              <w:ind w:left="60"/>
              <w:spacing w:after="0"/>
              <w:rPr>
                <w:sz w:val="20"/>
                <w:szCs w:val="20"/>
                <w:color w:val="auto"/>
              </w:rPr>
            </w:pPr>
            <w:r>
              <w:rPr>
                <w:rFonts w:ascii="Arial" w:cs="Arial" w:eastAsia="Arial" w:hAnsi="Arial"/>
                <w:sz w:val="14"/>
                <w:szCs w:val="14"/>
                <w:color w:val="auto"/>
                <w:w w:val="93"/>
              </w:rPr>
              <w:t>(e)</w:t>
            </w: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44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Title of the</w:t>
            </w:r>
          </w:p>
        </w:tc>
        <w:tc>
          <w:tcPr>
            <w:tcW w:w="26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2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right w:val="single" w:sz="8" w:color="auto"/>
            </w:tcBorders>
          </w:tcPr>
          <w:p>
            <w:pPr>
              <w:jc w:val="center"/>
              <w:ind w:right="209"/>
              <w:spacing w:after="0" w:line="157" w:lineRule="exact"/>
              <w:rPr>
                <w:sz w:val="20"/>
                <w:szCs w:val="20"/>
                <w:color w:val="auto"/>
              </w:rPr>
            </w:pPr>
            <w:r>
              <w:rPr>
                <w:rFonts w:ascii="Arial" w:cs="Arial" w:eastAsia="Arial" w:hAnsi="Arial"/>
                <w:sz w:val="14"/>
                <w:szCs w:val="14"/>
                <w:b w:val="1"/>
                <w:bCs w:val="1"/>
                <w:color w:val="auto"/>
                <w:w w:val="91"/>
              </w:rPr>
              <w:t>Number of Shares</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5"/>
              </w:rPr>
              <w:t>Approximate</w:t>
            </w:r>
          </w:p>
        </w:tc>
        <w:tc>
          <w:tcPr>
            <w:tcW w:w="1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of Each</w:t>
            </w:r>
          </w:p>
        </w:tc>
      </w:tr>
      <w:tr>
        <w:trPr>
          <w:trHeight w:val="178"/>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Through Whom the Securities are</w:t>
            </w:r>
          </w:p>
        </w:tc>
        <w:tc>
          <w:tcPr>
            <w:tcW w:w="10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or Other</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5"/>
              </w:rPr>
              <w:t>or Other Units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of Sale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Broker-Dealer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To Be Sold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(See instr. 3(f))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who is Acquiring the 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(See instr. 3(c))</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(See instr. 3(d))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4"/>
                <w:szCs w:val="14"/>
                <w:b w:val="1"/>
                <w:bCs w:val="1"/>
                <w:i w:val="1"/>
                <w:iCs w:val="1"/>
                <w:color w:val="auto"/>
                <w:w w:val="88"/>
              </w:rPr>
              <w:t>(See instr. 3(e))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3(g))</w:t>
            </w:r>
          </w:p>
        </w:tc>
      </w:tr>
      <w:tr>
        <w:trPr>
          <w:trHeight w:val="164"/>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Fidelity Investments</w:t>
            </w:r>
          </w:p>
        </w:tc>
        <w:tc>
          <w:tcPr>
            <w:tcW w:w="10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12,151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$472,978</w:t>
            </w:r>
          </w:p>
        </w:tc>
        <w:tc>
          <w:tcPr>
            <w:tcW w:w="240" w:type="dxa"/>
            <w:vAlign w:val="bottom"/>
          </w:tcPr>
          <w:p>
            <w:pPr>
              <w:spacing w:after="0"/>
              <w:rPr>
                <w:sz w:val="14"/>
                <w:szCs w:val="14"/>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1,385,122,272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07/22/2019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178"/>
        </w:trPr>
        <w:tc>
          <w:tcPr>
            <w:tcW w:w="1440" w:type="dxa"/>
            <w:vAlign w:val="bottom"/>
            <w:tcBorders>
              <w:left w:val="single" w:sz="8" w:color="auto"/>
              <w:right w:val="single" w:sz="8" w:color="auto"/>
            </w:tcBorders>
          </w:tcPr>
          <w:p>
            <w:pPr>
              <w:spacing w:after="0"/>
              <w:rPr>
                <w:sz w:val="15"/>
                <w:szCs w:val="15"/>
                <w:color w:val="auto"/>
              </w:rPr>
            </w:pP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200 Magellan Way</w:t>
            </w:r>
          </w:p>
        </w:tc>
        <w:tc>
          <w:tcPr>
            <w:tcW w:w="10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84"/>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Covington, KY 41015</w:t>
            </w:r>
          </w:p>
        </w:tc>
        <w:tc>
          <w:tcPr>
            <w:tcW w:w="10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76"/>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280" w:type="dxa"/>
            <w:vAlign w:val="bottom"/>
            <w:tcBorders>
              <w:top w:val="single" w:sz="8" w:color="auto"/>
              <w:left w:val="single" w:sz="8" w:color="auto"/>
              <w:right w:val="single" w:sz="8" w:color="auto"/>
            </w:tcBorders>
            <w:vMerge w:val="restart"/>
          </w:tcPr>
          <w:p>
            <w:pPr>
              <w:jc w:val="center"/>
              <w:ind w:right="34"/>
              <w:spacing w:after="0"/>
              <w:rPr>
                <w:sz w:val="20"/>
                <w:szCs w:val="20"/>
                <w:color w:val="auto"/>
              </w:rPr>
            </w:pPr>
            <w:r>
              <w:rPr>
                <w:rFonts w:ascii="Arial" w:cs="Arial" w:eastAsia="Arial" w:hAnsi="Arial"/>
                <w:sz w:val="13"/>
                <w:szCs w:val="13"/>
                <w:b w:val="1"/>
                <w:bCs w:val="1"/>
                <w:color w:val="auto"/>
                <w:w w:val="89"/>
              </w:rPr>
              <w:t>Title of</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2520" w:type="dxa"/>
            <w:vAlign w:val="bottom"/>
            <w:tcBorders>
              <w:top w:val="single" w:sz="8" w:color="auto"/>
              <w:right w:val="single" w:sz="8" w:color="auto"/>
            </w:tcBorders>
          </w:tcPr>
          <w:p>
            <w:pPr>
              <w:spacing w:after="0"/>
              <w:rPr>
                <w:sz w:val="10"/>
                <w:szCs w:val="10"/>
                <w:color w:val="auto"/>
              </w:rPr>
            </w:pPr>
          </w:p>
        </w:tc>
        <w:tc>
          <w:tcPr>
            <w:tcW w:w="25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7"/>
              </w:rPr>
              <w:t>Name of Person From</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w:t>
            </w:r>
          </w:p>
        </w:tc>
        <w:tc>
          <w:tcPr>
            <w:tcW w:w="21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80" w:type="dxa"/>
            <w:vAlign w:val="bottom"/>
            <w:tcBorders>
              <w:left w:val="single" w:sz="8" w:color="auto"/>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Name of Acquisition Transaction</w:t>
            </w:r>
          </w:p>
        </w:tc>
        <w:tc>
          <w:tcPr>
            <w:tcW w:w="25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34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restart"/>
          </w:tcPr>
          <w:p>
            <w:pPr>
              <w:jc w:val="center"/>
              <w:ind w:left="33"/>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50"/>
        </w:trPr>
        <w:tc>
          <w:tcPr>
            <w:tcW w:w="1280" w:type="dxa"/>
            <w:vAlign w:val="bottom"/>
            <w:tcBorders>
              <w:left w:val="single" w:sz="8" w:color="auto"/>
              <w:bottom w:val="single" w:sz="8" w:color="auto"/>
              <w:right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2"/>
              </w:rPr>
              <w:t>the Class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2520" w:type="dxa"/>
            <w:vAlign w:val="bottom"/>
            <w:tcBorders>
              <w:bottom w:val="single" w:sz="8" w:color="auto"/>
              <w:right w:val="single" w:sz="8" w:color="auto"/>
            </w:tcBorders>
            <w:vMerge w:val="continue"/>
          </w:tcPr>
          <w:p>
            <w:pPr>
              <w:spacing w:after="0"/>
              <w:rPr>
                <w:sz w:val="13"/>
                <w:szCs w:val="13"/>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7/20/2019</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Restricted Stock Unit Release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15,000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233285" cy="30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285" cy="30162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160" w:type="dxa"/>
            <w:vAlign w:val="bottom"/>
            <w:tcBorders>
              <w:top w:val="single" w:sz="8" w:color="auto"/>
            </w:tcBorders>
            <w:vMerge w:val="restart"/>
          </w:tcPr>
          <w:p>
            <w:pPr>
              <w:ind w:left="1400"/>
              <w:spacing w:after="0"/>
              <w:rPr>
                <w:sz w:val="20"/>
                <w:szCs w:val="20"/>
                <w:color w:val="auto"/>
              </w:rPr>
            </w:pPr>
            <w:r>
              <w:rPr>
                <w:rFonts w:ascii="Arial" w:cs="Arial" w:eastAsia="Arial" w:hAnsi="Arial"/>
                <w:sz w:val="13"/>
                <w:szCs w:val="13"/>
                <w:b w:val="1"/>
                <w:bCs w:val="1"/>
                <w:color w:val="auto"/>
              </w:rPr>
              <w:t>Name and Address of the Seller</w:t>
            </w:r>
          </w:p>
        </w:tc>
        <w:tc>
          <w:tcPr>
            <w:tcW w:w="2720" w:type="dxa"/>
            <w:vAlign w:val="bottom"/>
            <w:tcBorders>
              <w:top w:val="single" w:sz="8" w:color="auto"/>
            </w:tcBorders>
            <w:vMerge w:val="restart"/>
          </w:tcPr>
          <w:p>
            <w:pPr>
              <w:ind w:left="1080"/>
              <w:spacing w:after="0"/>
              <w:rPr>
                <w:sz w:val="20"/>
                <w:szCs w:val="20"/>
                <w:color w:val="auto"/>
              </w:rPr>
            </w:pPr>
            <w:r>
              <w:rPr>
                <w:rFonts w:ascii="Arial" w:cs="Arial" w:eastAsia="Arial" w:hAnsi="Arial"/>
                <w:sz w:val="13"/>
                <w:szCs w:val="13"/>
                <w:b w:val="1"/>
                <w:bCs w:val="1"/>
                <w:color w:val="auto"/>
              </w:rPr>
              <w:t>Title of Securities Sold</w:t>
            </w:r>
          </w:p>
        </w:tc>
        <w:tc>
          <w:tcPr>
            <w:tcW w:w="1040" w:type="dxa"/>
            <w:vAlign w:val="bottom"/>
            <w:tcBorders>
              <w:top w:val="single" w:sz="8" w:color="auto"/>
            </w:tcBorders>
          </w:tcPr>
          <w:p>
            <w:pPr>
              <w:jc w:val="center"/>
              <w:ind w:left="117"/>
              <w:spacing w:after="0" w:line="123" w:lineRule="exact"/>
              <w:rPr>
                <w:sz w:val="20"/>
                <w:szCs w:val="20"/>
                <w:color w:val="auto"/>
              </w:rPr>
            </w:pPr>
            <w:r>
              <w:rPr>
                <w:rFonts w:ascii="Arial" w:cs="Arial" w:eastAsia="Arial" w:hAnsi="Arial"/>
                <w:sz w:val="13"/>
                <w:szCs w:val="13"/>
                <w:b w:val="1"/>
                <w:bCs w:val="1"/>
                <w:color w:val="auto"/>
                <w:w w:val="86"/>
              </w:rPr>
              <w:t>Date of</w:t>
            </w:r>
          </w:p>
        </w:tc>
        <w:tc>
          <w:tcPr>
            <w:tcW w:w="1540" w:type="dxa"/>
            <w:vAlign w:val="bottom"/>
            <w:tcBorders>
              <w:top w:val="single" w:sz="8" w:color="auto"/>
            </w:tcBorders>
          </w:tcPr>
          <w:p>
            <w:pPr>
              <w:jc w:val="center"/>
              <w:ind w:right="177"/>
              <w:spacing w:after="0" w:line="123" w:lineRule="exact"/>
              <w:rPr>
                <w:sz w:val="20"/>
                <w:szCs w:val="20"/>
                <w:color w:val="auto"/>
              </w:rPr>
            </w:pPr>
            <w:r>
              <w:rPr>
                <w:rFonts w:ascii="Arial" w:cs="Arial" w:eastAsia="Arial" w:hAnsi="Arial"/>
                <w:sz w:val="13"/>
                <w:szCs w:val="13"/>
                <w:b w:val="1"/>
                <w:bCs w:val="1"/>
                <w:color w:val="auto"/>
                <w:w w:val="89"/>
              </w:rPr>
              <w:t>Amount of</w:t>
            </w:r>
          </w:p>
        </w:tc>
        <w:tc>
          <w:tcPr>
            <w:tcW w:w="1920" w:type="dxa"/>
            <w:vAlign w:val="bottom"/>
            <w:tcBorders>
              <w:top w:val="single" w:sz="8" w:color="auto"/>
            </w:tcBorders>
            <w:vMerge w:val="restart"/>
          </w:tcPr>
          <w:p>
            <w:pPr>
              <w:ind w:left="50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65"/>
        </w:trPr>
        <w:tc>
          <w:tcPr>
            <w:tcW w:w="416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82"/>
              </w:rPr>
              <w:t>Sale</w:t>
            </w:r>
          </w:p>
        </w:tc>
        <w:tc>
          <w:tcPr>
            <w:tcW w:w="1540" w:type="dxa"/>
            <w:vAlign w:val="bottom"/>
          </w:tcPr>
          <w:p>
            <w:pPr>
              <w:jc w:val="center"/>
              <w:ind w:right="197"/>
              <w:spacing w:after="0"/>
              <w:rPr>
                <w:sz w:val="20"/>
                <w:szCs w:val="20"/>
                <w:color w:val="auto"/>
              </w:rPr>
            </w:pPr>
            <w:r>
              <w:rPr>
                <w:rFonts w:ascii="Arial" w:cs="Arial" w:eastAsia="Arial" w:hAnsi="Arial"/>
                <w:sz w:val="13"/>
                <w:szCs w:val="13"/>
                <w:b w:val="1"/>
                <w:bCs w:val="1"/>
                <w:color w:val="auto"/>
                <w:w w:val="85"/>
              </w:rPr>
              <w:t>Securities Sold</w:t>
            </w: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3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349885</wp:posOffset>
            </wp:positionV>
            <wp:extent cx="7233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591185</wp:posOffset>
            </wp:positionV>
            <wp:extent cx="7233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832485</wp:posOffset>
            </wp:positionV>
            <wp:extent cx="7233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3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2019-11-30T22:04:54Z</dcterms:created>
  <dcterms:modified xsi:type="dcterms:W3CDTF">2019-11-30T22:04:54Z</dcterms:modified>
</cp:coreProperties>
</file>