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SCHLUMBERGER LIMITED/NV</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Liberty Oilfield Services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LBRT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220" w:space="59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2"/>
              </w:rPr>
              <w:t>Class A Common Stock, $0.01 par value</w:t>
            </w: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11/05/2021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9"/>
              </w:rPr>
              <w:t>9,500,000</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11.5</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56,826,134</w:t>
            </w:r>
          </w:p>
        </w:tc>
        <w:tc>
          <w:tcPr>
            <w:tcW w:w="92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13"/>
          </w:tcPr>
          <w:p>
            <w:pP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SCHLUMBERGER LIMITED/NV</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w w:val="99"/>
              </w:rPr>
              <w:t>5599 SAN FELIPE, 17TH FLOOR</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rPr>
              <w:t>77056</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Schlumberger B.V.</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9"/>
              </w:rPr>
              <w:t>PARKSTRAAT 83</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THE HAGUE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P7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rPr>
              <w:t>2514 JG</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w w:val="93"/>
              </w:rPr>
            </w:pPr>
            <w:hyperlink r:id="rId15">
              <w:r>
                <w:rPr>
                  <w:rFonts w:ascii="Arial" w:cs="Arial" w:eastAsia="Arial" w:hAnsi="Arial"/>
                  <w:sz w:val="21"/>
                  <w:szCs w:val="21"/>
                  <w:color w:val="0000EE"/>
                  <w:w w:val="93"/>
                </w:rPr>
                <w:t>Schlumberger Technology Corp</w:t>
              </w:r>
            </w:hyperlink>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300 SCHLUMBERGER DRIVE</w:t>
      </w: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SUGAR LAND</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77478</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w w:val="97"/>
              </w:rPr>
            </w:pPr>
            <w:hyperlink r:id="rId17">
              <w:r>
                <w:rPr>
                  <w:rFonts w:ascii="Arial" w:cs="Arial" w:eastAsia="Arial" w:hAnsi="Arial"/>
                  <w:sz w:val="21"/>
                  <w:szCs w:val="21"/>
                  <w:color w:val="0000EE"/>
                  <w:w w:val="97"/>
                </w:rPr>
                <w:t>Schlumberger Holdings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SCHLUMBERGER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SUGAR LAND</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77478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57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8573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directly by Schlumberger Technology Corporation. Since Schlumberger Holdings Corporation controls Schlumberger Technology Corporation, it is deemed to beneficially own such securities held directly by Schlumberger Technology Corporation. Since Schlumberger B.V. controls Schlumberger Holdings Corporation, it is deemed to beneficially own such securities held directly by Schlumberger Technology Corporation. Since Schlumberger N.V. (Schlumberger Limited) controls Schlumberger B.V., it is deemed to beneficially own such securities held directly by Schlumberger Technology Corporation.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2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42010" cy="8255"/>
                    </a:xfrm>
                    <a:prstGeom prst="rect">
                      <a:avLst/>
                    </a:prstGeom>
                    <a:noFill/>
                  </pic:spPr>
                </pic:pic>
              </a:graphicData>
            </a:graphic>
          </wp:anchor>
        </w:drawing>
      </w:r>
    </w:p>
    <w:p>
      <w:pPr>
        <w:ind w:left="6560"/>
        <w:spacing w:after="0" w:line="222" w:lineRule="auto"/>
        <w:tabs>
          <w:tab w:leader="none" w:pos="8740" w:val="left"/>
        </w:tabs>
        <w:rPr>
          <w:sz w:val="20"/>
          <w:szCs w:val="20"/>
          <w:color w:val="auto"/>
        </w:rPr>
      </w:pPr>
      <w:r>
        <w:rPr>
          <w:rFonts w:ascii="Arial" w:cs="Arial" w:eastAsia="Arial" w:hAnsi="Arial"/>
          <w:sz w:val="17"/>
          <w:szCs w:val="17"/>
          <w:color w:val="0000FF"/>
        </w:rPr>
        <w:t>(Schlumberger Limited), By:</w:t>
      </w:r>
      <w:r>
        <w:rPr>
          <w:sz w:val="20"/>
          <w:szCs w:val="20"/>
          <w:color w:val="auto"/>
        </w:rPr>
        <w:tab/>
      </w:r>
      <w:r>
        <w:rPr>
          <w:rFonts w:ascii="Arial" w:cs="Arial" w:eastAsia="Arial" w:hAnsi="Arial"/>
          <w:sz w:val="23"/>
          <w:szCs w:val="23"/>
          <w:color w:val="0000FF"/>
          <w:vertAlign w:val="subscript"/>
        </w:rPr>
        <w:t>11/08/2021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27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 Samantha Blons,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7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7"/>
          </w:tcPr>
          <w:p>
            <w:pPr>
              <w:spacing w:after="0"/>
              <w:rPr>
                <w:sz w:val="20"/>
                <w:szCs w:val="20"/>
                <w:color w:val="auto"/>
              </w:rPr>
            </w:pPr>
            <w:r>
              <w:rPr>
                <w:rFonts w:ascii="Arial" w:cs="Arial" w:eastAsia="Arial" w:hAnsi="Arial"/>
                <w:sz w:val="17"/>
                <w:szCs w:val="17"/>
                <w:color w:val="0000FF"/>
              </w:rPr>
              <w:t>Schlumberger B.V., By: /s/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11/08/2021</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3"/>
            <w:vMerge w:val="restart"/>
          </w:tcPr>
          <w:p>
            <w:pPr>
              <w:spacing w:after="0" w:line="194" w:lineRule="exact"/>
              <w:rPr>
                <w:sz w:val="20"/>
                <w:szCs w:val="20"/>
                <w:color w:val="auto"/>
              </w:rPr>
            </w:pPr>
            <w:r>
              <w:rPr>
                <w:rFonts w:ascii="Arial" w:cs="Arial" w:eastAsia="Arial" w:hAnsi="Arial"/>
                <w:sz w:val="17"/>
                <w:szCs w:val="17"/>
                <w:color w:val="0000FF"/>
                <w:w w:val="92"/>
              </w:rPr>
              <w:t>Eileen Hardell, Secretary</w:t>
            </w:r>
          </w:p>
        </w:tc>
        <w:tc>
          <w:tcPr>
            <w:tcW w:w="100" w:type="dxa"/>
            <w:vAlign w:val="bottom"/>
            <w:tcBorders>
              <w:top w:val="single" w:sz="8" w:color="auto"/>
            </w:tcBorders>
            <w:gridSpan w:val="2"/>
            <w:vMerge w:val="restart"/>
          </w:tcPr>
          <w:p>
            <w:pPr>
              <w:spacing w:after="0"/>
              <w:rPr>
                <w:sz w:val="7"/>
                <w:szCs w:val="7"/>
                <w:color w:val="auto"/>
              </w:rPr>
            </w:pPr>
          </w:p>
        </w:tc>
        <w:tc>
          <w:tcPr>
            <w:tcW w:w="2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gridSpan w:val="3"/>
            <w:vMerge w:val="continue"/>
          </w:tcPr>
          <w:p>
            <w:pPr>
              <w:spacing w:after="0"/>
              <w:rPr>
                <w:sz w:val="7"/>
                <w:szCs w:val="7"/>
                <w:color w:val="auto"/>
              </w:rPr>
            </w:pPr>
          </w:p>
        </w:tc>
        <w:tc>
          <w:tcPr>
            <w:tcW w:w="100" w:type="dxa"/>
            <w:vAlign w:val="bottom"/>
            <w:tcBorders>
              <w:top w:val="single" w:sz="8" w:color="auto"/>
            </w:tcBorders>
            <w:gridSpan w:val="2"/>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Schlumberger Holdings</w:t>
            </w:r>
          </w:p>
        </w:tc>
        <w:tc>
          <w:tcPr>
            <w:tcW w:w="420" w:type="dxa"/>
            <w:vAlign w:val="bottom"/>
            <w:gridSpan w:val="5"/>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gridSpan w:val="6"/>
          </w:tcPr>
          <w:p>
            <w:pPr>
              <w:spacing w:after="0" w:line="194" w:lineRule="exact"/>
              <w:rPr>
                <w:sz w:val="20"/>
                <w:szCs w:val="20"/>
                <w:color w:val="auto"/>
              </w:rPr>
            </w:pPr>
            <w:r>
              <w:rPr>
                <w:rFonts w:ascii="Arial" w:cs="Arial" w:eastAsia="Arial" w:hAnsi="Arial"/>
                <w:sz w:val="17"/>
                <w:szCs w:val="17"/>
                <w:color w:val="0000FF"/>
                <w:w w:val="94"/>
              </w:rPr>
              <w:t>Corporation, By: /s/ Corrie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1"/>
              </w:rPr>
              <w:t>11/08/2021</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0"/>
              </w:rPr>
              <w:t>Merchant, Treasurer</w:t>
            </w:r>
          </w:p>
        </w:tc>
        <w:tc>
          <w:tcPr>
            <w:tcW w:w="66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1"/>
              </w:rPr>
              <w:t>Schlumberger Technology</w:t>
            </w:r>
          </w:p>
        </w:tc>
        <w:tc>
          <w:tcPr>
            <w:tcW w:w="24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gridSpan w:val="6"/>
          </w:tcPr>
          <w:p>
            <w:pPr>
              <w:spacing w:after="0" w:line="194" w:lineRule="exact"/>
              <w:rPr>
                <w:sz w:val="20"/>
                <w:szCs w:val="20"/>
                <w:color w:val="auto"/>
              </w:rPr>
            </w:pPr>
            <w:r>
              <w:rPr>
                <w:rFonts w:ascii="Arial" w:cs="Arial" w:eastAsia="Arial" w:hAnsi="Arial"/>
                <w:sz w:val="17"/>
                <w:szCs w:val="17"/>
                <w:color w:val="0000FF"/>
                <w:w w:val="94"/>
              </w:rPr>
              <w:t>Corporation, By: /s/ Corrie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1"/>
              </w:rPr>
              <w:t>11/08/2021</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0"/>
              </w:rPr>
              <w:t>Merchant, Treasurer</w:t>
            </w:r>
          </w:p>
        </w:tc>
        <w:tc>
          <w:tcPr>
            <w:tcW w:w="66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80" w:type="dxa"/>
            <w:vAlign w:val="bottom"/>
            <w:gridSpan w:val="7"/>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4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480" w:top="17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2" Type="http://schemas.openxmlformats.org/officeDocument/2006/relationships/hyperlink" Target="http://www.sec.gov/cgi-bin/browse-edgar?action=getcompany&amp;CIK=0000087347" TargetMode="External"/><Relationship Id="rId13" Type="http://schemas.openxmlformats.org/officeDocument/2006/relationships/hyperlink" Target="http://www.sec.gov/cgi-bin/browse-edgar?action=getcompany&amp;CIK=0001694028" TargetMode="External"/><Relationship Id="rId14" Type="http://schemas.openxmlformats.org/officeDocument/2006/relationships/hyperlink" Target="http://www.sec.gov/cgi-bin/browse-edgar?action=getcompany&amp;CIK=0001840505" TargetMode="External"/><Relationship Id="rId15" Type="http://schemas.openxmlformats.org/officeDocument/2006/relationships/hyperlink" Target="http://www.sec.gov/cgi-bin/browse-edgar?action=getcompany&amp;CIK=0001831486" TargetMode="External"/><Relationship Id="rId17" Type="http://schemas.openxmlformats.org/officeDocument/2006/relationships/hyperlink" Target="http://www.sec.gov/cgi-bin/browse-edgar?action=getcompany&amp;CIK=00018405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2021-11-09T01:08:35Z</dcterms:created>
  <dcterms:modified xsi:type="dcterms:W3CDTF">2021-11-09T01:08:35Z</dcterms:modified>
</cp:coreProperties>
</file>