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3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23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23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227330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27" w:lineRule="exact"/>
        <w:rPr>
          <w:sz w:val="24"/>
          <w:szCs w:val="24"/>
          <w:color w:val="auto"/>
        </w:rPr>
      </w:pPr>
    </w:p>
    <w:p>
      <w:pPr>
        <w:jc w:val="center"/>
        <w:ind w:right="-23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247015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239"/>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239"/>
        <w:spacing w:after="0"/>
        <w:rPr>
          <w:sz w:val="20"/>
          <w:szCs w:val="20"/>
          <w:color w:val="auto"/>
        </w:rPr>
      </w:pPr>
      <w:r>
        <w:rPr>
          <w:rFonts w:ascii="Arial" w:cs="Arial" w:eastAsia="Arial" w:hAnsi="Arial"/>
          <w:sz w:val="22"/>
          <w:szCs w:val="22"/>
          <w:b w:val="1"/>
          <w:bCs w:val="1"/>
          <w:color w:val="auto"/>
        </w:rPr>
        <w:t>Pursuant to Section 13 or 15(d)</w:t>
      </w:r>
    </w:p>
    <w:p>
      <w:pPr>
        <w:jc w:val="center"/>
        <w:ind w:right="-23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2" w:lineRule="exact"/>
        <w:rPr>
          <w:sz w:val="24"/>
          <w:szCs w:val="24"/>
          <w:color w:val="auto"/>
        </w:rPr>
      </w:pPr>
    </w:p>
    <w:p>
      <w:pPr>
        <w:jc w:val="center"/>
        <w:ind w:right="-239"/>
        <w:spacing w:after="0"/>
        <w:rPr>
          <w:sz w:val="20"/>
          <w:szCs w:val="20"/>
          <w:color w:val="auto"/>
        </w:rPr>
      </w:pPr>
      <w:r>
        <w:rPr>
          <w:rFonts w:ascii="Arial" w:cs="Arial" w:eastAsia="Arial" w:hAnsi="Arial"/>
          <w:sz w:val="22"/>
          <w:szCs w:val="22"/>
          <w:b w:val="1"/>
          <w:bCs w:val="1"/>
          <w:color w:val="auto"/>
        </w:rPr>
        <w:t>Date of Report (Date of earliest event reported): April 21, 2017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234315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35" w:lineRule="exact"/>
        <w:rPr>
          <w:sz w:val="24"/>
          <w:szCs w:val="24"/>
          <w:color w:val="auto"/>
        </w:rPr>
      </w:pPr>
    </w:p>
    <w:p>
      <w:pPr>
        <w:jc w:val="center"/>
        <w:ind w:right="-239"/>
        <w:spacing w:after="0"/>
        <w:rPr>
          <w:sz w:val="20"/>
          <w:szCs w:val="20"/>
          <w:color w:val="auto"/>
        </w:rPr>
      </w:pPr>
      <w:r>
        <w:rPr>
          <w:rFonts w:ascii="Arial" w:cs="Arial" w:eastAsia="Arial" w:hAnsi="Arial"/>
          <w:sz w:val="43"/>
          <w:szCs w:val="43"/>
          <w:b w:val="1"/>
          <w:bCs w:val="1"/>
          <w:color w:val="auto"/>
        </w:rPr>
        <w:t>SCHLUMBERGER N.V. (SCHLUMBERGER LIMITED)</w:t>
      </w:r>
    </w:p>
    <w:p>
      <w:pPr>
        <w:spacing w:after="0" w:line="50" w:lineRule="exact"/>
        <w:rPr>
          <w:sz w:val="24"/>
          <w:szCs w:val="24"/>
          <w:color w:val="auto"/>
        </w:rPr>
      </w:pPr>
    </w:p>
    <w:p>
      <w:pPr>
        <w:jc w:val="center"/>
        <w:ind w:right="-23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236220</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200"/>
          </w:cols>
          <w:pgMar w:left="240" w:top="368" w:right="45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ind w:left="1620"/>
        <w:spacing w:after="0"/>
        <w:rPr>
          <w:sz w:val="20"/>
          <w:szCs w:val="20"/>
          <w:color w:val="auto"/>
        </w:rPr>
      </w:pPr>
      <w:r>
        <w:rPr>
          <w:rFonts w:ascii="Arial" w:cs="Arial" w:eastAsia="Arial" w:hAnsi="Arial"/>
          <w:sz w:val="16"/>
          <w:szCs w:val="16"/>
          <w:b w:val="1"/>
          <w:bCs w:val="1"/>
          <w:color w:val="auto"/>
        </w:rPr>
        <w:t>Curaçao</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jc w:val="center"/>
        <w:ind w:right="2340"/>
        <w:spacing w:after="0"/>
        <w:rPr>
          <w:sz w:val="20"/>
          <w:szCs w:val="20"/>
          <w:color w:val="auto"/>
        </w:rPr>
      </w:pPr>
      <w:r>
        <w:rPr>
          <w:rFonts w:ascii="Arial" w:cs="Arial" w:eastAsia="Arial" w:hAnsi="Arial"/>
          <w:sz w:val="16"/>
          <w:szCs w:val="16"/>
          <w:b w:val="1"/>
          <w:bCs w:val="1"/>
          <w:color w:val="auto"/>
        </w:rPr>
        <w:t>1-4601</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52-0684746</w:t>
      </w:r>
    </w:p>
    <w:p>
      <w:pPr>
        <w:spacing w:after="0" w:line="31" w:lineRule="exact"/>
        <w:rPr>
          <w:sz w:val="24"/>
          <w:szCs w:val="24"/>
          <w:color w:val="auto"/>
        </w:rPr>
      </w:pPr>
    </w:p>
    <w:p>
      <w:pPr>
        <w:sectPr>
          <w:pgSz w:w="11900" w:h="16838" w:orient="portrait"/>
          <w:cols w:equalWidth="0" w:num="3">
            <w:col w:w="4860" w:space="720"/>
            <w:col w:w="2860" w:space="720"/>
            <w:col w:w="2040"/>
          </w:cols>
          <w:pgMar w:left="240" w:top="368" w:right="459" w:bottom="1440" w:gutter="0" w:footer="0" w:header="0"/>
          <w:type w:val="continuous"/>
        </w:sectPr>
      </w:pPr>
    </w:p>
    <w:p>
      <w:pPr>
        <w:spacing w:after="0" w:line="12" w:lineRule="exact"/>
        <w:rPr>
          <w:sz w:val="24"/>
          <w:szCs w:val="24"/>
          <w:color w:val="auto"/>
        </w:rPr>
      </w:pPr>
    </w:p>
    <w:p>
      <w:pPr>
        <w:jc w:val="center"/>
        <w:ind w:right="820"/>
        <w:spacing w:after="0"/>
        <w:rPr>
          <w:sz w:val="20"/>
          <w:szCs w:val="20"/>
          <w:color w:val="auto"/>
        </w:rPr>
      </w:pPr>
      <w:r>
        <w:rPr>
          <w:rFonts w:ascii="Arial" w:cs="Arial" w:eastAsia="Arial" w:hAnsi="Arial"/>
          <w:sz w:val="13"/>
          <w:szCs w:val="13"/>
          <w:b w:val="1"/>
          <w:bCs w:val="1"/>
          <w:color w:val="auto"/>
        </w:rPr>
        <w:t>(State or other jurisdiction</w:t>
      </w:r>
    </w:p>
    <w:p>
      <w:pPr>
        <w:jc w:val="center"/>
        <w:ind w:right="820"/>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Arial" w:cs="Arial" w:eastAsia="Arial" w:hAnsi="Arial"/>
          <w:sz w:val="12"/>
          <w:szCs w:val="12"/>
          <w:b w:val="1"/>
          <w:bCs w:val="1"/>
          <w:color w:val="auto"/>
        </w:rPr>
        <w:t>(Commission</w:t>
      </w:r>
    </w:p>
    <w:p>
      <w:pPr>
        <w:spacing w:after="0" w:line="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jc w:val="center"/>
        <w:ind w:right="1040"/>
        <w:spacing w:after="0"/>
        <w:rPr>
          <w:sz w:val="20"/>
          <w:szCs w:val="20"/>
          <w:color w:val="auto"/>
        </w:rPr>
      </w:pPr>
      <w:r>
        <w:rPr>
          <w:rFonts w:ascii="Arial" w:cs="Arial" w:eastAsia="Arial" w:hAnsi="Arial"/>
          <w:sz w:val="14"/>
          <w:szCs w:val="14"/>
          <w:b w:val="1"/>
          <w:bCs w:val="1"/>
          <w:color w:val="auto"/>
        </w:rPr>
        <w:t>(IRS Employer</w:t>
      </w:r>
    </w:p>
    <w:p>
      <w:pPr>
        <w:jc w:val="center"/>
        <w:ind w:right="1040"/>
        <w:spacing w:after="0"/>
        <w:rPr>
          <w:sz w:val="20"/>
          <w:szCs w:val="20"/>
          <w:color w:val="auto"/>
        </w:rPr>
      </w:pPr>
      <w:r>
        <w:rPr>
          <w:rFonts w:ascii="Arial" w:cs="Arial" w:eastAsia="Arial" w:hAnsi="Arial"/>
          <w:sz w:val="13"/>
          <w:szCs w:val="13"/>
          <w:b w:val="1"/>
          <w:bCs w:val="1"/>
          <w:color w:val="auto"/>
        </w:rPr>
        <w:t>Identification No.)</w:t>
      </w:r>
    </w:p>
    <w:p>
      <w:pPr>
        <w:spacing w:after="0" w:line="211" w:lineRule="exact"/>
        <w:rPr>
          <w:sz w:val="24"/>
          <w:szCs w:val="24"/>
          <w:color w:val="auto"/>
        </w:rPr>
      </w:pPr>
    </w:p>
    <w:p>
      <w:pPr>
        <w:sectPr>
          <w:pgSz w:w="11900" w:h="16838" w:orient="portrait"/>
          <w:cols w:equalWidth="0" w:num="3">
            <w:col w:w="4700" w:space="720"/>
            <w:col w:w="2900" w:space="720"/>
            <w:col w:w="2160"/>
          </w:cols>
          <w:pgMar w:left="240" w:top="368" w:right="459" w:bottom="1440" w:gutter="0" w:footer="0" w:header="0"/>
          <w:type w:val="continuous"/>
        </w:sectPr>
      </w:pPr>
    </w:p>
    <w:p>
      <w:pPr>
        <w:spacing w:after="0" w:line="6" w:lineRule="exact"/>
        <w:rPr>
          <w:sz w:val="24"/>
          <w:szCs w:val="24"/>
          <w:color w:val="auto"/>
        </w:rPr>
      </w:pPr>
    </w:p>
    <w:p>
      <w:pPr>
        <w:jc w:val="center"/>
        <w:ind w:right="-219"/>
        <w:spacing w:after="0"/>
        <w:rPr>
          <w:sz w:val="20"/>
          <w:szCs w:val="20"/>
          <w:color w:val="auto"/>
        </w:rPr>
      </w:pPr>
      <w:r>
        <w:rPr>
          <w:rFonts w:ascii="Arial" w:cs="Arial" w:eastAsia="Arial" w:hAnsi="Arial"/>
          <w:sz w:val="18"/>
          <w:szCs w:val="18"/>
          <w:b w:val="1"/>
          <w:bCs w:val="1"/>
          <w:color w:val="auto"/>
        </w:rPr>
        <w:t>42, rue Saint-Dominique, Paris, France 75007</w:t>
      </w:r>
    </w:p>
    <w:p>
      <w:pPr>
        <w:spacing w:after="0" w:line="27" w:lineRule="exact"/>
        <w:rPr>
          <w:sz w:val="24"/>
          <w:szCs w:val="24"/>
          <w:color w:val="auto"/>
        </w:rPr>
      </w:pPr>
    </w:p>
    <w:p>
      <w:pPr>
        <w:jc w:val="center"/>
        <w:ind w:right="-219"/>
        <w:spacing w:after="0"/>
        <w:rPr>
          <w:sz w:val="20"/>
          <w:szCs w:val="20"/>
          <w:color w:val="auto"/>
        </w:rPr>
      </w:pPr>
      <w:r>
        <w:rPr>
          <w:rFonts w:ascii="Arial" w:cs="Arial" w:eastAsia="Arial" w:hAnsi="Arial"/>
          <w:sz w:val="18"/>
          <w:szCs w:val="18"/>
          <w:b w:val="1"/>
          <w:bCs w:val="1"/>
          <w:color w:val="auto"/>
        </w:rPr>
        <w:t>5599 San Felipe, Houston, Texas U.S.A. 77056</w:t>
      </w:r>
    </w:p>
    <w:p>
      <w:pPr>
        <w:spacing w:after="0" w:line="9" w:lineRule="exact"/>
        <w:rPr>
          <w:sz w:val="24"/>
          <w:szCs w:val="24"/>
          <w:color w:val="auto"/>
        </w:rPr>
      </w:pPr>
    </w:p>
    <w:p>
      <w:pPr>
        <w:jc w:val="center"/>
        <w:ind w:right="-219"/>
        <w:spacing w:after="0"/>
        <w:rPr>
          <w:sz w:val="20"/>
          <w:szCs w:val="20"/>
          <w:color w:val="auto"/>
        </w:rPr>
      </w:pPr>
      <w:r>
        <w:rPr>
          <w:rFonts w:ascii="Arial" w:cs="Arial" w:eastAsia="Arial" w:hAnsi="Arial"/>
          <w:sz w:val="16"/>
          <w:szCs w:val="16"/>
          <w:b w:val="1"/>
          <w:bCs w:val="1"/>
          <w:color w:val="auto"/>
        </w:rPr>
        <w:t>62 Buckingham Gate, London, United Kingdom SW1E 6AJ</w:t>
      </w:r>
    </w:p>
    <w:p>
      <w:pPr>
        <w:spacing w:after="0" w:line="32" w:lineRule="exact"/>
        <w:rPr>
          <w:sz w:val="24"/>
          <w:szCs w:val="24"/>
          <w:color w:val="auto"/>
        </w:rPr>
      </w:pPr>
    </w:p>
    <w:p>
      <w:pPr>
        <w:jc w:val="center"/>
        <w:ind w:right="-219"/>
        <w:spacing w:after="0"/>
        <w:rPr>
          <w:sz w:val="20"/>
          <w:szCs w:val="20"/>
          <w:color w:val="auto"/>
        </w:rPr>
      </w:pPr>
      <w:r>
        <w:rPr>
          <w:rFonts w:ascii="Arial" w:cs="Arial" w:eastAsia="Arial" w:hAnsi="Arial"/>
          <w:sz w:val="18"/>
          <w:szCs w:val="18"/>
          <w:b w:val="1"/>
          <w:bCs w:val="1"/>
          <w:color w:val="auto"/>
        </w:rPr>
        <w:t>Parkstraat 83, The Hague, The Netherlands 2514 JG</w:t>
      </w:r>
    </w:p>
    <w:p>
      <w:pPr>
        <w:spacing w:after="0" w:line="2" w:lineRule="exact"/>
        <w:rPr>
          <w:sz w:val="24"/>
          <w:szCs w:val="24"/>
          <w:color w:val="auto"/>
        </w:rPr>
      </w:pPr>
    </w:p>
    <w:p>
      <w:pPr>
        <w:jc w:val="center"/>
        <w:ind w:right="-219"/>
        <w:spacing w:after="0"/>
        <w:rPr>
          <w:sz w:val="20"/>
          <w:szCs w:val="20"/>
          <w:color w:val="auto"/>
        </w:rPr>
      </w:pPr>
      <w:r>
        <w:rPr>
          <w:rFonts w:ascii="Arial" w:cs="Arial" w:eastAsia="Arial" w:hAnsi="Arial"/>
          <w:sz w:val="14"/>
          <w:szCs w:val="14"/>
          <w:b w:val="1"/>
          <w:bCs w:val="1"/>
          <w:color w:val="auto"/>
        </w:rPr>
        <w:t>(Addresses of principal executive offices and zip or postal codes)</w:t>
      </w:r>
    </w:p>
    <w:p>
      <w:pPr>
        <w:sectPr>
          <w:pgSz w:w="11900" w:h="16838" w:orient="portrait"/>
          <w:cols w:equalWidth="0" w:num="1">
            <w:col w:w="11200"/>
          </w:cols>
          <w:pgMar w:left="240" w:top="368" w:right="459" w:bottom="1440" w:gutter="0" w:footer="0" w:header="0"/>
          <w:type w:val="continuous"/>
        </w:sectPr>
      </w:pPr>
    </w:p>
    <w:p>
      <w:pPr>
        <w:spacing w:after="0" w:line="192" w:lineRule="exact"/>
        <w:rPr>
          <w:sz w:val="24"/>
          <w:szCs w:val="24"/>
          <w:color w:val="auto"/>
        </w:rPr>
      </w:pPr>
    </w:p>
    <w:p>
      <w:pPr>
        <w:jc w:val="center"/>
        <w:ind w:right="-239"/>
        <w:spacing w:after="0"/>
        <w:rPr>
          <w:sz w:val="20"/>
          <w:szCs w:val="20"/>
          <w:color w:val="auto"/>
        </w:rPr>
      </w:pPr>
      <w:r>
        <w:rPr>
          <w:rFonts w:ascii="Arial" w:cs="Arial" w:eastAsia="Arial" w:hAnsi="Arial"/>
          <w:sz w:val="18"/>
          <w:szCs w:val="18"/>
          <w:b w:val="1"/>
          <w:bCs w:val="1"/>
          <w:color w:val="auto"/>
        </w:rPr>
        <w:t>Registrant’s telephone number in the United States, including area code: (713) 513-2000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248920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87" w:lineRule="exact"/>
        <w:rPr>
          <w:sz w:val="24"/>
          <w:szCs w:val="24"/>
          <w:color w:val="auto"/>
        </w:rPr>
      </w:pPr>
    </w:p>
    <w:p>
      <w:pPr>
        <w:ind w:right="180" w:firstLine="456"/>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w:t>
      </w:r>
      <w:r>
        <w:rPr>
          <w:rFonts w:ascii="Arial" w:cs="Arial" w:eastAsia="Arial" w:hAnsi="Arial"/>
          <w:sz w:val="18"/>
          <w:szCs w:val="18"/>
          <w:i w:val="1"/>
          <w:iCs w:val="1"/>
          <w:color w:val="auto"/>
        </w:rPr>
        <w:t>see</w:t>
      </w:r>
      <w:r>
        <w:rPr>
          <w:rFonts w:ascii="Arial" w:cs="Arial" w:eastAsia="Arial" w:hAnsi="Arial"/>
          <w:sz w:val="18"/>
          <w:szCs w:val="18"/>
          <w:color w:val="auto"/>
        </w:rPr>
        <w:t xml:space="preserve"> General Instruction A.2. below):</w:t>
      </w:r>
    </w:p>
    <w:p>
      <w:pPr>
        <w:spacing w:after="0" w:line="76"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ind w:right="320" w:firstLine="456"/>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as defined in Rule 405 of the Securities Act of 1933 (§230.405 of this chapter) or Rule 12b-2 of the Securities Exchange Act of 1934 (§240.12b-2 of this chapter).</w:t>
      </w:r>
    </w:p>
    <w:p>
      <w:pPr>
        <w:spacing w:after="0" w:line="138" w:lineRule="exact"/>
        <w:rPr>
          <w:sz w:val="24"/>
          <w:szCs w:val="24"/>
          <w:color w:val="auto"/>
        </w:rPr>
      </w:pPr>
    </w:p>
    <w:p>
      <w:pPr>
        <w:ind w:left="460"/>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ind w:firstLine="456"/>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133350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176530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200"/>
          </w:cols>
          <w:pgMar w:left="240" w:top="368" w:right="45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2.02 Results of Operations and Financial Condition.</w:t>
      </w:r>
    </w:p>
    <w:p>
      <w:pPr>
        <w:spacing w:after="0" w:line="121" w:lineRule="exact"/>
        <w:rPr>
          <w:sz w:val="20"/>
          <w:szCs w:val="20"/>
          <w:color w:val="auto"/>
        </w:rPr>
      </w:pPr>
    </w:p>
    <w:p>
      <w:pPr>
        <w:ind w:right="300" w:firstLine="456"/>
        <w:spacing w:after="0" w:line="297" w:lineRule="auto"/>
        <w:rPr>
          <w:sz w:val="20"/>
          <w:szCs w:val="20"/>
          <w:color w:val="auto"/>
        </w:rPr>
      </w:pPr>
      <w:r>
        <w:rPr>
          <w:rFonts w:ascii="Arial" w:cs="Arial" w:eastAsia="Arial" w:hAnsi="Arial"/>
          <w:sz w:val="16"/>
          <w:szCs w:val="16"/>
          <w:color w:val="auto"/>
        </w:rPr>
        <w:t>The First-Quarter 2017 Earnings Release furnished as Exhibit 99.1 hereto, which is incorporated by reference into this Item 2.02, was posted on the Schlumberger internet website (</w:t>
      </w:r>
      <w:r>
        <w:rPr>
          <w:rFonts w:ascii="Arial" w:cs="Arial" w:eastAsia="Arial" w:hAnsi="Arial"/>
          <w:sz w:val="16"/>
          <w:szCs w:val="16"/>
          <w:u w:val="single" w:color="auto"/>
          <w:color w:val="auto"/>
        </w:rPr>
        <w:t>http://www.slb.com/news/press_releases.aspx</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http://investorcenter.slb.com/phoenix.zhtml?c=97513&amp;p=irol-quarterlyresults&amp;nyo=0</w:t>
      </w:r>
      <w:r>
        <w:rPr>
          <w:rFonts w:ascii="Arial" w:cs="Arial" w:eastAsia="Arial" w:hAnsi="Arial"/>
          <w:sz w:val="16"/>
          <w:szCs w:val="16"/>
          <w:color w:val="auto"/>
        </w:rPr>
        <w:t>) on April 21, 2017. In accordance with General Instructions B.2. of Form 8-K, the information will not be deemed “filed” for purposes of Section 18 of the Securities Exchange Act of 1934, as amended (the “Exchange Act”), nor will it be deemed incorporated by reference in any filing under the Securities Act of 1933, as amended, except as expressly set forth by specific reference in such a filing.</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7.01 Regulation FD Disclosure.</w:t>
      </w:r>
    </w:p>
    <w:p>
      <w:pPr>
        <w:spacing w:after="0" w:line="12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On April 21, 2017, Schlumberger issued a press release, a copy of which is furnished with this Form 8-K as Exhibit 99.1 and incorporated into this Item 7.01 by reference. In accordance with General Instruction B.2. of Form 8-K, the information will not be deemed “filed” for purposes of Section 18 of the Exchange Act, nor will it be deemed incorporated by reference in any filing under the Securities Act, except as expressly set forth by specific reference in such a filing.</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Also, see Item 2.02, “Results of Operations and Financial Condition.”</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 Exhibits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exhibit listed below is furnished pursuant to Item 9.01 of this Form 8-K.</w:t>
      </w:r>
    </w:p>
    <w:p>
      <w:pPr>
        <w:spacing w:after="0" w:line="252" w:lineRule="exact"/>
        <w:rPr>
          <w:sz w:val="20"/>
          <w:szCs w:val="20"/>
          <w:color w:val="auto"/>
        </w:rPr>
      </w:pPr>
    </w:p>
    <w:p>
      <w:pPr>
        <w:ind w:left="460"/>
        <w:spacing w:after="0"/>
        <w:tabs>
          <w:tab w:leader="none" w:pos="108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6"/>
          <w:szCs w:val="16"/>
          <w:color w:val="auto"/>
        </w:rPr>
        <w:t>First-Quarter 2017 Earnings Release.</w:t>
      </w:r>
    </w:p>
    <w:p>
      <w:pPr>
        <w:sectPr>
          <w:pgSz w:w="11900" w:h="16838" w:orient="portrait"/>
          <w:cols w:equalWidth="0" w:num="1">
            <w:col w:w="11400"/>
          </w:cols>
          <w:pgMar w:left="240" w:top="270" w:right="259" w:bottom="1440" w:gutter="0" w:footer="0" w:header="0"/>
        </w:sectPr>
      </w:pPr>
    </w:p>
    <w:bookmarkStart w:id="2" w:name="page3"/>
    <w:bookmarkEnd w:id="2"/>
    <w:p>
      <w:pPr>
        <w:ind w:left="51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duly authorized undersigned.</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SCHLUMBERGER LIMITED</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 Howard Guild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89877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Howard Guild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Accounting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April 21, 2017</w:t>
      </w:r>
    </w:p>
    <w:p>
      <w:pPr>
        <w:sectPr>
          <w:pgSz w:w="11900" w:h="16838" w:orient="portrait"/>
          <w:cols w:equalWidth="0" w:num="1">
            <w:col w:w="10660"/>
          </w:cols>
          <w:pgMar w:left="240" w:top="270" w:right="99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172085</wp:posOffset>
            </wp:positionV>
            <wp:extent cx="1329055" cy="3086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329055" cy="3086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Schlumberger Announces First-Quarter 2017 Results</w:t>
      </w:r>
    </w:p>
    <w:p>
      <w:pPr>
        <w:spacing w:after="0" w:line="135" w:lineRule="exact"/>
        <w:rPr>
          <w:sz w:val="20"/>
          <w:szCs w:val="20"/>
          <w:color w:val="auto"/>
        </w:rPr>
      </w:pPr>
    </w:p>
    <w:p>
      <w:pPr>
        <w:ind w:left="460" w:hanging="452"/>
        <w:spacing w:after="0"/>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Revenue of $6.9 billion decreased 3% sequentially</w:t>
      </w:r>
    </w:p>
    <w:p>
      <w:pPr>
        <w:spacing w:after="0" w:line="130" w:lineRule="exact"/>
        <w:rPr>
          <w:rFonts w:ascii="Arial" w:cs="Arial" w:eastAsia="Arial" w:hAnsi="Arial"/>
          <w:sz w:val="18"/>
          <w:szCs w:val="18"/>
          <w:color w:val="auto"/>
        </w:rPr>
      </w:pPr>
    </w:p>
    <w:p>
      <w:pPr>
        <w:ind w:left="460" w:hanging="452"/>
        <w:spacing w:after="0"/>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GAAP EPS, including Cameron integration charges of $0.05 per share, was $0.20</w:t>
      </w:r>
    </w:p>
    <w:p>
      <w:pPr>
        <w:spacing w:after="0" w:line="130" w:lineRule="exact"/>
        <w:rPr>
          <w:rFonts w:ascii="Arial" w:cs="Arial" w:eastAsia="Arial" w:hAnsi="Arial"/>
          <w:sz w:val="18"/>
          <w:szCs w:val="18"/>
          <w:color w:val="auto"/>
        </w:rPr>
      </w:pPr>
    </w:p>
    <w:p>
      <w:pPr>
        <w:ind w:left="460" w:hanging="452"/>
        <w:spacing w:after="0"/>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EPS, excluding Cameron integration charges, was $0.25</w:t>
      </w:r>
    </w:p>
    <w:p>
      <w:pPr>
        <w:spacing w:after="0" w:line="130" w:lineRule="exact"/>
        <w:rPr>
          <w:rFonts w:ascii="Arial" w:cs="Arial" w:eastAsia="Arial" w:hAnsi="Arial"/>
          <w:sz w:val="18"/>
          <w:szCs w:val="18"/>
          <w:color w:val="auto"/>
        </w:rPr>
      </w:pPr>
    </w:p>
    <w:p>
      <w:pPr>
        <w:ind w:left="460" w:hanging="452"/>
        <w:spacing w:after="0"/>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Cash flow from operations was $656 million</w:t>
      </w:r>
    </w:p>
    <w:p>
      <w:pPr>
        <w:spacing w:after="0" w:line="130" w:lineRule="exact"/>
        <w:rPr>
          <w:rFonts w:ascii="Arial" w:cs="Arial" w:eastAsia="Arial" w:hAnsi="Arial"/>
          <w:sz w:val="18"/>
          <w:szCs w:val="18"/>
          <w:color w:val="auto"/>
        </w:rPr>
      </w:pPr>
    </w:p>
    <w:p>
      <w:pPr>
        <w:ind w:left="460" w:hanging="452"/>
        <w:spacing w:after="0"/>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Quarterly cash dividend of $0.50 per share was approved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London</w:t>
      </w:r>
      <w:r>
        <w:rPr>
          <w:rFonts w:ascii="Arial" w:cs="Arial" w:eastAsia="Arial" w:hAnsi="Arial"/>
          <w:sz w:val="18"/>
          <w:szCs w:val="18"/>
          <w:color w:val="auto"/>
        </w:rPr>
        <w:t>, April 21, 2017 – Schlumberger Limited (NYSE:SLB) today reported results for the first quarter of 2017.</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6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w w:val="93"/>
              </w:rPr>
              <w:t>Three Months Ended</w:t>
            </w:r>
          </w:p>
        </w:tc>
        <w:tc>
          <w:tcPr>
            <w:tcW w:w="560" w:type="dxa"/>
            <w:vAlign w:val="bottom"/>
          </w:tcPr>
          <w:p>
            <w:pPr>
              <w:spacing w:after="0"/>
              <w:rPr>
                <w:sz w:val="14"/>
                <w:szCs w:val="14"/>
                <w:color w:val="auto"/>
              </w:rPr>
            </w:pPr>
          </w:p>
        </w:tc>
        <w:tc>
          <w:tcPr>
            <w:tcW w:w="2960" w:type="dxa"/>
            <w:vAlign w:val="bottom"/>
            <w:gridSpan w:val="6"/>
          </w:tcPr>
          <w:p>
            <w:pPr>
              <w:ind w:left="300"/>
              <w:spacing w:after="0"/>
              <w:rPr>
                <w:sz w:val="20"/>
                <w:szCs w:val="20"/>
                <w:color w:val="auto"/>
              </w:rPr>
            </w:pPr>
            <w:r>
              <w:rPr>
                <w:rFonts w:ascii="Arial" w:cs="Arial" w:eastAsia="Arial" w:hAnsi="Arial"/>
                <w:sz w:val="14"/>
                <w:szCs w:val="14"/>
                <w:color w:val="auto"/>
                <w:w w:val="92"/>
              </w:rPr>
              <w:t>(Stated in millions, except per share amounts)</w:t>
            </w:r>
          </w:p>
        </w:tc>
        <w:tc>
          <w:tcPr>
            <w:tcW w:w="0" w:type="dxa"/>
            <w:vAlign w:val="bottom"/>
          </w:tcPr>
          <w:p>
            <w:pPr>
              <w:spacing w:after="0"/>
              <w:rPr>
                <w:sz w:val="1"/>
                <w:szCs w:val="1"/>
                <w:color w:val="auto"/>
              </w:rPr>
            </w:pPr>
          </w:p>
        </w:tc>
      </w:tr>
      <w:tr>
        <w:trPr>
          <w:trHeight w:val="171"/>
        </w:trPr>
        <w:tc>
          <w:tcPr>
            <w:tcW w:w="5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60" w:type="dxa"/>
            <w:vAlign w:val="bottom"/>
            <w:gridSpan w:val="3"/>
            <w:vMerge w:val="continue"/>
          </w:tcPr>
          <w:p>
            <w:pPr>
              <w:spacing w:after="0"/>
              <w:rPr>
                <w:sz w:val="14"/>
                <w:szCs w:val="14"/>
                <w:color w:val="auto"/>
              </w:rPr>
            </w:pPr>
          </w:p>
        </w:tc>
        <w:tc>
          <w:tcPr>
            <w:tcW w:w="5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80" w:type="dxa"/>
            <w:vAlign w:val="bottom"/>
            <w:gridSpan w:val="3"/>
          </w:tcPr>
          <w:p>
            <w:pPr>
              <w:ind w:left="2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42"/>
        </w:trPr>
        <w:tc>
          <w:tcPr>
            <w:tcW w:w="5160" w:type="dxa"/>
            <w:vAlign w:val="bottom"/>
          </w:tcPr>
          <w:p>
            <w:pPr>
              <w:spacing w:after="0"/>
              <w:rPr>
                <w:sz w:val="12"/>
                <w:szCs w:val="12"/>
                <w:color w:val="auto"/>
              </w:rPr>
            </w:pPr>
          </w:p>
        </w:tc>
        <w:tc>
          <w:tcPr>
            <w:tcW w:w="1400" w:type="dxa"/>
            <w:vAlign w:val="bottom"/>
            <w:tcBorders>
              <w:top w:val="single" w:sz="8" w:color="auto"/>
            </w:tcBorders>
            <w:gridSpan w:val="3"/>
          </w:tcPr>
          <w:p>
            <w:pPr>
              <w:ind w:left="240"/>
              <w:spacing w:after="0" w:line="142" w:lineRule="exact"/>
              <w:rPr>
                <w:sz w:val="20"/>
                <w:szCs w:val="20"/>
                <w:color w:val="auto"/>
              </w:rPr>
            </w:pPr>
            <w:r>
              <w:rPr>
                <w:rFonts w:ascii="Arial" w:cs="Arial" w:eastAsia="Arial" w:hAnsi="Arial"/>
                <w:sz w:val="14"/>
                <w:szCs w:val="14"/>
                <w:b w:val="1"/>
                <w:bCs w:val="1"/>
                <w:color w:val="auto"/>
              </w:rPr>
              <w:t>Mar. 31, 2017</w:t>
            </w:r>
          </w:p>
        </w:tc>
        <w:tc>
          <w:tcPr>
            <w:tcW w:w="1360" w:type="dxa"/>
            <w:vAlign w:val="bottom"/>
            <w:tcBorders>
              <w:top w:val="single" w:sz="8" w:color="auto"/>
            </w:tcBorders>
            <w:gridSpan w:val="3"/>
          </w:tcPr>
          <w:p>
            <w:pPr>
              <w:ind w:left="240"/>
              <w:spacing w:after="0" w:line="142" w:lineRule="exact"/>
              <w:rPr>
                <w:sz w:val="20"/>
                <w:szCs w:val="20"/>
                <w:color w:val="auto"/>
              </w:rPr>
            </w:pPr>
            <w:r>
              <w:rPr>
                <w:rFonts w:ascii="Arial" w:cs="Arial" w:eastAsia="Arial" w:hAnsi="Arial"/>
                <w:sz w:val="14"/>
                <w:szCs w:val="14"/>
                <w:color w:val="auto"/>
              </w:rPr>
              <w:t>Dec. 31, 2016</w:t>
            </w:r>
          </w:p>
        </w:tc>
        <w:tc>
          <w:tcPr>
            <w:tcW w:w="1420" w:type="dxa"/>
            <w:vAlign w:val="bottom"/>
            <w:tcBorders>
              <w:top w:val="single" w:sz="8" w:color="auto"/>
            </w:tcBorders>
            <w:gridSpan w:val="2"/>
          </w:tcPr>
          <w:p>
            <w:pPr>
              <w:jc w:val="right"/>
              <w:ind w:right="152"/>
              <w:spacing w:after="0" w:line="142" w:lineRule="exact"/>
              <w:rPr>
                <w:sz w:val="20"/>
                <w:szCs w:val="20"/>
                <w:color w:val="auto"/>
              </w:rPr>
            </w:pPr>
            <w:r>
              <w:rPr>
                <w:rFonts w:ascii="Arial" w:cs="Arial" w:eastAsia="Arial" w:hAnsi="Arial"/>
                <w:sz w:val="14"/>
                <w:szCs w:val="14"/>
                <w:color w:val="auto"/>
              </w:rPr>
              <w:t>Mar. 31, 2016**</w:t>
            </w:r>
          </w:p>
        </w:tc>
        <w:tc>
          <w:tcPr>
            <w:tcW w:w="80" w:type="dxa"/>
            <w:vAlign w:val="bottom"/>
          </w:tcPr>
          <w:p>
            <w:pPr>
              <w:spacing w:after="0"/>
              <w:rPr>
                <w:sz w:val="12"/>
                <w:szCs w:val="12"/>
                <w:color w:val="auto"/>
              </w:rPr>
            </w:pPr>
          </w:p>
        </w:tc>
        <w:tc>
          <w:tcPr>
            <w:tcW w:w="740" w:type="dxa"/>
            <w:vAlign w:val="bottom"/>
            <w:tcBorders>
              <w:top w:val="single" w:sz="8" w:color="auto"/>
            </w:tcBorders>
          </w:tcPr>
          <w:p>
            <w:pPr>
              <w:ind w:left="40"/>
              <w:spacing w:after="0" w:line="142" w:lineRule="exact"/>
              <w:rPr>
                <w:sz w:val="20"/>
                <w:szCs w:val="20"/>
                <w:color w:val="auto"/>
              </w:rPr>
            </w:pPr>
            <w:r>
              <w:rPr>
                <w:rFonts w:ascii="Arial" w:cs="Arial" w:eastAsia="Arial" w:hAnsi="Arial"/>
                <w:sz w:val="14"/>
                <w:szCs w:val="14"/>
                <w:b w:val="1"/>
                <w:bCs w:val="1"/>
                <w:color w:val="auto"/>
                <w:w w:val="95"/>
              </w:rPr>
              <w:t>Sequential</w:t>
            </w:r>
          </w:p>
        </w:tc>
        <w:tc>
          <w:tcPr>
            <w:tcW w:w="80" w:type="dxa"/>
            <w:vAlign w:val="bottom"/>
            <w:tcBorders>
              <w:top w:val="single" w:sz="8" w:color="auto"/>
            </w:tcBorders>
          </w:tcPr>
          <w:p>
            <w:pPr>
              <w:spacing w:after="0"/>
              <w:rPr>
                <w:sz w:val="12"/>
                <w:szCs w:val="12"/>
                <w:color w:val="auto"/>
              </w:rPr>
            </w:pPr>
          </w:p>
        </w:tc>
        <w:tc>
          <w:tcPr>
            <w:tcW w:w="1180" w:type="dxa"/>
            <w:vAlign w:val="bottom"/>
            <w:tcBorders>
              <w:top w:val="single" w:sz="8" w:color="auto"/>
            </w:tcBorders>
          </w:tcPr>
          <w:p>
            <w:pPr>
              <w:jc w:val="right"/>
              <w:ind w:right="94"/>
              <w:spacing w:after="0" w:line="142" w:lineRule="exact"/>
              <w:rPr>
                <w:sz w:val="20"/>
                <w:szCs w:val="20"/>
                <w:color w:val="auto"/>
              </w:rPr>
            </w:pPr>
            <w:r>
              <w:rPr>
                <w:rFonts w:ascii="Arial" w:cs="Arial" w:eastAsia="Arial" w:hAnsi="Arial"/>
                <w:sz w:val="14"/>
                <w:szCs w:val="14"/>
                <w:b w:val="1"/>
                <w:bCs w:val="1"/>
                <w:color w:val="auto"/>
              </w:rPr>
              <w:t>Year-on-year</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1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Revenue</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20" w:type="dxa"/>
            <w:vAlign w:val="bottom"/>
            <w:tcBorders>
              <w:top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b w:val="1"/>
                <w:bCs w:val="1"/>
                <w:color w:val="auto"/>
                <w:w w:val="88"/>
              </w:rPr>
              <w:t>6,894</w:t>
            </w:r>
          </w:p>
        </w:tc>
        <w:tc>
          <w:tcPr>
            <w:tcW w:w="8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84"/>
              </w:rPr>
              <w:t>7,107</w:t>
            </w:r>
          </w:p>
        </w:tc>
        <w:tc>
          <w:tcPr>
            <w:tcW w:w="8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ind w:right="372"/>
              <w:spacing w:after="0"/>
              <w:rPr>
                <w:sz w:val="20"/>
                <w:szCs w:val="20"/>
                <w:color w:val="auto"/>
              </w:rPr>
            </w:pPr>
            <w:r>
              <w:rPr>
                <w:rFonts w:ascii="Arial" w:cs="Arial" w:eastAsia="Arial" w:hAnsi="Arial"/>
                <w:sz w:val="18"/>
                <w:szCs w:val="18"/>
                <w:color w:val="auto"/>
                <w:w w:val="84"/>
              </w:rPr>
              <w:t>6,520</w:t>
            </w:r>
          </w:p>
        </w:tc>
        <w:tc>
          <w:tcPr>
            <w:tcW w:w="8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center"/>
              <w:ind w:left="52"/>
              <w:spacing w:after="0"/>
              <w:rPr>
                <w:sz w:val="20"/>
                <w:szCs w:val="20"/>
                <w:color w:val="auto"/>
              </w:rPr>
            </w:pPr>
            <w:r>
              <w:rPr>
                <w:rFonts w:ascii="Arial" w:cs="Arial" w:eastAsia="Arial" w:hAnsi="Arial"/>
                <w:sz w:val="18"/>
                <w:szCs w:val="18"/>
                <w:b w:val="1"/>
                <w:bCs w:val="1"/>
                <w:color w:val="auto"/>
                <w:w w:val="99"/>
              </w:rPr>
              <w:t>-3%</w:t>
            </w:r>
          </w:p>
        </w:tc>
        <w:tc>
          <w:tcPr>
            <w:tcW w:w="8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ind w:right="134"/>
              <w:spacing w:after="0"/>
              <w:rPr>
                <w:sz w:val="20"/>
                <w:szCs w:val="20"/>
                <w:color w:val="auto"/>
              </w:rPr>
            </w:pPr>
            <w:r>
              <w:rPr>
                <w:rFonts w:ascii="Arial" w:cs="Arial" w:eastAsia="Arial" w:hAnsi="Arial"/>
                <w:sz w:val="18"/>
                <w:szCs w:val="18"/>
                <w:b w:val="1"/>
                <w:bCs w:val="1"/>
                <w:color w:val="auto"/>
              </w:rPr>
              <w:t>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tcPr>
          <w:p>
            <w:pPr>
              <w:spacing w:after="0"/>
              <w:rPr>
                <w:sz w:val="20"/>
                <w:szCs w:val="20"/>
                <w:color w:val="auto"/>
              </w:rPr>
            </w:pPr>
            <w:r>
              <w:rPr>
                <w:rFonts w:ascii="Arial" w:cs="Arial" w:eastAsia="Arial" w:hAnsi="Arial"/>
                <w:sz w:val="18"/>
                <w:szCs w:val="18"/>
                <w:color w:val="auto"/>
              </w:rPr>
              <w:t>Pretax operating income</w:t>
            </w: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820" w:type="dxa"/>
            <w:vAlign w:val="bottom"/>
          </w:tcPr>
          <w:p>
            <w:pPr>
              <w:jc w:val="right"/>
              <w:ind w:right="310"/>
              <w:spacing w:after="0"/>
              <w:rPr>
                <w:sz w:val="20"/>
                <w:szCs w:val="20"/>
                <w:color w:val="auto"/>
              </w:rPr>
            </w:pPr>
            <w:r>
              <w:rPr>
                <w:rFonts w:ascii="Arial" w:cs="Arial" w:eastAsia="Arial" w:hAnsi="Arial"/>
                <w:sz w:val="18"/>
                <w:szCs w:val="18"/>
                <w:b w:val="1"/>
                <w:bCs w:val="1"/>
                <w:color w:val="auto"/>
              </w:rPr>
              <w:t>757</w:t>
            </w:r>
          </w:p>
        </w:tc>
        <w:tc>
          <w:tcPr>
            <w:tcW w:w="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310"/>
              <w:spacing w:after="0"/>
              <w:rPr>
                <w:sz w:val="20"/>
                <w:szCs w:val="20"/>
                <w:color w:val="auto"/>
              </w:rPr>
            </w:pPr>
            <w:r>
              <w:rPr>
                <w:rFonts w:ascii="Arial" w:cs="Arial" w:eastAsia="Arial" w:hAnsi="Arial"/>
                <w:sz w:val="18"/>
                <w:szCs w:val="18"/>
                <w:color w:val="auto"/>
              </w:rPr>
              <w:t>810</w:t>
            </w: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372"/>
              <w:spacing w:after="0"/>
              <w:rPr>
                <w:sz w:val="20"/>
                <w:szCs w:val="20"/>
                <w:color w:val="auto"/>
              </w:rPr>
            </w:pPr>
            <w:r>
              <w:rPr>
                <w:rFonts w:ascii="Arial" w:cs="Arial" w:eastAsia="Arial" w:hAnsi="Arial"/>
                <w:sz w:val="18"/>
                <w:szCs w:val="18"/>
                <w:color w:val="auto"/>
              </w:rPr>
              <w:t>901</w:t>
            </w:r>
          </w:p>
        </w:tc>
        <w:tc>
          <w:tcPr>
            <w:tcW w:w="80" w:type="dxa"/>
            <w:vAlign w:val="bottom"/>
          </w:tcPr>
          <w:p>
            <w:pPr>
              <w:spacing w:after="0"/>
              <w:rPr>
                <w:sz w:val="18"/>
                <w:szCs w:val="18"/>
                <w:color w:val="auto"/>
              </w:rPr>
            </w:pPr>
          </w:p>
        </w:tc>
        <w:tc>
          <w:tcPr>
            <w:tcW w:w="740" w:type="dxa"/>
            <w:vAlign w:val="bottom"/>
          </w:tcPr>
          <w:p>
            <w:pPr>
              <w:jc w:val="center"/>
              <w:ind w:left="52"/>
              <w:spacing w:after="0"/>
              <w:rPr>
                <w:sz w:val="20"/>
                <w:szCs w:val="20"/>
                <w:color w:val="auto"/>
              </w:rPr>
            </w:pPr>
            <w:r>
              <w:rPr>
                <w:rFonts w:ascii="Arial" w:cs="Arial" w:eastAsia="Arial" w:hAnsi="Arial"/>
                <w:sz w:val="18"/>
                <w:szCs w:val="18"/>
                <w:b w:val="1"/>
                <w:bCs w:val="1"/>
                <w:color w:val="auto"/>
                <w:w w:val="99"/>
              </w:rPr>
              <w:t>-7%</w:t>
            </w:r>
          </w:p>
        </w:tc>
        <w:tc>
          <w:tcPr>
            <w:tcW w:w="1260" w:type="dxa"/>
            <w:vAlign w:val="bottom"/>
            <w:gridSpan w:val="2"/>
          </w:tcPr>
          <w:p>
            <w:pPr>
              <w:jc w:val="right"/>
              <w:ind w:right="134"/>
              <w:spacing w:after="0"/>
              <w:rPr>
                <w:sz w:val="20"/>
                <w:szCs w:val="20"/>
                <w:color w:val="auto"/>
              </w:rPr>
            </w:pPr>
            <w:r>
              <w:rPr>
                <w:rFonts w:ascii="Arial" w:cs="Arial" w:eastAsia="Arial" w:hAnsi="Arial"/>
                <w:sz w:val="18"/>
                <w:szCs w:val="18"/>
                <w:b w:val="1"/>
                <w:bCs w:val="1"/>
                <w:color w:val="auto"/>
              </w:rPr>
              <w:t>-16%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Pretax operating margin</w:t>
            </w:r>
          </w:p>
        </w:tc>
        <w:tc>
          <w:tcPr>
            <w:tcW w:w="50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11.0%</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11.4%</w:t>
            </w: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rPr>
              <w:t>13.8%</w:t>
            </w: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center"/>
              <w:ind w:left="92"/>
              <w:spacing w:after="0"/>
              <w:rPr>
                <w:sz w:val="20"/>
                <w:szCs w:val="20"/>
                <w:color w:val="auto"/>
              </w:rPr>
            </w:pPr>
            <w:r>
              <w:rPr>
                <w:rFonts w:ascii="Arial" w:cs="Arial" w:eastAsia="Arial" w:hAnsi="Arial"/>
                <w:sz w:val="18"/>
                <w:szCs w:val="18"/>
                <w:b w:val="1"/>
                <w:bCs w:val="1"/>
                <w:color w:val="auto"/>
                <w:w w:val="88"/>
              </w:rPr>
              <w:t>-42 bps</w:t>
            </w:r>
          </w:p>
        </w:tc>
        <w:tc>
          <w:tcPr>
            <w:tcW w:w="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-284 bps</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tcPr>
          <w:p>
            <w:pPr>
              <w:spacing w:after="0"/>
              <w:rPr>
                <w:sz w:val="20"/>
                <w:szCs w:val="20"/>
                <w:color w:val="auto"/>
              </w:rPr>
            </w:pPr>
            <w:r>
              <w:rPr>
                <w:rFonts w:ascii="Arial" w:cs="Arial" w:eastAsia="Arial" w:hAnsi="Arial"/>
                <w:sz w:val="18"/>
                <w:szCs w:val="18"/>
                <w:color w:val="auto"/>
              </w:rPr>
              <w:t>Net income (loss) (GAAP basis)</w:t>
            </w: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820" w:type="dxa"/>
            <w:vAlign w:val="bottom"/>
          </w:tcPr>
          <w:p>
            <w:pPr>
              <w:jc w:val="right"/>
              <w:ind w:right="310"/>
              <w:spacing w:after="0"/>
              <w:rPr>
                <w:sz w:val="20"/>
                <w:szCs w:val="20"/>
                <w:color w:val="auto"/>
              </w:rPr>
            </w:pPr>
            <w:r>
              <w:rPr>
                <w:rFonts w:ascii="Arial" w:cs="Arial" w:eastAsia="Arial" w:hAnsi="Arial"/>
                <w:sz w:val="18"/>
                <w:szCs w:val="18"/>
                <w:b w:val="1"/>
                <w:bCs w:val="1"/>
                <w:color w:val="auto"/>
              </w:rPr>
              <w:t>279</w:t>
            </w:r>
          </w:p>
        </w:tc>
        <w:tc>
          <w:tcPr>
            <w:tcW w:w="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250"/>
              <w:spacing w:after="0"/>
              <w:rPr>
                <w:sz w:val="20"/>
                <w:szCs w:val="20"/>
                <w:color w:val="auto"/>
              </w:rPr>
            </w:pPr>
            <w:r>
              <w:rPr>
                <w:rFonts w:ascii="Arial" w:cs="Arial" w:eastAsia="Arial" w:hAnsi="Arial"/>
                <w:sz w:val="18"/>
                <w:szCs w:val="18"/>
                <w:color w:val="auto"/>
              </w:rPr>
              <w:t>(204)</w:t>
            </w: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372"/>
              <w:spacing w:after="0"/>
              <w:rPr>
                <w:sz w:val="20"/>
                <w:szCs w:val="20"/>
                <w:color w:val="auto"/>
              </w:rPr>
            </w:pPr>
            <w:r>
              <w:rPr>
                <w:rFonts w:ascii="Arial" w:cs="Arial" w:eastAsia="Arial" w:hAnsi="Arial"/>
                <w:sz w:val="18"/>
                <w:szCs w:val="18"/>
                <w:color w:val="auto"/>
              </w:rPr>
              <w:t>501</w:t>
            </w:r>
          </w:p>
        </w:tc>
        <w:tc>
          <w:tcPr>
            <w:tcW w:w="80" w:type="dxa"/>
            <w:vAlign w:val="bottom"/>
          </w:tcPr>
          <w:p>
            <w:pPr>
              <w:spacing w:after="0"/>
              <w:rPr>
                <w:sz w:val="18"/>
                <w:szCs w:val="18"/>
                <w:color w:val="auto"/>
              </w:rPr>
            </w:pPr>
          </w:p>
        </w:tc>
        <w:tc>
          <w:tcPr>
            <w:tcW w:w="740" w:type="dxa"/>
            <w:vAlign w:val="bottom"/>
          </w:tcPr>
          <w:p>
            <w:pPr>
              <w:ind w:left="120"/>
              <w:spacing w:after="0"/>
              <w:rPr>
                <w:sz w:val="20"/>
                <w:szCs w:val="20"/>
                <w:color w:val="auto"/>
              </w:rPr>
            </w:pPr>
            <w:r>
              <w:rPr>
                <w:rFonts w:ascii="Arial" w:cs="Arial" w:eastAsia="Arial" w:hAnsi="Arial"/>
                <w:sz w:val="18"/>
                <w:szCs w:val="18"/>
                <w:b w:val="1"/>
                <w:bCs w:val="1"/>
                <w:color w:val="auto"/>
              </w:rPr>
              <w:t>n/m</w:t>
            </w:r>
          </w:p>
        </w:tc>
        <w:tc>
          <w:tcPr>
            <w:tcW w:w="80" w:type="dxa"/>
            <w:vAlign w:val="bottom"/>
          </w:tcPr>
          <w:p>
            <w:pPr>
              <w:spacing w:after="0"/>
              <w:rPr>
                <w:sz w:val="18"/>
                <w:szCs w:val="18"/>
                <w:color w:val="auto"/>
              </w:rPr>
            </w:pPr>
          </w:p>
        </w:tc>
        <w:tc>
          <w:tcPr>
            <w:tcW w:w="1180" w:type="dxa"/>
            <w:vAlign w:val="bottom"/>
          </w:tcPr>
          <w:p>
            <w:pPr>
              <w:jc w:val="right"/>
              <w:ind w:right="314"/>
              <w:spacing w:after="0"/>
              <w:rPr>
                <w:sz w:val="20"/>
                <w:szCs w:val="20"/>
                <w:color w:val="auto"/>
              </w:rPr>
            </w:pPr>
            <w:r>
              <w:rPr>
                <w:rFonts w:ascii="Arial" w:cs="Arial" w:eastAsia="Arial" w:hAnsi="Arial"/>
                <w:sz w:val="18"/>
                <w:szCs w:val="18"/>
                <w:b w:val="1"/>
                <w:bCs w:val="1"/>
                <w:color w:val="auto"/>
              </w:rPr>
              <w:t>n/m</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Net income, excluding charges and credits*</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20" w:type="dxa"/>
            <w:vAlign w:val="bottom"/>
            <w:shd w:val="clear" w:color="auto" w:fill="CCEEFF"/>
          </w:tcPr>
          <w:p>
            <w:pPr>
              <w:jc w:val="right"/>
              <w:ind w:right="310"/>
              <w:spacing w:after="0"/>
              <w:rPr>
                <w:sz w:val="20"/>
                <w:szCs w:val="20"/>
                <w:color w:val="auto"/>
              </w:rPr>
            </w:pPr>
            <w:r>
              <w:rPr>
                <w:rFonts w:ascii="Arial" w:cs="Arial" w:eastAsia="Arial" w:hAnsi="Arial"/>
                <w:sz w:val="18"/>
                <w:szCs w:val="18"/>
                <w:b w:val="1"/>
                <w:bCs w:val="1"/>
                <w:color w:val="auto"/>
              </w:rPr>
              <w:t>347</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379</w:t>
            </w: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372"/>
              <w:spacing w:after="0"/>
              <w:rPr>
                <w:sz w:val="20"/>
                <w:szCs w:val="20"/>
                <w:color w:val="auto"/>
              </w:rPr>
            </w:pPr>
            <w:r>
              <w:rPr>
                <w:rFonts w:ascii="Arial" w:cs="Arial" w:eastAsia="Arial" w:hAnsi="Arial"/>
                <w:sz w:val="18"/>
                <w:szCs w:val="18"/>
                <w:color w:val="auto"/>
              </w:rPr>
              <w:t>501</w:t>
            </w: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center"/>
              <w:ind w:left="52"/>
              <w:spacing w:after="0"/>
              <w:rPr>
                <w:sz w:val="20"/>
                <w:szCs w:val="20"/>
                <w:color w:val="auto"/>
              </w:rPr>
            </w:pPr>
            <w:r>
              <w:rPr>
                <w:rFonts w:ascii="Arial" w:cs="Arial" w:eastAsia="Arial" w:hAnsi="Arial"/>
                <w:sz w:val="18"/>
                <w:szCs w:val="18"/>
                <w:b w:val="1"/>
                <w:bCs w:val="1"/>
                <w:color w:val="auto"/>
                <w:w w:val="99"/>
              </w:rPr>
              <w:t>-8%</w:t>
            </w:r>
          </w:p>
        </w:tc>
        <w:tc>
          <w:tcPr>
            <w:tcW w:w="1260" w:type="dxa"/>
            <w:vAlign w:val="bottom"/>
            <w:gridSpan w:val="2"/>
            <w:shd w:val="clear" w:color="auto" w:fill="CCEEFF"/>
          </w:tcPr>
          <w:p>
            <w:pPr>
              <w:jc w:val="right"/>
              <w:ind w:right="134"/>
              <w:spacing w:after="0"/>
              <w:rPr>
                <w:sz w:val="20"/>
                <w:szCs w:val="20"/>
                <w:color w:val="auto"/>
              </w:rPr>
            </w:pPr>
            <w:r>
              <w:rPr>
                <w:rFonts w:ascii="Arial" w:cs="Arial" w:eastAsia="Arial" w:hAnsi="Arial"/>
                <w:sz w:val="18"/>
                <w:szCs w:val="18"/>
                <w:b w:val="1"/>
                <w:bCs w:val="1"/>
                <w:color w:val="auto"/>
              </w:rPr>
              <w:t>-31%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tcPr>
          <w:p>
            <w:pPr>
              <w:spacing w:after="0"/>
              <w:rPr>
                <w:sz w:val="20"/>
                <w:szCs w:val="20"/>
                <w:color w:val="auto"/>
              </w:rPr>
            </w:pPr>
            <w:r>
              <w:rPr>
                <w:rFonts w:ascii="Arial" w:cs="Arial" w:eastAsia="Arial" w:hAnsi="Arial"/>
                <w:sz w:val="18"/>
                <w:szCs w:val="18"/>
                <w:color w:val="auto"/>
              </w:rPr>
              <w:t>Diluted EPS (loss per share) (GAAP basis)</w:t>
            </w: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820" w:type="dxa"/>
            <w:vAlign w:val="bottom"/>
          </w:tcPr>
          <w:p>
            <w:pPr>
              <w:jc w:val="right"/>
              <w:ind w:right="310"/>
              <w:spacing w:after="0"/>
              <w:rPr>
                <w:sz w:val="20"/>
                <w:szCs w:val="20"/>
                <w:color w:val="auto"/>
              </w:rPr>
            </w:pPr>
            <w:r>
              <w:rPr>
                <w:rFonts w:ascii="Arial" w:cs="Arial" w:eastAsia="Arial" w:hAnsi="Arial"/>
                <w:sz w:val="18"/>
                <w:szCs w:val="18"/>
                <w:b w:val="1"/>
                <w:bCs w:val="1"/>
                <w:color w:val="auto"/>
              </w:rPr>
              <w:t>0.20</w:t>
            </w:r>
          </w:p>
        </w:tc>
        <w:tc>
          <w:tcPr>
            <w:tcW w:w="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250"/>
              <w:spacing w:after="0"/>
              <w:rPr>
                <w:sz w:val="20"/>
                <w:szCs w:val="20"/>
                <w:color w:val="auto"/>
              </w:rPr>
            </w:pPr>
            <w:r>
              <w:rPr>
                <w:rFonts w:ascii="Arial" w:cs="Arial" w:eastAsia="Arial" w:hAnsi="Arial"/>
                <w:sz w:val="18"/>
                <w:szCs w:val="18"/>
                <w:color w:val="auto"/>
                <w:w w:val="93"/>
              </w:rPr>
              <w:t>(0.15)</w:t>
            </w: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372"/>
              <w:spacing w:after="0"/>
              <w:rPr>
                <w:sz w:val="20"/>
                <w:szCs w:val="20"/>
                <w:color w:val="auto"/>
              </w:rPr>
            </w:pPr>
            <w:r>
              <w:rPr>
                <w:rFonts w:ascii="Arial" w:cs="Arial" w:eastAsia="Arial" w:hAnsi="Arial"/>
                <w:sz w:val="18"/>
                <w:szCs w:val="18"/>
                <w:color w:val="auto"/>
              </w:rPr>
              <w:t>0.40</w:t>
            </w:r>
          </w:p>
        </w:tc>
        <w:tc>
          <w:tcPr>
            <w:tcW w:w="80" w:type="dxa"/>
            <w:vAlign w:val="bottom"/>
          </w:tcPr>
          <w:p>
            <w:pPr>
              <w:spacing w:after="0"/>
              <w:rPr>
                <w:sz w:val="18"/>
                <w:szCs w:val="18"/>
                <w:color w:val="auto"/>
              </w:rPr>
            </w:pPr>
          </w:p>
        </w:tc>
        <w:tc>
          <w:tcPr>
            <w:tcW w:w="740" w:type="dxa"/>
            <w:vAlign w:val="bottom"/>
          </w:tcPr>
          <w:p>
            <w:pPr>
              <w:ind w:left="120"/>
              <w:spacing w:after="0"/>
              <w:rPr>
                <w:sz w:val="20"/>
                <w:szCs w:val="20"/>
                <w:color w:val="auto"/>
              </w:rPr>
            </w:pPr>
            <w:r>
              <w:rPr>
                <w:rFonts w:ascii="Arial" w:cs="Arial" w:eastAsia="Arial" w:hAnsi="Arial"/>
                <w:sz w:val="18"/>
                <w:szCs w:val="18"/>
                <w:b w:val="1"/>
                <w:bCs w:val="1"/>
                <w:color w:val="auto"/>
              </w:rPr>
              <w:t>n/m</w:t>
            </w:r>
          </w:p>
        </w:tc>
        <w:tc>
          <w:tcPr>
            <w:tcW w:w="80" w:type="dxa"/>
            <w:vAlign w:val="bottom"/>
          </w:tcPr>
          <w:p>
            <w:pPr>
              <w:spacing w:after="0"/>
              <w:rPr>
                <w:sz w:val="18"/>
                <w:szCs w:val="18"/>
                <w:color w:val="auto"/>
              </w:rPr>
            </w:pPr>
          </w:p>
        </w:tc>
        <w:tc>
          <w:tcPr>
            <w:tcW w:w="1180" w:type="dxa"/>
            <w:vAlign w:val="bottom"/>
          </w:tcPr>
          <w:p>
            <w:pPr>
              <w:jc w:val="right"/>
              <w:ind w:right="314"/>
              <w:spacing w:after="0"/>
              <w:rPr>
                <w:sz w:val="20"/>
                <w:szCs w:val="20"/>
                <w:color w:val="auto"/>
              </w:rPr>
            </w:pPr>
            <w:r>
              <w:rPr>
                <w:rFonts w:ascii="Arial" w:cs="Arial" w:eastAsia="Arial" w:hAnsi="Arial"/>
                <w:sz w:val="18"/>
                <w:szCs w:val="18"/>
                <w:b w:val="1"/>
                <w:bCs w:val="1"/>
                <w:color w:val="auto"/>
              </w:rPr>
              <w:t>n/m</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Diluted EPS, excluding charges and credits*</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20" w:type="dxa"/>
            <w:vAlign w:val="bottom"/>
            <w:shd w:val="clear" w:color="auto" w:fill="CCEEFF"/>
          </w:tcPr>
          <w:p>
            <w:pPr>
              <w:jc w:val="right"/>
              <w:ind w:right="310"/>
              <w:spacing w:after="0"/>
              <w:rPr>
                <w:sz w:val="20"/>
                <w:szCs w:val="20"/>
                <w:color w:val="auto"/>
              </w:rPr>
            </w:pPr>
            <w:r>
              <w:rPr>
                <w:rFonts w:ascii="Arial" w:cs="Arial" w:eastAsia="Arial" w:hAnsi="Arial"/>
                <w:sz w:val="18"/>
                <w:szCs w:val="18"/>
                <w:b w:val="1"/>
                <w:bCs w:val="1"/>
                <w:color w:val="auto"/>
              </w:rPr>
              <w:t>0.25</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0.27</w:t>
            </w: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372"/>
              <w:spacing w:after="0"/>
              <w:rPr>
                <w:sz w:val="20"/>
                <w:szCs w:val="20"/>
                <w:color w:val="auto"/>
              </w:rPr>
            </w:pPr>
            <w:r>
              <w:rPr>
                <w:rFonts w:ascii="Arial" w:cs="Arial" w:eastAsia="Arial" w:hAnsi="Arial"/>
                <w:sz w:val="18"/>
                <w:szCs w:val="18"/>
                <w:color w:val="auto"/>
              </w:rPr>
              <w:t>0.40</w:t>
            </w: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center"/>
              <w:ind w:left="52"/>
              <w:spacing w:after="0"/>
              <w:rPr>
                <w:sz w:val="20"/>
                <w:szCs w:val="20"/>
                <w:color w:val="auto"/>
              </w:rPr>
            </w:pPr>
            <w:r>
              <w:rPr>
                <w:rFonts w:ascii="Arial" w:cs="Arial" w:eastAsia="Arial" w:hAnsi="Arial"/>
                <w:sz w:val="18"/>
                <w:szCs w:val="18"/>
                <w:b w:val="1"/>
                <w:bCs w:val="1"/>
                <w:color w:val="auto"/>
                <w:w w:val="99"/>
              </w:rPr>
              <w:t>-7%</w:t>
            </w:r>
          </w:p>
        </w:tc>
        <w:tc>
          <w:tcPr>
            <w:tcW w:w="1260" w:type="dxa"/>
            <w:vAlign w:val="bottom"/>
            <w:gridSpan w:val="2"/>
            <w:shd w:val="clear" w:color="auto" w:fill="CCEEFF"/>
          </w:tcPr>
          <w:p>
            <w:pPr>
              <w:jc w:val="right"/>
              <w:ind w:right="134"/>
              <w:spacing w:after="0"/>
              <w:rPr>
                <w:sz w:val="20"/>
                <w:szCs w:val="20"/>
                <w:color w:val="auto"/>
              </w:rPr>
            </w:pPr>
            <w:r>
              <w:rPr>
                <w:rFonts w:ascii="Arial" w:cs="Arial" w:eastAsia="Arial" w:hAnsi="Arial"/>
                <w:sz w:val="18"/>
                <w:szCs w:val="18"/>
                <w:b w:val="1"/>
                <w:bCs w:val="1"/>
                <w:color w:val="auto"/>
              </w:rPr>
              <w:t>-38%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right="3680" w:firstLine="8"/>
        <w:spacing w:after="0" w:line="274" w:lineRule="auto"/>
        <w:tabs>
          <w:tab w:leader="none" w:pos="446"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These are non-GAAP financial measures. See section below entitled “Charges &amp; Credits” for details. ** First-quarter 2016 does not include Cameron, as the acquisition closed on April 1, 2016.</w:t>
      </w:r>
    </w:p>
    <w:p>
      <w:pPr>
        <w:spacing w:after="0"/>
        <w:rPr>
          <w:rFonts w:ascii="Arial" w:cs="Arial" w:eastAsia="Arial" w:hAnsi="Arial"/>
          <w:sz w:val="17"/>
          <w:szCs w:val="17"/>
          <w:color w:val="auto"/>
        </w:rPr>
      </w:pPr>
      <w:r>
        <w:rPr>
          <w:rFonts w:ascii="Arial" w:cs="Arial" w:eastAsia="Arial" w:hAnsi="Arial"/>
          <w:sz w:val="18"/>
          <w:szCs w:val="18"/>
          <w:color w:val="auto"/>
        </w:rPr>
        <w:t>n/m = not meaningful</w:t>
      </w:r>
    </w:p>
    <w:p>
      <w:pPr>
        <w:spacing w:after="0" w:line="211"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Schlumberger Chairman and CEO Paal Kibsgaard commented, “In the first quarter, the North America land market continued to strengthen in terms of both activity and pricing, leading us to begin accelerating deployment of idle capacity for multiple product lines. Revenue growth was led by hydraulic fracturing and drilling services, but was also increasingly supported by Artificial Lift, Surface Systems and Valves &amp; Measurement. In spite of our capacity re-activation being heavily back-end loaded toward the end of the quarter as we continued to adhere to our profitable growth approach, we still generated 16% sequential revenue growth and 66% incremental margins in our hydraulic fracturing and directional drilling services in US land. These results were driven by productive customer engagement around pricing recovery and operational efficiency, together with timely resource additions and proactive supply chain engagement.</w:t>
      </w:r>
    </w:p>
    <w:p>
      <w:pPr>
        <w:spacing w:after="0" w:line="165"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“In the international markets, revenue declined 7% sequentially, driven by a greater than expected seasonal decline in activity and sales, particularly in China, Russia land, and the North Sea. In addition, we saw lower sequential activity in key parts of the Middle East, while production constraints imposed on our Schlumberger Production Management (SPM) Shushufindi project in Ecuador also had a negative impact on our first quarter results. Still, the underlying activity and sentiment from our global customer base were in line with expectations as seen, for instance, by the flat sequential revenue trends in the rest of Latin America as well as in Africa, confirming that these regions have indeed reached the bottom of the cycle.</w:t>
      </w:r>
    </w:p>
    <w:p>
      <w:pPr>
        <w:spacing w:after="0" w:line="173" w:lineRule="exact"/>
        <w:rPr>
          <w:sz w:val="20"/>
          <w:szCs w:val="20"/>
          <w:color w:val="auto"/>
        </w:rPr>
      </w:pPr>
    </w:p>
    <w:p>
      <w:pPr>
        <w:ind w:right="320"/>
        <w:spacing w:after="0" w:line="257" w:lineRule="auto"/>
        <w:rPr>
          <w:sz w:val="20"/>
          <w:szCs w:val="20"/>
          <w:color w:val="auto"/>
        </w:rPr>
      </w:pPr>
      <w:r>
        <w:rPr>
          <w:rFonts w:ascii="Arial" w:cs="Arial" w:eastAsia="Arial" w:hAnsi="Arial"/>
          <w:sz w:val="18"/>
          <w:szCs w:val="18"/>
          <w:color w:val="auto"/>
        </w:rPr>
        <w:t>“Among the business segments, the first-quarter revenue declines were led by the Cameron Group, which fell 9% sequentially driven by lower project volumes in OneSubsea and reduced product sales in Surface Systems. Reservoir Characterization Group revenue decreased 3% sequentially due to the seasonal reduction in revenue for our Software Integrated Solutions (SIS) and WesternGeco product lines. Drilling Group and Production Group revenues were each 1% lower sequentially as continued strong growth in hydraulic fracturing and directional drilling activity in North America land was offset by seasonal revenue reductions in the international markets.</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21" w:right="239" w:bottom="1440" w:gutter="0" w:footer="0" w:header="0"/>
        </w:sectPr>
      </w:pPr>
    </w:p>
    <w:bookmarkStart w:id="4" w:name="page5"/>
    <w:bookmarkEnd w:id="4"/>
    <w:p>
      <w:pPr>
        <w:ind w:right="2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“As we begin the recovery from one of the deepest downturns on record, we see four areas as critical for the industry to restore its strength and advance its capabilities. They are—the need for higher E&amp;P spending to meet growing hydrocarbon demand over the coming years; the need to protect and encourage investments in R&amp;E throughout the entire oil and gas value chain; the need for new business models that foster closer technical collaboration and commercial alignment between operators and suppliers; and the need for broader and more integrated technology platforms that combine hardware, software, data, and expertise.</w:t>
      </w:r>
    </w:p>
    <w:p>
      <w:pPr>
        <w:spacing w:after="0" w:line="188"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color w:val="auto"/>
        </w:rPr>
        <w:t>“While our view of the fundamentals of supply and demand in the oil markets remains constructive, the continuing underinvestment in new supply is increasing the likelihood of a medium-term supply deficit as reservoirs are produced but reserves are not replaced in sufficient volume. In particular, the market continues to focus on headline decline numbers, suggesting that production is holding up well. However, a closer examination of the underlying data clearly shows that the rate of depletion of proven developed reserves is rapidly accelerating in several key non-OPEC countries.</w:t>
      </w:r>
    </w:p>
    <w:p>
      <w:pPr>
        <w:spacing w:after="0" w:line="171" w:lineRule="exact"/>
        <w:rPr>
          <w:sz w:val="20"/>
          <w:szCs w:val="20"/>
          <w:color w:val="auto"/>
        </w:rPr>
      </w:pPr>
    </w:p>
    <w:p>
      <w:pPr>
        <w:jc w:val="both"/>
        <w:ind w:right="260"/>
        <w:spacing w:after="0" w:line="259" w:lineRule="auto"/>
        <w:rPr>
          <w:sz w:val="20"/>
          <w:szCs w:val="20"/>
          <w:color w:val="auto"/>
        </w:rPr>
      </w:pPr>
      <w:r>
        <w:rPr>
          <w:rFonts w:ascii="Arial" w:cs="Arial" w:eastAsia="Arial" w:hAnsi="Arial"/>
          <w:sz w:val="18"/>
          <w:szCs w:val="18"/>
          <w:color w:val="auto"/>
        </w:rPr>
        <w:t>As the recovery builds momentum, industry cash flow and productivity remain under pressure and limit the industry’s ability to increase present levels of E&amp;P investment. At the same time, the value chain remains focused on trying to capture the limited value that is created, rather than seeking new ways to collectively create more value. This approach is not sustainable, either from addressing the underlying industry challenges or from ensuring that the future supply of hydrocarbons can meet the projected growth in demand.</w:t>
      </w:r>
    </w:p>
    <w:p>
      <w:pPr>
        <w:spacing w:after="0" w:line="187"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“At Schlumberger, we are therefore actively seeking to position the company at the forefront of an industry that needs to evolve. We are doing this by proactively managing our base business and responding to the ongoing pressures of commoditization, tailoring our offering and performance to the prevailing market conditions. In parallel, we are constantly looking to expand our opportunity set by pursuing a broad and active M&amp;A program; engaging with existing and new customers to establish closer collaboration and more aligned business models; and expanding our offering from technical support to investing alongside our customers in their projects—all with the aim of driving more activity for our 19 product and service lines. As we continue to carefully navigate the current industry landscape, we remain confident and optimistic about the future of Schlumberger, knowing very well that beyond the current market challenges lies a wealth of opportunity for the industry players who are ready and able to think new and to act new.”</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Events</w:t>
      </w:r>
    </w:p>
    <w:p>
      <w:pPr>
        <w:spacing w:after="0" w:line="121"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During the quarter, Schlumberger repurchased 4.7 million shares of its common stock at an average price of $78.97 per share for a total purchase price of $372 million.</w:t>
      </w:r>
    </w:p>
    <w:p>
      <w:pPr>
        <w:spacing w:after="0" w:line="170"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On March 24, 2017, Schlumberger and Weatherford announced an agreement to create OneStim</w:t>
      </w:r>
      <w:r>
        <w:rPr>
          <w:rFonts w:ascii="Arial" w:cs="Arial" w:eastAsia="Arial" w:hAnsi="Arial"/>
          <w:sz w:val="15"/>
          <w:szCs w:val="15"/>
          <w:color w:val="auto"/>
        </w:rPr>
        <w:t>SM</w:t>
      </w:r>
      <w:r>
        <w:rPr>
          <w:rFonts w:ascii="Arial" w:cs="Arial" w:eastAsia="Arial" w:hAnsi="Arial"/>
          <w:sz w:val="18"/>
          <w:szCs w:val="18"/>
          <w:color w:val="auto"/>
        </w:rPr>
        <w:t>, a joint venture to deliver completions products and services for the development of unconventional resource plays in land markets in the United States and Canada. The joint venture will offer one of the broadest multistage completions portfolios in the market combined with one of the largest hydraulic fracturing fleets in the industry. Schlumberger and Weatherford will have 70%/30% ownership of the joint venture, respectively. The transaction is expected to close in the second half of 2017 and is subject to regulatory approvals and other customary closing conditions.</w:t>
      </w:r>
    </w:p>
    <w:p>
      <w:pPr>
        <w:spacing w:after="0" w:line="12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80"/>
          </w:cols>
          <w:pgMar w:left="240" w:top="274" w:right="279" w:bottom="1440" w:gutter="0" w:footer="0" w:header="0"/>
        </w:sectPr>
      </w:pPr>
    </w:p>
    <w:bookmarkStart w:id="5" w:name="page6"/>
    <w:bookmarkEnd w:id="5"/>
    <w:p>
      <w:pPr>
        <w:ind w:right="180"/>
        <w:spacing w:after="0" w:line="30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On March 27, 2017, Schlumberger purchased a minority interest in Borr Drilling, a Norwegian rig contractor, for $221 million. This transaction will enable Schlumberger, together with Borr Drilling, to offer integrated, performance-based drilling contracts in the offshore jack-up market.</w:t>
      </w:r>
    </w:p>
    <w:p>
      <w:pPr>
        <w:spacing w:after="0" w:line="147"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On April 12, 2017, Schlumberger and YPF announced the signing of a preliminary agreement for a joint venture in a shale oil pilot project in the Bandurria Sur Block in Vaca Muerta, Neuquén. Schlumberger will provide reservoir knowledge, integrated field studies, drilling and completions services, and associated infrastructure. The agreement involves a $390 million phased investment by Schlumberger, which includes a significant contribution in-kind of its services at market pricing. Upon satisfaction of certain closing conditions, Schlumberger will acquire a 49% interest in the joint venture, and the remaining 51%, along with the operatorship of the block, will be held by YPF.</w:t>
      </w:r>
    </w:p>
    <w:p>
      <w:pPr>
        <w:spacing w:after="0" w:line="188"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On April 20, 2017, the Company’s Board of Directors approved a quarterly cash dividend of $0.50 per share of outstanding common stock, payable on July 14, 2017 to stockholders of record on June 1, 2017.</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Revenue by Geography</w:t>
      </w:r>
    </w:p>
    <w:p>
      <w:pPr>
        <w:spacing w:after="0" w:line="235"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53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520" w:type="dxa"/>
            <w:vAlign w:val="bottom"/>
            <w:gridSpan w:val="6"/>
            <w:vMerge w:val="restart"/>
          </w:tcPr>
          <w:p>
            <w:pPr>
              <w:jc w:val="right"/>
              <w:ind w:right="800"/>
              <w:spacing w:after="0"/>
              <w:rPr>
                <w:sz w:val="20"/>
                <w:szCs w:val="20"/>
                <w:color w:val="auto"/>
              </w:rPr>
            </w:pPr>
            <w:r>
              <w:rPr>
                <w:rFonts w:ascii="Arial" w:cs="Arial" w:eastAsia="Arial" w:hAnsi="Arial"/>
                <w:sz w:val="14"/>
                <w:szCs w:val="14"/>
                <w:b w:val="1"/>
                <w:bCs w:val="1"/>
                <w:color w:val="auto"/>
              </w:rPr>
              <w:t>Three Months Ended</w:t>
            </w:r>
          </w:p>
        </w:tc>
        <w:tc>
          <w:tcPr>
            <w:tcW w:w="1280" w:type="dxa"/>
            <w:vAlign w:val="bottom"/>
            <w:gridSpan w:val="4"/>
          </w:tcPr>
          <w:p>
            <w:pPr>
              <w:jc w:val="right"/>
              <w:spacing w:after="0"/>
              <w:rPr>
                <w:sz w:val="20"/>
                <w:szCs w:val="20"/>
                <w:color w:val="auto"/>
              </w:rPr>
            </w:pPr>
            <w:r>
              <w:rPr>
                <w:rFonts w:ascii="Arial" w:cs="Arial" w:eastAsia="Arial" w:hAnsi="Arial"/>
                <w:sz w:val="14"/>
                <w:szCs w:val="14"/>
                <w:color w:val="auto"/>
              </w:rPr>
              <w:t>(Stated in millions)</w:t>
            </w:r>
          </w:p>
        </w:tc>
        <w:tc>
          <w:tcPr>
            <w:tcW w:w="0" w:type="dxa"/>
            <w:vAlign w:val="bottom"/>
          </w:tcPr>
          <w:p>
            <w:pPr>
              <w:spacing w:after="0"/>
              <w:rPr>
                <w:sz w:val="1"/>
                <w:szCs w:val="1"/>
                <w:color w:val="auto"/>
              </w:rPr>
            </w:pPr>
          </w:p>
        </w:tc>
      </w:tr>
      <w:tr>
        <w:trPr>
          <w:trHeight w:val="171"/>
        </w:trPr>
        <w:tc>
          <w:tcPr>
            <w:tcW w:w="538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2520" w:type="dxa"/>
            <w:vAlign w:val="bottom"/>
            <w:tcBorders>
              <w:bottom w:val="single" w:sz="8" w:color="auto"/>
            </w:tcBorders>
            <w:gridSpan w:val="6"/>
            <w:vMerge w:val="continue"/>
          </w:tcPr>
          <w:p>
            <w:pPr>
              <w:spacing w:after="0"/>
              <w:rPr>
                <w:sz w:val="14"/>
                <w:szCs w:val="14"/>
                <w:color w:val="auto"/>
              </w:rPr>
            </w:pPr>
          </w:p>
        </w:tc>
        <w:tc>
          <w:tcPr>
            <w:tcW w:w="320" w:type="dxa"/>
            <w:vAlign w:val="bottom"/>
          </w:tcPr>
          <w:p>
            <w:pPr>
              <w:spacing w:after="0"/>
              <w:rPr>
                <w:sz w:val="14"/>
                <w:szCs w:val="14"/>
                <w:color w:val="auto"/>
              </w:rPr>
            </w:pPr>
          </w:p>
        </w:tc>
        <w:tc>
          <w:tcPr>
            <w:tcW w:w="96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3"/>
              </w:rPr>
              <w:t>Change</w:t>
            </w:r>
          </w:p>
        </w:tc>
        <w:tc>
          <w:tcPr>
            <w:tcW w:w="0" w:type="dxa"/>
            <w:vAlign w:val="bottom"/>
          </w:tcPr>
          <w:p>
            <w:pPr>
              <w:spacing w:after="0"/>
              <w:rPr>
                <w:sz w:val="1"/>
                <w:szCs w:val="1"/>
                <w:color w:val="auto"/>
              </w:rPr>
            </w:pPr>
          </w:p>
        </w:tc>
      </w:tr>
      <w:tr>
        <w:trPr>
          <w:trHeight w:val="142"/>
        </w:trPr>
        <w:tc>
          <w:tcPr>
            <w:tcW w:w="5380" w:type="dxa"/>
            <w:vAlign w:val="bottom"/>
          </w:tcPr>
          <w:p>
            <w:pPr>
              <w:spacing w:after="0"/>
              <w:rPr>
                <w:sz w:val="12"/>
                <w:szCs w:val="12"/>
                <w:color w:val="auto"/>
              </w:rPr>
            </w:pPr>
          </w:p>
        </w:tc>
        <w:tc>
          <w:tcPr>
            <w:tcW w:w="1640" w:type="dxa"/>
            <w:vAlign w:val="bottom"/>
            <w:gridSpan w:val="4"/>
          </w:tcPr>
          <w:p>
            <w:pPr>
              <w:ind w:left="240"/>
              <w:spacing w:after="0" w:line="142" w:lineRule="exact"/>
              <w:rPr>
                <w:sz w:val="20"/>
                <w:szCs w:val="20"/>
                <w:color w:val="auto"/>
              </w:rPr>
            </w:pPr>
            <w:r>
              <w:rPr>
                <w:rFonts w:ascii="Arial" w:cs="Arial" w:eastAsia="Arial" w:hAnsi="Arial"/>
                <w:sz w:val="14"/>
                <w:szCs w:val="14"/>
                <w:b w:val="1"/>
                <w:bCs w:val="1"/>
                <w:color w:val="auto"/>
              </w:rPr>
              <w:t>Mar. 31, 2017</w:t>
            </w:r>
          </w:p>
        </w:tc>
        <w:tc>
          <w:tcPr>
            <w:tcW w:w="1280" w:type="dxa"/>
            <w:vAlign w:val="bottom"/>
            <w:gridSpan w:val="3"/>
          </w:tcPr>
          <w:p>
            <w:pPr>
              <w:jc w:val="right"/>
              <w:ind w:right="240"/>
              <w:spacing w:after="0" w:line="142" w:lineRule="exact"/>
              <w:rPr>
                <w:sz w:val="20"/>
                <w:szCs w:val="20"/>
                <w:color w:val="auto"/>
              </w:rPr>
            </w:pPr>
            <w:r>
              <w:rPr>
                <w:rFonts w:ascii="Arial" w:cs="Arial" w:eastAsia="Arial" w:hAnsi="Arial"/>
                <w:sz w:val="14"/>
                <w:szCs w:val="14"/>
                <w:color w:val="auto"/>
              </w:rPr>
              <w:t>Dec. 31, 2016</w:t>
            </w:r>
          </w:p>
        </w:tc>
        <w:tc>
          <w:tcPr>
            <w:tcW w:w="320" w:type="dxa"/>
            <w:vAlign w:val="bottom"/>
          </w:tcPr>
          <w:p>
            <w:pPr>
              <w:spacing w:after="0"/>
              <w:rPr>
                <w:sz w:val="12"/>
                <w:szCs w:val="12"/>
                <w:color w:val="auto"/>
              </w:rPr>
            </w:pPr>
          </w:p>
        </w:tc>
        <w:tc>
          <w:tcPr>
            <w:tcW w:w="960" w:type="dxa"/>
            <w:vAlign w:val="bottom"/>
            <w:gridSpan w:val="3"/>
          </w:tcPr>
          <w:p>
            <w:pPr>
              <w:jc w:val="center"/>
              <w:spacing w:after="0" w:line="142" w:lineRule="exact"/>
              <w:rPr>
                <w:sz w:val="20"/>
                <w:szCs w:val="20"/>
                <w:color w:val="auto"/>
              </w:rPr>
            </w:pPr>
            <w:r>
              <w:rPr>
                <w:rFonts w:ascii="Arial" w:cs="Arial" w:eastAsia="Arial" w:hAnsi="Arial"/>
                <w:sz w:val="14"/>
                <w:szCs w:val="14"/>
                <w:b w:val="1"/>
                <w:bCs w:val="1"/>
                <w:color w:val="auto"/>
                <w:w w:val="90"/>
              </w:rPr>
              <w:t>Sequential</w:t>
            </w:r>
          </w:p>
        </w:tc>
        <w:tc>
          <w:tcPr>
            <w:tcW w:w="0" w:type="dxa"/>
            <w:vAlign w:val="bottom"/>
          </w:tcPr>
          <w:p>
            <w:pPr>
              <w:spacing w:after="0"/>
              <w:rPr>
                <w:sz w:val="1"/>
                <w:szCs w:val="1"/>
                <w:color w:val="auto"/>
              </w:rPr>
            </w:pPr>
          </w:p>
        </w:tc>
      </w:tr>
      <w:tr>
        <w:trPr>
          <w:trHeight w:val="210"/>
        </w:trPr>
        <w:tc>
          <w:tcPr>
            <w:tcW w:w="53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North America</w:t>
            </w:r>
          </w:p>
        </w:tc>
        <w:tc>
          <w:tcPr>
            <w:tcW w:w="1320" w:type="dxa"/>
            <w:vAlign w:val="bottom"/>
            <w:tcBorders>
              <w:top w:val="single" w:sz="8" w:color="auto"/>
            </w:tcBorders>
            <w:gridSpan w:val="3"/>
            <w:shd w:val="clear" w:color="auto" w:fill="CCEEFF"/>
          </w:tcPr>
          <w:p>
            <w:pPr>
              <w:jc w:val="right"/>
              <w:ind w:right="420"/>
              <w:spacing w:after="0"/>
              <w:rPr>
                <w:sz w:val="20"/>
                <w:szCs w:val="20"/>
                <w:color w:val="auto"/>
              </w:rPr>
            </w:pPr>
            <w:r>
              <w:rPr>
                <w:rFonts w:ascii="Arial" w:cs="Arial" w:eastAsia="Arial" w:hAnsi="Arial"/>
                <w:sz w:val="18"/>
                <w:szCs w:val="18"/>
                <w:b w:val="1"/>
                <w:bCs w:val="1"/>
                <w:color w:val="auto"/>
              </w:rPr>
              <w:t>$1,871</w:t>
            </w:r>
          </w:p>
        </w:tc>
        <w:tc>
          <w:tcPr>
            <w:tcW w:w="320" w:type="dxa"/>
            <w:vAlign w:val="bottom"/>
            <w:tcBorders>
              <w:top w:val="single" w:sz="8" w:color="CCEEFF"/>
            </w:tcBorders>
            <w:shd w:val="clear" w:color="auto" w:fill="CCEEFF"/>
          </w:tcPr>
          <w:p>
            <w:pPr>
              <w:spacing w:after="0"/>
              <w:rPr>
                <w:sz w:val="18"/>
                <w:szCs w:val="18"/>
                <w:color w:val="auto"/>
              </w:rPr>
            </w:pPr>
          </w:p>
        </w:tc>
        <w:tc>
          <w:tcPr>
            <w:tcW w:w="1280" w:type="dxa"/>
            <w:vAlign w:val="bottom"/>
            <w:tcBorders>
              <w:top w:val="single" w:sz="8" w:color="auto"/>
            </w:tcBorders>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$1,765</w:t>
            </w:r>
          </w:p>
        </w:tc>
        <w:tc>
          <w:tcPr>
            <w:tcW w:w="32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gridSpan w:val="3"/>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6%</w:t>
            </w:r>
          </w:p>
        </w:tc>
        <w:tc>
          <w:tcPr>
            <w:tcW w:w="0" w:type="dxa"/>
            <w:vAlign w:val="bottom"/>
          </w:tcPr>
          <w:p>
            <w:pPr>
              <w:spacing w:after="0"/>
              <w:rPr>
                <w:sz w:val="1"/>
                <w:szCs w:val="1"/>
                <w:color w:val="auto"/>
              </w:rPr>
            </w:pPr>
          </w:p>
        </w:tc>
      </w:tr>
      <w:tr>
        <w:trPr>
          <w:trHeight w:val="216"/>
        </w:trPr>
        <w:tc>
          <w:tcPr>
            <w:tcW w:w="5380" w:type="dxa"/>
            <w:vAlign w:val="bottom"/>
          </w:tcPr>
          <w:p>
            <w:pPr>
              <w:spacing w:after="0"/>
              <w:rPr>
                <w:sz w:val="20"/>
                <w:szCs w:val="20"/>
                <w:color w:val="auto"/>
              </w:rPr>
            </w:pPr>
            <w:r>
              <w:rPr>
                <w:rFonts w:ascii="Arial" w:cs="Arial" w:eastAsia="Arial" w:hAnsi="Arial"/>
                <w:sz w:val="18"/>
                <w:szCs w:val="18"/>
                <w:color w:val="auto"/>
              </w:rPr>
              <w:t>Latin America</w:t>
            </w:r>
          </w:p>
        </w:tc>
        <w:tc>
          <w:tcPr>
            <w:tcW w:w="1320" w:type="dxa"/>
            <w:vAlign w:val="bottom"/>
            <w:gridSpan w:val="3"/>
          </w:tcPr>
          <w:p>
            <w:pPr>
              <w:jc w:val="right"/>
              <w:ind w:right="420"/>
              <w:spacing w:after="0"/>
              <w:rPr>
                <w:sz w:val="20"/>
                <w:szCs w:val="20"/>
                <w:color w:val="auto"/>
              </w:rPr>
            </w:pPr>
            <w:r>
              <w:rPr>
                <w:rFonts w:ascii="Arial" w:cs="Arial" w:eastAsia="Arial" w:hAnsi="Arial"/>
                <w:sz w:val="18"/>
                <w:szCs w:val="18"/>
                <w:b w:val="1"/>
                <w:bCs w:val="1"/>
                <w:color w:val="auto"/>
              </w:rPr>
              <w:t>952</w:t>
            </w:r>
          </w:p>
        </w:tc>
        <w:tc>
          <w:tcPr>
            <w:tcW w:w="320" w:type="dxa"/>
            <w:vAlign w:val="bottom"/>
          </w:tcPr>
          <w:p>
            <w:pPr>
              <w:spacing w:after="0"/>
              <w:rPr>
                <w:sz w:val="18"/>
                <w:szCs w:val="18"/>
                <w:color w:val="auto"/>
              </w:rPr>
            </w:pPr>
          </w:p>
        </w:tc>
        <w:tc>
          <w:tcPr>
            <w:tcW w:w="1280" w:type="dxa"/>
            <w:vAlign w:val="bottom"/>
            <w:gridSpan w:val="3"/>
          </w:tcPr>
          <w:p>
            <w:pPr>
              <w:jc w:val="right"/>
              <w:ind w:right="400"/>
              <w:spacing w:after="0"/>
              <w:rPr>
                <w:sz w:val="20"/>
                <w:szCs w:val="20"/>
                <w:color w:val="auto"/>
              </w:rPr>
            </w:pPr>
            <w:r>
              <w:rPr>
                <w:rFonts w:ascii="Arial" w:cs="Arial" w:eastAsia="Arial" w:hAnsi="Arial"/>
                <w:sz w:val="18"/>
                <w:szCs w:val="18"/>
                <w:color w:val="auto"/>
              </w:rPr>
              <w:t>952</w:t>
            </w: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9"/>
              </w:rPr>
              <w:t>—</w:t>
            </w:r>
          </w:p>
        </w:tc>
        <w:tc>
          <w:tcPr>
            <w:tcW w:w="0" w:type="dxa"/>
            <w:vAlign w:val="bottom"/>
          </w:tcPr>
          <w:p>
            <w:pPr>
              <w:spacing w:after="0"/>
              <w:rPr>
                <w:sz w:val="1"/>
                <w:szCs w:val="1"/>
                <w:color w:val="auto"/>
              </w:rPr>
            </w:pPr>
          </w:p>
        </w:tc>
      </w:tr>
      <w:tr>
        <w:trPr>
          <w:trHeight w:val="216"/>
        </w:trPr>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Europe/CIS/Africa</w:t>
            </w:r>
          </w:p>
        </w:tc>
        <w:tc>
          <w:tcPr>
            <w:tcW w:w="132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b w:val="1"/>
                <w:bCs w:val="1"/>
                <w:color w:val="auto"/>
              </w:rPr>
              <w:t>1,652</w:t>
            </w:r>
          </w:p>
        </w:tc>
        <w:tc>
          <w:tcPr>
            <w:tcW w:w="32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1,834</w:t>
            </w:r>
          </w:p>
        </w:tc>
        <w:tc>
          <w:tcPr>
            <w:tcW w:w="128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-10%</w:t>
            </w:r>
          </w:p>
        </w:tc>
        <w:tc>
          <w:tcPr>
            <w:tcW w:w="0" w:type="dxa"/>
            <w:vAlign w:val="bottom"/>
          </w:tcPr>
          <w:p>
            <w:pPr>
              <w:spacing w:after="0"/>
              <w:rPr>
                <w:sz w:val="1"/>
                <w:szCs w:val="1"/>
                <w:color w:val="auto"/>
              </w:rPr>
            </w:pPr>
          </w:p>
        </w:tc>
      </w:tr>
      <w:tr>
        <w:trPr>
          <w:trHeight w:val="216"/>
        </w:trPr>
        <w:tc>
          <w:tcPr>
            <w:tcW w:w="5380" w:type="dxa"/>
            <w:vAlign w:val="bottom"/>
          </w:tcPr>
          <w:p>
            <w:pPr>
              <w:spacing w:after="0"/>
              <w:rPr>
                <w:sz w:val="20"/>
                <w:szCs w:val="20"/>
                <w:color w:val="auto"/>
              </w:rPr>
            </w:pPr>
            <w:r>
              <w:rPr>
                <w:rFonts w:ascii="Arial" w:cs="Arial" w:eastAsia="Arial" w:hAnsi="Arial"/>
                <w:sz w:val="18"/>
                <w:szCs w:val="18"/>
                <w:color w:val="auto"/>
              </w:rPr>
              <w:t>Middle East &amp; Asia</w:t>
            </w:r>
          </w:p>
        </w:tc>
        <w:tc>
          <w:tcPr>
            <w:tcW w:w="1320" w:type="dxa"/>
            <w:vAlign w:val="bottom"/>
            <w:gridSpan w:val="3"/>
          </w:tcPr>
          <w:p>
            <w:pPr>
              <w:jc w:val="right"/>
              <w:ind w:right="420"/>
              <w:spacing w:after="0"/>
              <w:rPr>
                <w:sz w:val="20"/>
                <w:szCs w:val="20"/>
                <w:color w:val="auto"/>
              </w:rPr>
            </w:pPr>
            <w:r>
              <w:rPr>
                <w:rFonts w:ascii="Arial" w:cs="Arial" w:eastAsia="Arial" w:hAnsi="Arial"/>
                <w:sz w:val="18"/>
                <w:szCs w:val="18"/>
                <w:b w:val="1"/>
                <w:bCs w:val="1"/>
                <w:color w:val="auto"/>
              </w:rPr>
              <w:t>2,319</w:t>
            </w:r>
          </w:p>
        </w:tc>
        <w:tc>
          <w:tcPr>
            <w:tcW w:w="320" w:type="dxa"/>
            <w:vAlign w:val="bottom"/>
          </w:tcPr>
          <w:p>
            <w:pPr>
              <w:spacing w:after="0"/>
              <w:rPr>
                <w:sz w:val="18"/>
                <w:szCs w:val="18"/>
                <w:color w:val="auto"/>
              </w:rPr>
            </w:pPr>
          </w:p>
        </w:tc>
        <w:tc>
          <w:tcPr>
            <w:tcW w:w="1280" w:type="dxa"/>
            <w:vAlign w:val="bottom"/>
            <w:gridSpan w:val="3"/>
          </w:tcPr>
          <w:p>
            <w:pPr>
              <w:jc w:val="right"/>
              <w:ind w:right="400"/>
              <w:spacing w:after="0"/>
              <w:rPr>
                <w:sz w:val="20"/>
                <w:szCs w:val="20"/>
                <w:color w:val="auto"/>
              </w:rPr>
            </w:pPr>
            <w:r>
              <w:rPr>
                <w:rFonts w:ascii="Arial" w:cs="Arial" w:eastAsia="Arial" w:hAnsi="Arial"/>
                <w:sz w:val="18"/>
                <w:szCs w:val="18"/>
                <w:color w:val="auto"/>
              </w:rPr>
              <w:t>2,494</w:t>
            </w:r>
          </w:p>
        </w:tc>
        <w:tc>
          <w:tcPr>
            <w:tcW w:w="1280" w:type="dxa"/>
            <w:vAlign w:val="bottom"/>
            <w:gridSpan w:val="4"/>
          </w:tcPr>
          <w:p>
            <w:pPr>
              <w:jc w:val="right"/>
              <w:ind w:right="120"/>
              <w:spacing w:after="0"/>
              <w:rPr>
                <w:sz w:val="20"/>
                <w:szCs w:val="20"/>
                <w:color w:val="auto"/>
              </w:rPr>
            </w:pPr>
            <w:r>
              <w:rPr>
                <w:rFonts w:ascii="Arial" w:cs="Arial" w:eastAsia="Arial" w:hAnsi="Arial"/>
                <w:sz w:val="18"/>
                <w:szCs w:val="18"/>
                <w:b w:val="1"/>
                <w:bCs w:val="1"/>
                <w:color w:val="auto"/>
              </w:rPr>
              <w:t>-7%</w:t>
            </w:r>
          </w:p>
        </w:tc>
        <w:tc>
          <w:tcPr>
            <w:tcW w:w="0" w:type="dxa"/>
            <w:vAlign w:val="bottom"/>
          </w:tcPr>
          <w:p>
            <w:pPr>
              <w:spacing w:after="0"/>
              <w:rPr>
                <w:sz w:val="1"/>
                <w:szCs w:val="1"/>
                <w:color w:val="auto"/>
              </w:rPr>
            </w:pPr>
          </w:p>
        </w:tc>
      </w:tr>
      <w:tr>
        <w:trPr>
          <w:trHeight w:val="216"/>
        </w:trPr>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Eliminations &amp; other</w:t>
            </w:r>
          </w:p>
        </w:tc>
        <w:tc>
          <w:tcPr>
            <w:tcW w:w="4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b w:val="1"/>
                <w:bCs w:val="1"/>
                <w:color w:val="auto"/>
              </w:rPr>
              <w:t>100</w:t>
            </w:r>
          </w:p>
        </w:tc>
        <w:tc>
          <w:tcPr>
            <w:tcW w:w="32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62</w:t>
            </w: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n/m</w:t>
            </w:r>
          </w:p>
        </w:tc>
        <w:tc>
          <w:tcPr>
            <w:tcW w:w="0" w:type="dxa"/>
            <w:vAlign w:val="bottom"/>
          </w:tcPr>
          <w:p>
            <w:pPr>
              <w:spacing w:after="0"/>
              <w:rPr>
                <w:sz w:val="1"/>
                <w:szCs w:val="1"/>
                <w:color w:val="auto"/>
              </w:rPr>
            </w:pPr>
          </w:p>
        </w:tc>
      </w:tr>
      <w:tr>
        <w:trPr>
          <w:trHeight w:val="20"/>
        </w:trPr>
        <w:tc>
          <w:tcPr>
            <w:tcW w:w="5380" w:type="dxa"/>
            <w:vAlign w:val="bottom"/>
          </w:tcPr>
          <w:p>
            <w:pPr>
              <w:spacing w:after="0" w:line="20" w:lineRule="exact"/>
              <w:rPr>
                <w:sz w:val="1"/>
                <w:szCs w:val="1"/>
                <w:color w:val="auto"/>
              </w:rPr>
            </w:pPr>
          </w:p>
        </w:tc>
        <w:tc>
          <w:tcPr>
            <w:tcW w:w="400" w:type="dxa"/>
            <w:vAlign w:val="bottom"/>
            <w:vMerge w:val="restart"/>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20" w:type="dxa"/>
            <w:vAlign w:val="bottom"/>
            <w:vMerge w:val="restart"/>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380" w:type="dxa"/>
            <w:vAlign w:val="bottom"/>
            <w:vMerge w:val="restart"/>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00" w:type="dxa"/>
            <w:vAlign w:val="bottom"/>
            <w:vMerge w:val="restart"/>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380" w:type="dxa"/>
            <w:vAlign w:val="bottom"/>
          </w:tcPr>
          <w:p>
            <w:pPr>
              <w:spacing w:after="0"/>
              <w:rPr>
                <w:sz w:val="19"/>
                <w:szCs w:val="19"/>
                <w:color w:val="auto"/>
              </w:rPr>
            </w:pPr>
          </w:p>
        </w:tc>
        <w:tc>
          <w:tcPr>
            <w:tcW w:w="400" w:type="dxa"/>
            <w:vAlign w:val="bottom"/>
            <w:vMerge w:val="continue"/>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b w:val="1"/>
                <w:bCs w:val="1"/>
                <w:u w:val="single" w:color="auto"/>
                <w:color w:val="auto"/>
                <w:w w:val="87"/>
              </w:rPr>
              <w:t>$</w:t>
            </w:r>
            <w:r>
              <w:rPr>
                <w:rFonts w:ascii="Arial" w:cs="Arial" w:eastAsia="Arial" w:hAnsi="Arial"/>
                <w:sz w:val="18"/>
                <w:szCs w:val="18"/>
                <w:b w:val="1"/>
                <w:bCs w:val="1"/>
                <w:color w:val="auto"/>
                <w:w w:val="87"/>
              </w:rPr>
              <w:t>6,894</w:t>
            </w:r>
          </w:p>
        </w:tc>
        <w:tc>
          <w:tcPr>
            <w:tcW w:w="420" w:type="dxa"/>
            <w:vAlign w:val="bottom"/>
            <w:vMerge w:val="continue"/>
          </w:tcPr>
          <w:p>
            <w:pPr>
              <w:spacing w:after="0"/>
              <w:rPr>
                <w:sz w:val="19"/>
                <w:szCs w:val="19"/>
                <w:color w:val="auto"/>
              </w:rPr>
            </w:pPr>
          </w:p>
        </w:tc>
        <w:tc>
          <w:tcPr>
            <w:tcW w:w="320" w:type="dxa"/>
            <w:vAlign w:val="bottom"/>
            <w:vMerge w:val="continue"/>
          </w:tcPr>
          <w:p>
            <w:pPr>
              <w:spacing w:after="0"/>
              <w:rPr>
                <w:sz w:val="19"/>
                <w:szCs w:val="19"/>
                <w:color w:val="auto"/>
              </w:rPr>
            </w:pPr>
          </w:p>
        </w:tc>
        <w:tc>
          <w:tcPr>
            <w:tcW w:w="380" w:type="dxa"/>
            <w:vAlign w:val="bottom"/>
            <w:vMerge w:val="continue"/>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7,107</w:t>
            </w:r>
          </w:p>
        </w:tc>
        <w:tc>
          <w:tcPr>
            <w:tcW w:w="400" w:type="dxa"/>
            <w:vAlign w:val="bottom"/>
            <w:vMerge w:val="continue"/>
          </w:tcPr>
          <w:p>
            <w:pPr>
              <w:spacing w:after="0"/>
              <w:rPr>
                <w:sz w:val="19"/>
                <w:szCs w:val="19"/>
                <w:color w:val="auto"/>
              </w:rPr>
            </w:pPr>
          </w:p>
        </w:tc>
        <w:tc>
          <w:tcPr>
            <w:tcW w:w="320" w:type="dxa"/>
            <w:vAlign w:val="bottom"/>
            <w:vMerge w:val="continue"/>
          </w:tcPr>
          <w:p>
            <w:pPr>
              <w:spacing w:after="0"/>
              <w:rPr>
                <w:sz w:val="19"/>
                <w:szCs w:val="19"/>
                <w:color w:val="auto"/>
              </w:rPr>
            </w:pPr>
          </w:p>
        </w:tc>
        <w:tc>
          <w:tcPr>
            <w:tcW w:w="300" w:type="dxa"/>
            <w:vAlign w:val="bottom"/>
            <w:vMerge w:val="continue"/>
          </w:tcPr>
          <w:p>
            <w:pPr>
              <w:spacing w:after="0"/>
              <w:rPr>
                <w:sz w:val="19"/>
                <w:szCs w:val="19"/>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-3%</w:t>
            </w:r>
          </w:p>
        </w:tc>
        <w:tc>
          <w:tcPr>
            <w:tcW w:w="0" w:type="dxa"/>
            <w:vAlign w:val="bottom"/>
          </w:tcPr>
          <w:p>
            <w:pPr>
              <w:spacing w:after="0"/>
              <w:rPr>
                <w:sz w:val="1"/>
                <w:szCs w:val="1"/>
                <w:color w:val="auto"/>
              </w:rPr>
            </w:pPr>
          </w:p>
        </w:tc>
      </w:tr>
      <w:tr>
        <w:trPr>
          <w:trHeight w:val="20"/>
        </w:trPr>
        <w:tc>
          <w:tcPr>
            <w:tcW w:w="53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North America revenue</w:t>
            </w:r>
          </w:p>
        </w:tc>
        <w:tc>
          <w:tcPr>
            <w:tcW w:w="132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b w:val="1"/>
                <w:bCs w:val="1"/>
                <w:color w:val="auto"/>
              </w:rPr>
              <w:t>$1,871</w:t>
            </w:r>
          </w:p>
        </w:tc>
        <w:tc>
          <w:tcPr>
            <w:tcW w:w="32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$1,765</w:t>
            </w:r>
          </w:p>
        </w:tc>
        <w:tc>
          <w:tcPr>
            <w:tcW w:w="128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6%</w:t>
            </w:r>
          </w:p>
        </w:tc>
        <w:tc>
          <w:tcPr>
            <w:tcW w:w="0" w:type="dxa"/>
            <w:vAlign w:val="bottom"/>
          </w:tcPr>
          <w:p>
            <w:pPr>
              <w:spacing w:after="0"/>
              <w:rPr>
                <w:sz w:val="1"/>
                <w:szCs w:val="1"/>
                <w:color w:val="auto"/>
              </w:rPr>
            </w:pPr>
          </w:p>
        </w:tc>
      </w:tr>
      <w:tr>
        <w:trPr>
          <w:trHeight w:val="234"/>
        </w:trPr>
        <w:tc>
          <w:tcPr>
            <w:tcW w:w="5380" w:type="dxa"/>
            <w:vAlign w:val="bottom"/>
          </w:tcPr>
          <w:p>
            <w:pPr>
              <w:spacing w:after="0"/>
              <w:rPr>
                <w:sz w:val="20"/>
                <w:szCs w:val="20"/>
                <w:color w:val="auto"/>
              </w:rPr>
            </w:pPr>
            <w:r>
              <w:rPr>
                <w:rFonts w:ascii="Arial" w:cs="Arial" w:eastAsia="Arial" w:hAnsi="Arial"/>
                <w:sz w:val="18"/>
                <w:szCs w:val="18"/>
                <w:color w:val="auto"/>
              </w:rPr>
              <w:t>International revenue</w:t>
            </w:r>
          </w:p>
        </w:tc>
        <w:tc>
          <w:tcPr>
            <w:tcW w:w="1320" w:type="dxa"/>
            <w:vAlign w:val="bottom"/>
            <w:gridSpan w:val="3"/>
          </w:tcPr>
          <w:p>
            <w:pPr>
              <w:jc w:val="right"/>
              <w:ind w:right="420"/>
              <w:spacing w:after="0"/>
              <w:rPr>
                <w:sz w:val="20"/>
                <w:szCs w:val="20"/>
                <w:color w:val="auto"/>
              </w:rPr>
            </w:pPr>
            <w:r>
              <w:rPr>
                <w:rFonts w:ascii="Arial" w:cs="Arial" w:eastAsia="Arial" w:hAnsi="Arial"/>
                <w:sz w:val="18"/>
                <w:szCs w:val="18"/>
                <w:b w:val="1"/>
                <w:bCs w:val="1"/>
                <w:color w:val="auto"/>
              </w:rPr>
              <w:t>$4,922</w:t>
            </w:r>
          </w:p>
        </w:tc>
        <w:tc>
          <w:tcPr>
            <w:tcW w:w="320" w:type="dxa"/>
            <w:vAlign w:val="bottom"/>
          </w:tcPr>
          <w:p>
            <w:pPr>
              <w:spacing w:after="0"/>
              <w:rPr>
                <w:sz w:val="20"/>
                <w:szCs w:val="20"/>
                <w:color w:val="auto"/>
              </w:rPr>
            </w:pPr>
          </w:p>
        </w:tc>
        <w:tc>
          <w:tcPr>
            <w:tcW w:w="1280" w:type="dxa"/>
            <w:vAlign w:val="bottom"/>
            <w:gridSpan w:val="3"/>
          </w:tcPr>
          <w:p>
            <w:pPr>
              <w:jc w:val="right"/>
              <w:ind w:right="400"/>
              <w:spacing w:after="0"/>
              <w:rPr>
                <w:sz w:val="20"/>
                <w:szCs w:val="20"/>
                <w:color w:val="auto"/>
              </w:rPr>
            </w:pPr>
            <w:r>
              <w:rPr>
                <w:rFonts w:ascii="Arial" w:cs="Arial" w:eastAsia="Arial" w:hAnsi="Arial"/>
                <w:sz w:val="18"/>
                <w:szCs w:val="18"/>
                <w:color w:val="auto"/>
              </w:rPr>
              <w:t>$5,280</w:t>
            </w:r>
          </w:p>
        </w:tc>
        <w:tc>
          <w:tcPr>
            <w:tcW w:w="1280" w:type="dxa"/>
            <w:vAlign w:val="bottom"/>
            <w:gridSpan w:val="4"/>
          </w:tcPr>
          <w:p>
            <w:pPr>
              <w:jc w:val="right"/>
              <w:ind w:right="120"/>
              <w:spacing w:after="0"/>
              <w:rPr>
                <w:sz w:val="20"/>
                <w:szCs w:val="20"/>
                <w:color w:val="auto"/>
              </w:rPr>
            </w:pPr>
            <w:r>
              <w:rPr>
                <w:rFonts w:ascii="Arial" w:cs="Arial" w:eastAsia="Arial" w:hAnsi="Arial"/>
                <w:sz w:val="18"/>
                <w:szCs w:val="18"/>
                <w:b w:val="1"/>
                <w:bCs w:val="1"/>
                <w:color w:val="auto"/>
              </w:rPr>
              <w:t>-7%</w:t>
            </w:r>
          </w:p>
        </w:tc>
        <w:tc>
          <w:tcPr>
            <w:tcW w:w="0" w:type="dxa"/>
            <w:vAlign w:val="bottom"/>
          </w:tcPr>
          <w:p>
            <w:pPr>
              <w:spacing w:after="0"/>
              <w:rPr>
                <w:sz w:val="1"/>
                <w:szCs w:val="1"/>
                <w:color w:val="auto"/>
              </w:rPr>
            </w:pPr>
          </w:p>
        </w:tc>
      </w:tr>
    </w:tbl>
    <w:p>
      <w:pPr>
        <w:spacing w:after="0" w:line="183" w:lineRule="exact"/>
        <w:rPr>
          <w:sz w:val="20"/>
          <w:szCs w:val="20"/>
          <w:color w:val="auto"/>
        </w:rPr>
      </w:pPr>
    </w:p>
    <w:p>
      <w:pPr>
        <w:spacing w:after="0"/>
        <w:rPr>
          <w:sz w:val="20"/>
          <w:szCs w:val="20"/>
          <w:color w:val="auto"/>
        </w:rPr>
      </w:pPr>
      <w:r>
        <w:rPr>
          <w:rFonts w:ascii="Arial" w:cs="Arial" w:eastAsia="Arial" w:hAnsi="Arial"/>
          <w:sz w:val="18"/>
          <w:szCs w:val="18"/>
          <w:color w:val="auto"/>
        </w:rPr>
        <w:t>n/m = not meaningful</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First-quarter revenue of $6.9 billion decreased 3% sequentially with North America growing 6% and International decreasing 7%.</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North America</w:t>
      </w:r>
    </w:p>
    <w:p>
      <w:pPr>
        <w:spacing w:after="0" w:line="121"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In North America, revenue grew sequentially as unconventional land activity accelerated during the quarter, partially offset by a decline in offshore activity. Land revenue experienced double-digit sequential growth driven by: stronger hydraulic fracturing activity as stage count increased; higher pricing as capacity utilization improved; greater uptake of directional drilling products and services as the rig count grew; and higher Cameron revenue as product sales and fracturing and flowback rental activity increased. While land revenue in the US posted double-digit growth on a 27% sequential rig count increase, revenue in Western Canada grew stronger from a winter ramp-up in activity as sequential rig count increased by 56%. The offshore revenue decline was a result of lower WesternGeco multiclient license sales following the usual, but muted, year-end sales in the previous quarter, although this was partially offset by Wireline revenue growth from infrastructure-led exploration activity.</w:t>
      </w:r>
    </w:p>
    <w:p>
      <w:pPr>
        <w:spacing w:after="0" w:line="11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80"/>
          </w:cols>
          <w:pgMar w:left="240" w:top="274" w:right="27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International Areas</w:t>
      </w:r>
    </w:p>
    <w:p>
      <w:pPr>
        <w:spacing w:after="0" w:line="121" w:lineRule="exact"/>
        <w:rPr>
          <w:sz w:val="20"/>
          <w:szCs w:val="20"/>
          <w:color w:val="auto"/>
        </w:rPr>
      </w:pPr>
    </w:p>
    <w:p>
      <w:pPr>
        <w:jc w:val="both"/>
        <w:ind w:right="80"/>
        <w:spacing w:after="0" w:line="264" w:lineRule="auto"/>
        <w:rPr>
          <w:sz w:val="20"/>
          <w:szCs w:val="20"/>
          <w:color w:val="auto"/>
        </w:rPr>
      </w:pPr>
      <w:r>
        <w:rPr>
          <w:rFonts w:ascii="Arial" w:cs="Arial" w:eastAsia="Arial" w:hAnsi="Arial"/>
          <w:sz w:val="18"/>
          <w:szCs w:val="18"/>
          <w:color w:val="auto"/>
        </w:rPr>
        <w:t>International revenue declined sequentially due to reduced Cameron Group project volume and product sales; decreased SIS software license sales following the usual, but muted, year-end sales in the previous quarter; a seasonal drop in activities in the Northern Hemisphere; and continuing pricing pressure on new tender awards.</w:t>
      </w:r>
    </w:p>
    <w:p>
      <w:pPr>
        <w:spacing w:after="0" w:line="177" w:lineRule="exact"/>
        <w:rPr>
          <w:sz w:val="20"/>
          <w:szCs w:val="20"/>
          <w:color w:val="auto"/>
        </w:rPr>
      </w:pPr>
    </w:p>
    <w:p>
      <w:pPr>
        <w:ind w:right="40"/>
        <w:spacing w:after="0" w:line="281" w:lineRule="auto"/>
        <w:rPr>
          <w:sz w:val="20"/>
          <w:szCs w:val="20"/>
          <w:color w:val="auto"/>
        </w:rPr>
      </w:pPr>
      <w:r>
        <w:rPr>
          <w:rFonts w:ascii="Arial" w:cs="Arial" w:eastAsia="Arial" w:hAnsi="Arial"/>
          <w:sz w:val="17"/>
          <w:szCs w:val="17"/>
          <w:color w:val="auto"/>
        </w:rPr>
        <w:t xml:space="preserve">Revenue in the </w:t>
      </w:r>
      <w:r>
        <w:rPr>
          <w:rFonts w:ascii="Arial" w:cs="Arial" w:eastAsia="Arial" w:hAnsi="Arial"/>
          <w:sz w:val="17"/>
          <w:szCs w:val="17"/>
          <w:b w:val="1"/>
          <w:bCs w:val="1"/>
          <w:color w:val="auto"/>
        </w:rPr>
        <w:t>Latin America Area</w:t>
      </w:r>
      <w:r>
        <w:rPr>
          <w:rFonts w:ascii="Arial" w:cs="Arial" w:eastAsia="Arial" w:hAnsi="Arial"/>
          <w:sz w:val="17"/>
          <w:szCs w:val="17"/>
          <w:color w:val="auto"/>
        </w:rPr>
        <w:t xml:space="preserve"> was flat sequentially as Brazil revenue growth was offset by a revenue decline in the Peru, Colombia &amp; Ecuador GeoMarket where production constraints imposed on the SPM Shushufindi project in Ecuador impacted results. Argentina, Bolivia &amp; Chile GeoMarket revenue was also lower, driven by a drop in drilling and fracturing activity due to the early completion of a number of projects. Revenue growth in Brazil was driven by stronger OneSubsea activity and increased WesternGeco multiclient license sales in anticipation of the upcoming 14</w:t>
      </w:r>
      <w:r>
        <w:rPr>
          <w:rFonts w:ascii="Arial" w:cs="Arial" w:eastAsia="Arial" w:hAnsi="Arial"/>
          <w:sz w:val="14"/>
          <w:szCs w:val="14"/>
          <w:color w:val="auto"/>
        </w:rPr>
        <w:t>th</w:t>
      </w:r>
      <w:r>
        <w:rPr>
          <w:rFonts w:ascii="Arial" w:cs="Arial" w:eastAsia="Arial" w:hAnsi="Arial"/>
          <w:sz w:val="17"/>
          <w:szCs w:val="17"/>
          <w:color w:val="auto"/>
        </w:rPr>
        <w:t xml:space="preserve"> bid round.</w:t>
      </w:r>
    </w:p>
    <w:p>
      <w:pPr>
        <w:spacing w:after="0" w:line="165" w:lineRule="exact"/>
        <w:rPr>
          <w:sz w:val="20"/>
          <w:szCs w:val="20"/>
          <w:color w:val="auto"/>
        </w:rPr>
      </w:pPr>
    </w:p>
    <w:p>
      <w:pPr>
        <w:ind w:right="20"/>
        <w:spacing w:after="0" w:line="277" w:lineRule="auto"/>
        <w:rPr>
          <w:sz w:val="20"/>
          <w:szCs w:val="20"/>
          <w:color w:val="auto"/>
        </w:rPr>
      </w:pPr>
      <w:r>
        <w:rPr>
          <w:rFonts w:ascii="Arial" w:cs="Arial" w:eastAsia="Arial" w:hAnsi="Arial"/>
          <w:sz w:val="17"/>
          <w:szCs w:val="17"/>
          <w:b w:val="1"/>
          <w:bCs w:val="1"/>
          <w:color w:val="auto"/>
        </w:rPr>
        <w:t xml:space="preserve">Europe/CIS/Africa Area </w:t>
      </w:r>
      <w:r>
        <w:rPr>
          <w:rFonts w:ascii="Arial" w:cs="Arial" w:eastAsia="Arial" w:hAnsi="Arial"/>
          <w:sz w:val="17"/>
          <w:szCs w:val="17"/>
          <w:color w:val="auto"/>
        </w:rPr>
        <w:t>revenue decreased 10% sequentially primarily due to more severe than usual seasonal activity reductions in Russia and Kazakhstan</w:t>
      </w:r>
      <w:r>
        <w:rPr>
          <w:rFonts w:ascii="Arial" w:cs="Arial" w:eastAsia="Arial" w:hAnsi="Arial"/>
          <w:sz w:val="17"/>
          <w:szCs w:val="17"/>
          <w:b w:val="1"/>
          <w:bCs w:val="1"/>
          <w:color w:val="auto"/>
        </w:rPr>
        <w:t xml:space="preserve"> </w:t>
      </w:r>
      <w:r>
        <w:rPr>
          <w:rFonts w:ascii="Arial" w:cs="Arial" w:eastAsia="Arial" w:hAnsi="Arial"/>
          <w:sz w:val="17"/>
          <w:szCs w:val="17"/>
          <w:color w:val="auto"/>
        </w:rPr>
        <w:t>that impacted all product lines, while the UK &amp; Continental Europe GeoMarket also experienced lower activity and reduced SIS software license sales. Reduced OneSubsea activity due to a project completed in the Gulf of Guinea and lower Surface Systems product sales across the Area also contributed to the decline. Revenue from the Sub-Saharan Africa GeoMarket was slightly lower as the strong increase in land activity in Congo, Chad and Ethiopia was offset by the cancellation of an offshore drilling project in Angola and project delays in offshore Congo.</w:t>
      </w:r>
    </w:p>
    <w:p>
      <w:pPr>
        <w:spacing w:after="0" w:line="168" w:lineRule="exact"/>
        <w:rPr>
          <w:sz w:val="20"/>
          <w:szCs w:val="20"/>
          <w:color w:val="auto"/>
        </w:rPr>
      </w:pPr>
    </w:p>
    <w:p>
      <w:pPr>
        <w:ind w:right="100"/>
        <w:spacing w:after="0" w:line="314" w:lineRule="auto"/>
        <w:rPr>
          <w:sz w:val="20"/>
          <w:szCs w:val="20"/>
          <w:color w:val="auto"/>
        </w:rPr>
      </w:pPr>
      <w:r>
        <w:rPr>
          <w:rFonts w:ascii="Arial" w:cs="Arial" w:eastAsia="Arial" w:hAnsi="Arial"/>
          <w:sz w:val="16"/>
          <w:szCs w:val="16"/>
          <w:b w:val="1"/>
          <w:bCs w:val="1"/>
          <w:color w:val="auto"/>
        </w:rPr>
        <w:t xml:space="preserve">Middle East &amp; Asia Area </w:t>
      </w:r>
      <w:r>
        <w:rPr>
          <w:rFonts w:ascii="Arial" w:cs="Arial" w:eastAsia="Arial" w:hAnsi="Arial"/>
          <w:sz w:val="16"/>
          <w:szCs w:val="16"/>
          <w:color w:val="auto"/>
        </w:rPr>
        <w:t>revenue decreased 7% sequentially principally due to pricing pressure and lower drilling and hydraulic fracturing activity on land</w:t>
      </w:r>
      <w:r>
        <w:rPr>
          <w:rFonts w:ascii="Arial" w:cs="Arial" w:eastAsia="Arial" w:hAnsi="Arial"/>
          <w:sz w:val="16"/>
          <w:szCs w:val="16"/>
          <w:b w:val="1"/>
          <w:bCs w:val="1"/>
          <w:color w:val="auto"/>
        </w:rPr>
        <w:t xml:space="preserve"> </w:t>
      </w:r>
      <w:r>
        <w:rPr>
          <w:rFonts w:ascii="Arial" w:cs="Arial" w:eastAsia="Arial" w:hAnsi="Arial"/>
          <w:sz w:val="16"/>
          <w:szCs w:val="16"/>
          <w:color w:val="auto"/>
        </w:rPr>
        <w:t>in the Middle East. Australia revenue also decreased due to reduced offshore drilling activity while severe weather on land affected all product and service lines. China land revenue was lower due to the seasonal winter slowdown that mainly impacted Production, Drilling, and Cameron Group activities.</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Reservoir Characterization Group</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00" w:type="dxa"/>
            <w:vAlign w:val="bottom"/>
            <w:gridSpan w:val="4"/>
            <w:vMerge w:val="restart"/>
          </w:tcPr>
          <w:p>
            <w:pPr>
              <w:jc w:val="center"/>
              <w:ind w:right="40"/>
              <w:spacing w:after="0"/>
              <w:rPr>
                <w:sz w:val="20"/>
                <w:szCs w:val="20"/>
                <w:color w:val="auto"/>
              </w:rPr>
            </w:pPr>
            <w:r>
              <w:rPr>
                <w:rFonts w:ascii="Arial" w:cs="Arial" w:eastAsia="Arial" w:hAnsi="Arial"/>
                <w:sz w:val="14"/>
                <w:szCs w:val="14"/>
                <w:b w:val="1"/>
                <w:bCs w:val="1"/>
                <w:color w:val="auto"/>
                <w:w w:val="95"/>
              </w:rPr>
              <w:t>Three Months Ended</w:t>
            </w:r>
          </w:p>
        </w:tc>
        <w:tc>
          <w:tcPr>
            <w:tcW w:w="4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4"/>
                <w:szCs w:val="14"/>
                <w:color w:val="auto"/>
                <w:w w:val="97"/>
              </w:rPr>
              <w:t>(Stated in millions)</w:t>
            </w:r>
          </w:p>
        </w:tc>
        <w:tc>
          <w:tcPr>
            <w:tcW w:w="0" w:type="dxa"/>
            <w:vAlign w:val="bottom"/>
          </w:tcPr>
          <w:p>
            <w:pPr>
              <w:spacing w:after="0"/>
              <w:rPr>
                <w:sz w:val="1"/>
                <w:szCs w:val="1"/>
                <w:color w:val="auto"/>
              </w:rPr>
            </w:pPr>
          </w:p>
        </w:tc>
      </w:tr>
      <w:tr>
        <w:trPr>
          <w:trHeight w:val="171"/>
        </w:trPr>
        <w:tc>
          <w:tcPr>
            <w:tcW w:w="4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00" w:type="dxa"/>
            <w:vAlign w:val="bottom"/>
            <w:gridSpan w:val="4"/>
            <w:vMerge w:val="continue"/>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560" w:type="dxa"/>
            <w:vAlign w:val="bottom"/>
            <w:gridSpan w:val="3"/>
          </w:tcPr>
          <w:p>
            <w:pPr>
              <w:ind w:left="14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42"/>
        </w:trPr>
        <w:tc>
          <w:tcPr>
            <w:tcW w:w="4140" w:type="dxa"/>
            <w:vAlign w:val="bottom"/>
          </w:tcPr>
          <w:p>
            <w:pPr>
              <w:spacing w:after="0"/>
              <w:rPr>
                <w:sz w:val="12"/>
                <w:szCs w:val="12"/>
                <w:color w:val="auto"/>
              </w:rPr>
            </w:pPr>
          </w:p>
        </w:tc>
        <w:tc>
          <w:tcPr>
            <w:tcW w:w="1320" w:type="dxa"/>
            <w:vAlign w:val="bottom"/>
            <w:tcBorders>
              <w:top w:val="single" w:sz="8" w:color="auto"/>
            </w:tcBorders>
            <w:gridSpan w:val="2"/>
          </w:tcPr>
          <w:p>
            <w:pPr>
              <w:jc w:val="right"/>
              <w:ind w:right="150"/>
              <w:spacing w:after="0" w:line="142" w:lineRule="exact"/>
              <w:rPr>
                <w:sz w:val="20"/>
                <w:szCs w:val="20"/>
                <w:color w:val="auto"/>
              </w:rPr>
            </w:pPr>
            <w:r>
              <w:rPr>
                <w:rFonts w:ascii="Arial" w:cs="Arial" w:eastAsia="Arial" w:hAnsi="Arial"/>
                <w:sz w:val="14"/>
                <w:szCs w:val="14"/>
                <w:b w:val="1"/>
                <w:bCs w:val="1"/>
                <w:color w:val="auto"/>
              </w:rPr>
              <w:t>Mar. 31, 2017</w:t>
            </w:r>
          </w:p>
        </w:tc>
        <w:tc>
          <w:tcPr>
            <w:tcW w:w="360" w:type="dxa"/>
            <w:vAlign w:val="bottom"/>
            <w:tcBorders>
              <w:top w:val="single" w:sz="8" w:color="auto"/>
            </w:tcBorders>
          </w:tcPr>
          <w:p>
            <w:pPr>
              <w:spacing w:after="0"/>
              <w:rPr>
                <w:sz w:val="12"/>
                <w:szCs w:val="12"/>
                <w:color w:val="auto"/>
              </w:rPr>
            </w:pPr>
          </w:p>
        </w:tc>
        <w:tc>
          <w:tcPr>
            <w:tcW w:w="1640" w:type="dxa"/>
            <w:vAlign w:val="bottom"/>
            <w:tcBorders>
              <w:top w:val="single" w:sz="8" w:color="auto"/>
            </w:tcBorders>
            <w:gridSpan w:val="3"/>
          </w:tcPr>
          <w:p>
            <w:pPr>
              <w:jc w:val="center"/>
              <w:ind w:right="360"/>
              <w:spacing w:after="0" w:line="142" w:lineRule="exact"/>
              <w:rPr>
                <w:sz w:val="20"/>
                <w:szCs w:val="20"/>
                <w:color w:val="auto"/>
              </w:rPr>
            </w:pPr>
            <w:r>
              <w:rPr>
                <w:rFonts w:ascii="Arial" w:cs="Arial" w:eastAsia="Arial" w:hAnsi="Arial"/>
                <w:sz w:val="14"/>
                <w:szCs w:val="14"/>
                <w:color w:val="auto"/>
                <w:w w:val="91"/>
              </w:rPr>
              <w:t>Dec. 31, 2016</w:t>
            </w:r>
          </w:p>
        </w:tc>
        <w:tc>
          <w:tcPr>
            <w:tcW w:w="1280" w:type="dxa"/>
            <w:vAlign w:val="bottom"/>
            <w:tcBorders>
              <w:top w:val="single" w:sz="8" w:color="auto"/>
            </w:tcBorders>
            <w:gridSpan w:val="2"/>
          </w:tcPr>
          <w:p>
            <w:pPr>
              <w:jc w:val="right"/>
              <w:ind w:right="150"/>
              <w:spacing w:after="0" w:line="142" w:lineRule="exact"/>
              <w:rPr>
                <w:sz w:val="20"/>
                <w:szCs w:val="20"/>
                <w:color w:val="auto"/>
              </w:rPr>
            </w:pPr>
            <w:r>
              <w:rPr>
                <w:rFonts w:ascii="Arial" w:cs="Arial" w:eastAsia="Arial" w:hAnsi="Arial"/>
                <w:sz w:val="14"/>
                <w:szCs w:val="14"/>
                <w:color w:val="auto"/>
              </w:rPr>
              <w:t>Mar. 31, 2016</w:t>
            </w:r>
          </w:p>
        </w:tc>
        <w:tc>
          <w:tcPr>
            <w:tcW w:w="380" w:type="dxa"/>
            <w:vAlign w:val="bottom"/>
          </w:tcPr>
          <w:p>
            <w:pPr>
              <w:spacing w:after="0"/>
              <w:rPr>
                <w:sz w:val="12"/>
                <w:szCs w:val="12"/>
                <w:color w:val="auto"/>
              </w:rPr>
            </w:pPr>
          </w:p>
        </w:tc>
        <w:tc>
          <w:tcPr>
            <w:tcW w:w="7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5"/>
              </w:rPr>
              <w:t>Sequential</w:t>
            </w:r>
          </w:p>
        </w:tc>
        <w:tc>
          <w:tcPr>
            <w:tcW w:w="360" w:type="dxa"/>
            <w:vAlign w:val="bottom"/>
            <w:tcBorders>
              <w:top w:val="single" w:sz="8" w:color="auto"/>
            </w:tcBorders>
          </w:tcPr>
          <w:p>
            <w:pPr>
              <w:spacing w:after="0"/>
              <w:rPr>
                <w:sz w:val="12"/>
                <w:szCs w:val="12"/>
                <w:color w:val="auto"/>
              </w:rPr>
            </w:pPr>
          </w:p>
        </w:tc>
        <w:tc>
          <w:tcPr>
            <w:tcW w:w="1180" w:type="dxa"/>
            <w:vAlign w:val="bottom"/>
            <w:tcBorders>
              <w:top w:val="single" w:sz="8" w:color="auto"/>
            </w:tcBorders>
          </w:tcPr>
          <w:p>
            <w:pPr>
              <w:jc w:val="right"/>
              <w:ind w:right="99"/>
              <w:spacing w:after="0" w:line="142" w:lineRule="exact"/>
              <w:rPr>
                <w:sz w:val="20"/>
                <w:szCs w:val="20"/>
                <w:color w:val="auto"/>
              </w:rPr>
            </w:pPr>
            <w:r>
              <w:rPr>
                <w:rFonts w:ascii="Arial" w:cs="Arial" w:eastAsia="Arial" w:hAnsi="Arial"/>
                <w:sz w:val="14"/>
                <w:szCs w:val="14"/>
                <w:b w:val="1"/>
                <w:bCs w:val="1"/>
                <w:color w:val="auto"/>
              </w:rPr>
              <w:t>Year-on-year</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1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Revenue</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20" w:type="dxa"/>
            <w:vAlign w:val="bottom"/>
            <w:tcBorders>
              <w:top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b w:val="1"/>
                <w:bCs w:val="1"/>
                <w:color w:val="auto"/>
                <w:w w:val="84"/>
              </w:rPr>
              <w:t>1,618</w:t>
            </w:r>
          </w:p>
        </w:tc>
        <w:tc>
          <w:tcPr>
            <w:tcW w:w="36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84"/>
              </w:rPr>
              <w:t>1,676</w:t>
            </w:r>
          </w:p>
        </w:tc>
        <w:tc>
          <w:tcPr>
            <w:tcW w:w="36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88"/>
              </w:rPr>
              <w:t>1,719</w:t>
            </w:r>
          </w:p>
        </w:tc>
        <w:tc>
          <w:tcPr>
            <w:tcW w:w="38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ind w:right="54"/>
              <w:spacing w:after="0"/>
              <w:rPr>
                <w:sz w:val="20"/>
                <w:szCs w:val="20"/>
                <w:color w:val="auto"/>
              </w:rPr>
            </w:pPr>
            <w:r>
              <w:rPr>
                <w:rFonts w:ascii="Arial" w:cs="Arial" w:eastAsia="Arial" w:hAnsi="Arial"/>
                <w:sz w:val="18"/>
                <w:szCs w:val="18"/>
                <w:b w:val="1"/>
                <w:bCs w:val="1"/>
                <w:color w:val="auto"/>
              </w:rPr>
              <w:t>-3%</w:t>
            </w:r>
          </w:p>
        </w:tc>
        <w:tc>
          <w:tcPr>
            <w:tcW w:w="36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ind w:right="139"/>
              <w:spacing w:after="0"/>
              <w:rPr>
                <w:sz w:val="20"/>
                <w:szCs w:val="20"/>
                <w:color w:val="auto"/>
              </w:rPr>
            </w:pPr>
            <w:r>
              <w:rPr>
                <w:rFonts w:ascii="Arial" w:cs="Arial" w:eastAsia="Arial" w:hAnsi="Arial"/>
                <w:sz w:val="18"/>
                <w:szCs w:val="18"/>
                <w:b w:val="1"/>
                <w:bCs w:val="1"/>
                <w:color w:val="auto"/>
              </w:rPr>
              <w:t>-6%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40" w:type="dxa"/>
            <w:vAlign w:val="bottom"/>
          </w:tcPr>
          <w:p>
            <w:pPr>
              <w:spacing w:after="0"/>
              <w:rPr>
                <w:sz w:val="20"/>
                <w:szCs w:val="20"/>
                <w:color w:val="auto"/>
              </w:rPr>
            </w:pPr>
            <w:r>
              <w:rPr>
                <w:rFonts w:ascii="Arial" w:cs="Arial" w:eastAsia="Arial" w:hAnsi="Arial"/>
                <w:sz w:val="18"/>
                <w:szCs w:val="18"/>
                <w:color w:val="auto"/>
              </w:rPr>
              <w:t>Pretax operating income</w:t>
            </w: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820" w:type="dxa"/>
            <w:vAlign w:val="bottom"/>
          </w:tcPr>
          <w:p>
            <w:pPr>
              <w:jc w:val="right"/>
              <w:ind w:right="330"/>
              <w:spacing w:after="0"/>
              <w:rPr>
                <w:sz w:val="20"/>
                <w:szCs w:val="20"/>
                <w:color w:val="auto"/>
              </w:rPr>
            </w:pPr>
            <w:r>
              <w:rPr>
                <w:rFonts w:ascii="Arial" w:cs="Arial" w:eastAsia="Arial" w:hAnsi="Arial"/>
                <w:sz w:val="18"/>
                <w:szCs w:val="18"/>
                <w:b w:val="1"/>
                <w:bCs w:val="1"/>
                <w:color w:val="auto"/>
              </w:rPr>
              <w:t>281</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310"/>
              <w:spacing w:after="0"/>
              <w:rPr>
                <w:sz w:val="20"/>
                <w:szCs w:val="20"/>
                <w:color w:val="auto"/>
              </w:rPr>
            </w:pPr>
            <w:r>
              <w:rPr>
                <w:rFonts w:ascii="Arial" w:cs="Arial" w:eastAsia="Arial" w:hAnsi="Arial"/>
                <w:sz w:val="18"/>
                <w:szCs w:val="18"/>
                <w:color w:val="auto"/>
              </w:rPr>
              <w:t>319</w:t>
            </w:r>
          </w:p>
        </w:tc>
        <w:tc>
          <w:tcPr>
            <w:tcW w:w="36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290"/>
              <w:spacing w:after="0"/>
              <w:rPr>
                <w:sz w:val="20"/>
                <w:szCs w:val="20"/>
                <w:color w:val="auto"/>
              </w:rPr>
            </w:pPr>
            <w:r>
              <w:rPr>
                <w:rFonts w:ascii="Arial" w:cs="Arial" w:eastAsia="Arial" w:hAnsi="Arial"/>
                <w:sz w:val="18"/>
                <w:szCs w:val="18"/>
                <w:color w:val="auto"/>
              </w:rPr>
              <w:t>334</w:t>
            </w:r>
          </w:p>
        </w:tc>
        <w:tc>
          <w:tcPr>
            <w:tcW w:w="380" w:type="dxa"/>
            <w:vAlign w:val="bottom"/>
          </w:tcPr>
          <w:p>
            <w:pPr>
              <w:spacing w:after="0"/>
              <w:rPr>
                <w:sz w:val="18"/>
                <w:szCs w:val="18"/>
                <w:color w:val="auto"/>
              </w:rPr>
            </w:pPr>
          </w:p>
        </w:tc>
        <w:tc>
          <w:tcPr>
            <w:tcW w:w="760" w:type="dxa"/>
            <w:vAlign w:val="bottom"/>
          </w:tcPr>
          <w:p>
            <w:pPr>
              <w:jc w:val="right"/>
              <w:ind w:right="54"/>
              <w:spacing w:after="0"/>
              <w:rPr>
                <w:sz w:val="20"/>
                <w:szCs w:val="20"/>
                <w:color w:val="auto"/>
              </w:rPr>
            </w:pPr>
            <w:r>
              <w:rPr>
                <w:rFonts w:ascii="Arial" w:cs="Arial" w:eastAsia="Arial" w:hAnsi="Arial"/>
                <w:sz w:val="18"/>
                <w:szCs w:val="18"/>
                <w:b w:val="1"/>
                <w:bCs w:val="1"/>
                <w:color w:val="auto"/>
              </w:rPr>
              <w:t>-12%</w:t>
            </w:r>
          </w:p>
        </w:tc>
        <w:tc>
          <w:tcPr>
            <w:tcW w:w="1540" w:type="dxa"/>
            <w:vAlign w:val="bottom"/>
            <w:gridSpan w:val="2"/>
          </w:tcPr>
          <w:p>
            <w:pPr>
              <w:jc w:val="right"/>
              <w:ind w:right="139"/>
              <w:spacing w:after="0"/>
              <w:rPr>
                <w:sz w:val="20"/>
                <w:szCs w:val="20"/>
                <w:color w:val="auto"/>
              </w:rPr>
            </w:pPr>
            <w:r>
              <w:rPr>
                <w:rFonts w:ascii="Arial" w:cs="Arial" w:eastAsia="Arial" w:hAnsi="Arial"/>
                <w:sz w:val="18"/>
                <w:szCs w:val="18"/>
                <w:b w:val="1"/>
                <w:bCs w:val="1"/>
                <w:color w:val="auto"/>
              </w:rPr>
              <w:t>-16%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Pretax operating margin</w:t>
            </w:r>
          </w:p>
        </w:tc>
        <w:tc>
          <w:tcPr>
            <w:tcW w:w="50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17.3%</w:t>
            </w:r>
          </w:p>
        </w:tc>
        <w:tc>
          <w:tcPr>
            <w:tcW w:w="3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19.0%</w:t>
            </w:r>
          </w:p>
        </w:tc>
        <w:tc>
          <w:tcPr>
            <w:tcW w:w="3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19.4%</w:t>
            </w:r>
          </w:p>
        </w:tc>
        <w:tc>
          <w:tcPr>
            <w:tcW w:w="3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-170 bps</w:t>
            </w: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-206 bps</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120"/>
        <w:spacing w:after="0" w:line="302" w:lineRule="auto"/>
        <w:rPr>
          <w:sz w:val="20"/>
          <w:szCs w:val="20"/>
          <w:color w:val="auto"/>
        </w:rPr>
      </w:pPr>
      <w:r>
        <w:rPr>
          <w:rFonts w:ascii="Arial" w:cs="Arial" w:eastAsia="Arial" w:hAnsi="Arial"/>
          <w:sz w:val="16"/>
          <w:szCs w:val="16"/>
          <w:color w:val="auto"/>
        </w:rPr>
        <w:t>Reservoir Characterization Group revenue of $1.6 billion, of which 78% came from the international markets, decreased 3% sequentially due to project completions from a decreasing backlog of Testing &amp; Process systems that were partially offset by further progress on the early production facility projects in Kuwait and Egypt. Wireline revenue grew from infrastructure-led exploration activity in North America, partially offset by seasonally reduced Wireline revenue in Russia. Following the usual but muted year-end sales in the previous quarter, lower SIS software license sales also impacted the Group’s results.</w:t>
      </w:r>
    </w:p>
    <w:p>
      <w:pPr>
        <w:spacing w:after="0" w:line="154"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Pretax operating margin of 17% decreased 170 bps sequentially as the increased contribution from high-margin Wireline exploration activities was more than offset by reduced profitability in WesternGeco and lower contributions from SIS software license sales.</w:t>
      </w:r>
    </w:p>
    <w:p>
      <w:pPr>
        <w:spacing w:after="0" w:line="170"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Reservoir Characterization Group performance was enhanced by Integrated Services Management (ISM) operations, where specially trained project managers provide scheduling, planning, and activity coordination for the Schlumberger product lines involved in a project. First-quarter performance was also boosted by new technology deployments and contract awards.</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270" w:right="239" w:bottom="1440" w:gutter="0" w:footer="0" w:header="0"/>
        </w:sectPr>
      </w:pPr>
    </w:p>
    <w:bookmarkStart w:id="7" w:name="page8"/>
    <w:bookmarkEnd w:id="7"/>
    <w:p>
      <w:pPr>
        <w:ind w:right="60"/>
        <w:spacing w:after="0" w:line="27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Peru, ISM coordinated services for Repsol Peru’s Sagari Project. The wellsite, which is located in a remote area, is classified as zero discharge with the requirement that all generated drilling cuttings are either injected or transported from the location. The ISM team worked closely with Repsol to deliver directional drilling, logging-while-drilling, drilling and completion fluids, bits and hole enlargement, managed pressure drilling, wellbore cleanout tools, cementing, wireline logging and perforating, well testing, and cuttings re-injection services. The result for the customer from this integrated and collaborative effort was that the first two wells were delivered six days ahead of the planned schedule.</w:t>
      </w:r>
    </w:p>
    <w:p>
      <w:pPr>
        <w:spacing w:after="0" w:line="173"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In the Bulgarian sector of the Black Sea, Total E&amp;P Bulgaria drilled its first deepwater exploration well. Schlumberger ISM managed eight separate product lines on the rig and coordinated over 100 personnel involved in the project. Through close collaboration with Total E&amp;P Bulgaria, the ISM team identified drilling optimization opportunities that yielded significant results during on-bottom drilling operations. Total E&amp;P Bulgaria expressed appreciation for the collaborative environment that Schlumberger brought to the project.</w:t>
      </w:r>
    </w:p>
    <w:p>
      <w:pPr>
        <w:spacing w:after="0" w:line="18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Offshore India, Schlumberger ISM provided drilling and completions services in the first offshore deepwater well for Oil India Limited in the Gulf of Mannar. Technical expertise and a total of 19 Schlumberger services were provided, including technologies from Testing &amp; Process, Wireline, M-I SWACO, Drilling &amp; Measurements, Bits &amp; Drilling Tools, Completions, and Well Services product lines. In addition, ISM managed third-party providers for casing running services, air and marine logistics, and a shore base facility.</w:t>
      </w:r>
    </w:p>
    <w:p>
      <w:pPr>
        <w:spacing w:after="0" w:line="187" w:lineRule="exact"/>
        <w:rPr>
          <w:sz w:val="20"/>
          <w:szCs w:val="20"/>
          <w:color w:val="auto"/>
        </w:rPr>
      </w:pPr>
    </w:p>
    <w:p>
      <w:pPr>
        <w:jc w:val="both"/>
        <w:ind w:right="260"/>
        <w:spacing w:after="0" w:line="286" w:lineRule="auto"/>
        <w:rPr>
          <w:sz w:val="20"/>
          <w:szCs w:val="20"/>
          <w:color w:val="auto"/>
        </w:rPr>
      </w:pPr>
      <w:r>
        <w:rPr>
          <w:rFonts w:ascii="Arial" w:cs="Arial" w:eastAsia="Arial" w:hAnsi="Arial"/>
          <w:sz w:val="17"/>
          <w:szCs w:val="17"/>
          <w:color w:val="auto"/>
        </w:rPr>
        <w:t>In West Texas, WesternGeco completed acquisition of a 3D wide-azimuth multiclient survey covering 253 square miles in the southern part of the Permian basin, bringing total coverage in the area to 655 square miles. The project was supported by the oil and gas industry and will provide data to help operators improve the efficiency of drilling and completions operations in the very active but challenging parts of the Permian basin.</w:t>
      </w:r>
    </w:p>
    <w:p>
      <w:pPr>
        <w:spacing w:after="0" w:line="166" w:lineRule="exact"/>
        <w:rPr>
          <w:sz w:val="20"/>
          <w:szCs w:val="20"/>
          <w:color w:val="auto"/>
        </w:rPr>
      </w:pPr>
    </w:p>
    <w:p>
      <w:pPr>
        <w:ind w:right="180"/>
        <w:spacing w:after="0" w:line="302" w:lineRule="auto"/>
        <w:rPr>
          <w:sz w:val="20"/>
          <w:szCs w:val="20"/>
          <w:color w:val="auto"/>
        </w:rPr>
      </w:pPr>
      <w:r>
        <w:rPr>
          <w:rFonts w:ascii="Arial" w:cs="Arial" w:eastAsia="Arial" w:hAnsi="Arial"/>
          <w:sz w:val="16"/>
          <w:szCs w:val="16"/>
          <w:color w:val="auto"/>
        </w:rPr>
        <w:t>In the UAE, Sharjah National Oil Corporation contracted WesternGeco to conduct a 483-km2 3D seismic survey over part of their onshore concession in Sharjah. The project will use UniQ* land seismic acquisition platform technology to manage the long offsets required to image the complex overthrust geology in the area. The survey is an extension of a previous survey conducted in 2011, which demonstrated the effectiveness of UniQ platform technology. Data processing will be conducted in the Abu Dhabi processing center using reverse time migration to image this complex geology.</w:t>
      </w:r>
    </w:p>
    <w:p>
      <w:pPr>
        <w:spacing w:after="0" w:line="154" w:lineRule="exact"/>
        <w:rPr>
          <w:sz w:val="20"/>
          <w:szCs w:val="20"/>
          <w:color w:val="auto"/>
        </w:rPr>
      </w:pPr>
    </w:p>
    <w:p>
      <w:pPr>
        <w:ind w:right="220"/>
        <w:spacing w:after="0" w:line="279" w:lineRule="auto"/>
        <w:rPr>
          <w:sz w:val="20"/>
          <w:szCs w:val="20"/>
          <w:color w:val="auto"/>
        </w:rPr>
      </w:pPr>
      <w:r>
        <w:rPr>
          <w:rFonts w:ascii="Arial" w:cs="Arial" w:eastAsia="Arial" w:hAnsi="Arial"/>
          <w:sz w:val="17"/>
          <w:szCs w:val="17"/>
          <w:color w:val="auto"/>
        </w:rPr>
        <w:t>In Kazakhstan, Wireline used Quanta Geo* photorealistic reservoir geology service to evaluate a tight carbonate formation for Karachaganak Petroleum Operating BV—a consortium of Eni, Shell, Chevron, Lukoil, and KazMunaiGas. Quanta Geo service technology uses an innovative sonde with heightened sensitivity to detect vertical and lateral features in the wellbore. The customer obtained better quality images, which are not possible when using oil-base mud, thus enabling structural and stratigraphic interpretation with a higher degree of confidence.</w:t>
      </w:r>
    </w:p>
    <w:p>
      <w:pPr>
        <w:spacing w:after="0" w:line="171"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In Brazil, the Libra Consortium—comprised of Petrobras, Royal Dutch Shell, Total, CNOOC, and CNPC—awarded SIS a five-year contract for exploration and production software and related services. The consortium will explore the country’s largest deepwater oilfield, which has an estimated volume of recoverable oil from 8 to 12 billion barrels. The contract includes the provision of the Petrel* E&amp;P software platform with a focus on geological and geophysical interpretation, geologic modeling, and reservoir engineering.</w:t>
      </w:r>
    </w:p>
    <w:p>
      <w:pPr>
        <w:spacing w:after="0" w:line="187" w:lineRule="exact"/>
        <w:rPr>
          <w:sz w:val="20"/>
          <w:szCs w:val="20"/>
          <w:color w:val="auto"/>
        </w:rPr>
      </w:pPr>
    </w:p>
    <w:p>
      <w:pPr>
        <w:ind w:right="320"/>
        <w:spacing w:after="0" w:line="264" w:lineRule="auto"/>
        <w:rPr>
          <w:sz w:val="20"/>
          <w:szCs w:val="20"/>
          <w:color w:val="auto"/>
        </w:rPr>
      </w:pPr>
      <w:r>
        <w:rPr>
          <w:rFonts w:ascii="Arial" w:cs="Arial" w:eastAsia="Arial" w:hAnsi="Arial"/>
          <w:sz w:val="18"/>
          <w:szCs w:val="18"/>
          <w:color w:val="auto"/>
        </w:rPr>
        <w:t>In Taiwan, CPC Corporation awarded SIS a five-year contract for software. The contract includes the provision of the Petrel E&amp;P software platform, Techlog* wellbore software platform, and ECLIPSE* reservoir simulator. The breadth and depth of the Schlumberger software portfolio and our ability to provide localized services and support were instrumental in winning this award.</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274" w:right="2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Drilling Group</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20" w:type="dxa"/>
            <w:vAlign w:val="bottom"/>
            <w:gridSpan w:val="4"/>
            <w:vMerge w:val="restart"/>
          </w:tcPr>
          <w:p>
            <w:pPr>
              <w:jc w:val="center"/>
              <w:ind w:right="20"/>
              <w:spacing w:after="0"/>
              <w:rPr>
                <w:sz w:val="20"/>
                <w:szCs w:val="20"/>
                <w:color w:val="auto"/>
              </w:rPr>
            </w:pPr>
            <w:r>
              <w:rPr>
                <w:rFonts w:ascii="Arial" w:cs="Arial" w:eastAsia="Arial" w:hAnsi="Arial"/>
                <w:sz w:val="14"/>
                <w:szCs w:val="14"/>
                <w:b w:val="1"/>
                <w:bCs w:val="1"/>
                <w:color w:val="auto"/>
                <w:w w:val="95"/>
              </w:rPr>
              <w:t>Three Months Ended</w:t>
            </w:r>
          </w:p>
        </w:tc>
        <w:tc>
          <w:tcPr>
            <w:tcW w:w="4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4"/>
                <w:szCs w:val="14"/>
                <w:color w:val="auto"/>
                <w:w w:val="97"/>
              </w:rPr>
              <w:t>(Stated in millions)</w:t>
            </w:r>
          </w:p>
        </w:tc>
        <w:tc>
          <w:tcPr>
            <w:tcW w:w="0" w:type="dxa"/>
            <w:vAlign w:val="bottom"/>
          </w:tcPr>
          <w:p>
            <w:pPr>
              <w:spacing w:after="0"/>
              <w:rPr>
                <w:sz w:val="1"/>
                <w:szCs w:val="1"/>
                <w:color w:val="auto"/>
              </w:rPr>
            </w:pPr>
          </w:p>
        </w:tc>
      </w:tr>
      <w:tr>
        <w:trPr>
          <w:trHeight w:val="171"/>
        </w:trPr>
        <w:tc>
          <w:tcPr>
            <w:tcW w:w="40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20" w:type="dxa"/>
            <w:vAlign w:val="bottom"/>
            <w:gridSpan w:val="4"/>
            <w:vMerge w:val="continue"/>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560" w:type="dxa"/>
            <w:vAlign w:val="bottom"/>
            <w:gridSpan w:val="3"/>
          </w:tcPr>
          <w:p>
            <w:pPr>
              <w:ind w:left="12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42"/>
        </w:trPr>
        <w:tc>
          <w:tcPr>
            <w:tcW w:w="4080" w:type="dxa"/>
            <w:vAlign w:val="bottom"/>
          </w:tcPr>
          <w:p>
            <w:pPr>
              <w:spacing w:after="0"/>
              <w:rPr>
                <w:sz w:val="12"/>
                <w:szCs w:val="12"/>
                <w:color w:val="auto"/>
              </w:rPr>
            </w:pPr>
          </w:p>
        </w:tc>
        <w:tc>
          <w:tcPr>
            <w:tcW w:w="1300" w:type="dxa"/>
            <w:vAlign w:val="bottom"/>
            <w:tcBorders>
              <w:top w:val="single" w:sz="8" w:color="auto"/>
            </w:tcBorders>
            <w:gridSpan w:val="2"/>
          </w:tcPr>
          <w:p>
            <w:pPr>
              <w:jc w:val="right"/>
              <w:ind w:right="150"/>
              <w:spacing w:after="0" w:line="142" w:lineRule="exact"/>
              <w:rPr>
                <w:sz w:val="20"/>
                <w:szCs w:val="20"/>
                <w:color w:val="auto"/>
              </w:rPr>
            </w:pPr>
            <w:r>
              <w:rPr>
                <w:rFonts w:ascii="Arial" w:cs="Arial" w:eastAsia="Arial" w:hAnsi="Arial"/>
                <w:sz w:val="14"/>
                <w:szCs w:val="14"/>
                <w:b w:val="1"/>
                <w:bCs w:val="1"/>
                <w:color w:val="auto"/>
              </w:rPr>
              <w:t>Mar. 31, 2017</w:t>
            </w:r>
          </w:p>
        </w:tc>
        <w:tc>
          <w:tcPr>
            <w:tcW w:w="360" w:type="dxa"/>
            <w:vAlign w:val="bottom"/>
            <w:tcBorders>
              <w:top w:val="single" w:sz="8" w:color="auto"/>
            </w:tcBorders>
          </w:tcPr>
          <w:p>
            <w:pPr>
              <w:spacing w:after="0"/>
              <w:rPr>
                <w:sz w:val="12"/>
                <w:szCs w:val="12"/>
                <w:color w:val="auto"/>
              </w:rPr>
            </w:pPr>
          </w:p>
        </w:tc>
        <w:tc>
          <w:tcPr>
            <w:tcW w:w="1660" w:type="dxa"/>
            <w:vAlign w:val="bottom"/>
            <w:tcBorders>
              <w:top w:val="single" w:sz="8" w:color="auto"/>
            </w:tcBorders>
            <w:gridSpan w:val="3"/>
          </w:tcPr>
          <w:p>
            <w:pPr>
              <w:jc w:val="center"/>
              <w:ind w:right="360"/>
              <w:spacing w:after="0" w:line="142" w:lineRule="exact"/>
              <w:rPr>
                <w:sz w:val="20"/>
                <w:szCs w:val="20"/>
                <w:color w:val="auto"/>
              </w:rPr>
            </w:pPr>
            <w:r>
              <w:rPr>
                <w:rFonts w:ascii="Arial" w:cs="Arial" w:eastAsia="Arial" w:hAnsi="Arial"/>
                <w:sz w:val="14"/>
                <w:szCs w:val="14"/>
                <w:color w:val="auto"/>
                <w:w w:val="94"/>
              </w:rPr>
              <w:t>Dec. 31, 2016</w:t>
            </w:r>
          </w:p>
        </w:tc>
        <w:tc>
          <w:tcPr>
            <w:tcW w:w="1280" w:type="dxa"/>
            <w:vAlign w:val="bottom"/>
            <w:tcBorders>
              <w:top w:val="single" w:sz="8" w:color="auto"/>
            </w:tcBorders>
            <w:gridSpan w:val="2"/>
          </w:tcPr>
          <w:p>
            <w:pPr>
              <w:jc w:val="right"/>
              <w:ind w:right="150"/>
              <w:spacing w:after="0" w:line="142" w:lineRule="exact"/>
              <w:rPr>
                <w:sz w:val="20"/>
                <w:szCs w:val="20"/>
                <w:color w:val="auto"/>
              </w:rPr>
            </w:pPr>
            <w:r>
              <w:rPr>
                <w:rFonts w:ascii="Arial" w:cs="Arial" w:eastAsia="Arial" w:hAnsi="Arial"/>
                <w:sz w:val="14"/>
                <w:szCs w:val="14"/>
                <w:color w:val="auto"/>
              </w:rPr>
              <w:t>Mar. 31, 2016</w:t>
            </w:r>
          </w:p>
        </w:tc>
        <w:tc>
          <w:tcPr>
            <w:tcW w:w="360" w:type="dxa"/>
            <w:vAlign w:val="bottom"/>
          </w:tcPr>
          <w:p>
            <w:pPr>
              <w:spacing w:after="0"/>
              <w:rPr>
                <w:sz w:val="12"/>
                <w:szCs w:val="12"/>
                <w:color w:val="auto"/>
              </w:rPr>
            </w:pPr>
          </w:p>
        </w:tc>
        <w:tc>
          <w:tcPr>
            <w:tcW w:w="840" w:type="dxa"/>
            <w:vAlign w:val="bottom"/>
            <w:tcBorders>
              <w:top w:val="single" w:sz="8" w:color="auto"/>
            </w:tcBorders>
          </w:tcPr>
          <w:p>
            <w:pPr>
              <w:ind w:left="100"/>
              <w:spacing w:after="0" w:line="142" w:lineRule="exact"/>
              <w:rPr>
                <w:sz w:val="20"/>
                <w:szCs w:val="20"/>
                <w:color w:val="auto"/>
              </w:rPr>
            </w:pPr>
            <w:r>
              <w:rPr>
                <w:rFonts w:ascii="Arial" w:cs="Arial" w:eastAsia="Arial" w:hAnsi="Arial"/>
                <w:sz w:val="14"/>
                <w:szCs w:val="14"/>
                <w:b w:val="1"/>
                <w:bCs w:val="1"/>
                <w:color w:val="auto"/>
              </w:rPr>
              <w:t>Sequential</w:t>
            </w:r>
          </w:p>
        </w:tc>
        <w:tc>
          <w:tcPr>
            <w:tcW w:w="360" w:type="dxa"/>
            <w:vAlign w:val="bottom"/>
            <w:tcBorders>
              <w:top w:val="single" w:sz="8" w:color="auto"/>
            </w:tcBorders>
          </w:tcPr>
          <w:p>
            <w:pPr>
              <w:spacing w:after="0"/>
              <w:rPr>
                <w:sz w:val="12"/>
                <w:szCs w:val="12"/>
                <w:color w:val="auto"/>
              </w:rPr>
            </w:pPr>
          </w:p>
        </w:tc>
        <w:tc>
          <w:tcPr>
            <w:tcW w:w="1180" w:type="dxa"/>
            <w:vAlign w:val="bottom"/>
            <w:tcBorders>
              <w:top w:val="single" w:sz="8" w:color="auto"/>
            </w:tcBorders>
          </w:tcPr>
          <w:p>
            <w:pPr>
              <w:jc w:val="right"/>
              <w:ind w:right="99"/>
              <w:spacing w:after="0" w:line="142" w:lineRule="exact"/>
              <w:rPr>
                <w:sz w:val="20"/>
                <w:szCs w:val="20"/>
                <w:color w:val="auto"/>
              </w:rPr>
            </w:pPr>
            <w:r>
              <w:rPr>
                <w:rFonts w:ascii="Arial" w:cs="Arial" w:eastAsia="Arial" w:hAnsi="Arial"/>
                <w:sz w:val="14"/>
                <w:szCs w:val="14"/>
                <w:b w:val="1"/>
                <w:bCs w:val="1"/>
                <w:color w:val="auto"/>
              </w:rPr>
              <w:t>Year-on-year</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0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Revenue</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00" w:type="dxa"/>
            <w:vAlign w:val="bottom"/>
            <w:tcBorders>
              <w:top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b w:val="1"/>
                <w:bCs w:val="1"/>
                <w:color w:val="auto"/>
                <w:w w:val="84"/>
              </w:rPr>
              <w:t>1,985</w:t>
            </w:r>
          </w:p>
        </w:tc>
        <w:tc>
          <w:tcPr>
            <w:tcW w:w="36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84"/>
              </w:rPr>
              <w:t>2,013</w:t>
            </w:r>
          </w:p>
        </w:tc>
        <w:tc>
          <w:tcPr>
            <w:tcW w:w="36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84"/>
              </w:rPr>
              <w:t>2,493</w:t>
            </w:r>
          </w:p>
        </w:tc>
        <w:tc>
          <w:tcPr>
            <w:tcW w:w="36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ind w:left="360"/>
              <w:spacing w:after="0"/>
              <w:rPr>
                <w:sz w:val="20"/>
                <w:szCs w:val="20"/>
                <w:color w:val="auto"/>
              </w:rPr>
            </w:pPr>
            <w:r>
              <w:rPr>
                <w:rFonts w:ascii="Arial" w:cs="Arial" w:eastAsia="Arial" w:hAnsi="Arial"/>
                <w:sz w:val="18"/>
                <w:szCs w:val="18"/>
                <w:b w:val="1"/>
                <w:bCs w:val="1"/>
                <w:color w:val="auto"/>
              </w:rPr>
              <w:t>-1%</w:t>
            </w:r>
          </w:p>
        </w:tc>
        <w:tc>
          <w:tcPr>
            <w:tcW w:w="36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ind w:right="139"/>
              <w:spacing w:after="0"/>
              <w:rPr>
                <w:sz w:val="20"/>
                <w:szCs w:val="20"/>
                <w:color w:val="auto"/>
              </w:rPr>
            </w:pPr>
            <w:r>
              <w:rPr>
                <w:rFonts w:ascii="Arial" w:cs="Arial" w:eastAsia="Arial" w:hAnsi="Arial"/>
                <w:sz w:val="18"/>
                <w:szCs w:val="18"/>
                <w:b w:val="1"/>
                <w:bCs w:val="1"/>
                <w:color w:val="auto"/>
              </w:rPr>
              <w:t>-20%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80" w:type="dxa"/>
            <w:vAlign w:val="bottom"/>
          </w:tcPr>
          <w:p>
            <w:pPr>
              <w:spacing w:after="0"/>
              <w:rPr>
                <w:sz w:val="20"/>
                <w:szCs w:val="20"/>
                <w:color w:val="auto"/>
              </w:rPr>
            </w:pPr>
            <w:r>
              <w:rPr>
                <w:rFonts w:ascii="Arial" w:cs="Arial" w:eastAsia="Arial" w:hAnsi="Arial"/>
                <w:sz w:val="18"/>
                <w:szCs w:val="18"/>
                <w:color w:val="auto"/>
              </w:rPr>
              <w:t>Pretax operating income</w:t>
            </w: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800" w:type="dxa"/>
            <w:vAlign w:val="bottom"/>
          </w:tcPr>
          <w:p>
            <w:pPr>
              <w:jc w:val="right"/>
              <w:ind w:right="310"/>
              <w:spacing w:after="0"/>
              <w:rPr>
                <w:sz w:val="20"/>
                <w:szCs w:val="20"/>
                <w:color w:val="auto"/>
              </w:rPr>
            </w:pPr>
            <w:r>
              <w:rPr>
                <w:rFonts w:ascii="Arial" w:cs="Arial" w:eastAsia="Arial" w:hAnsi="Arial"/>
                <w:sz w:val="18"/>
                <w:szCs w:val="18"/>
                <w:b w:val="1"/>
                <w:bCs w:val="1"/>
                <w:color w:val="auto"/>
              </w:rPr>
              <w:t>229</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310"/>
              <w:spacing w:after="0"/>
              <w:rPr>
                <w:sz w:val="20"/>
                <w:szCs w:val="20"/>
                <w:color w:val="auto"/>
              </w:rPr>
            </w:pPr>
            <w:r>
              <w:rPr>
                <w:rFonts w:ascii="Arial" w:cs="Arial" w:eastAsia="Arial" w:hAnsi="Arial"/>
                <w:sz w:val="18"/>
                <w:szCs w:val="18"/>
                <w:color w:val="auto"/>
              </w:rPr>
              <w:t>234</w:t>
            </w:r>
          </w:p>
        </w:tc>
        <w:tc>
          <w:tcPr>
            <w:tcW w:w="36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310"/>
              <w:spacing w:after="0"/>
              <w:rPr>
                <w:sz w:val="20"/>
                <w:szCs w:val="20"/>
                <w:color w:val="auto"/>
              </w:rPr>
            </w:pPr>
            <w:r>
              <w:rPr>
                <w:rFonts w:ascii="Arial" w:cs="Arial" w:eastAsia="Arial" w:hAnsi="Arial"/>
                <w:sz w:val="18"/>
                <w:szCs w:val="18"/>
                <w:color w:val="auto"/>
              </w:rPr>
              <w:t>371</w:t>
            </w:r>
          </w:p>
        </w:tc>
        <w:tc>
          <w:tcPr>
            <w:tcW w:w="360" w:type="dxa"/>
            <w:vAlign w:val="bottom"/>
          </w:tcPr>
          <w:p>
            <w:pPr>
              <w:spacing w:after="0"/>
              <w:rPr>
                <w:sz w:val="18"/>
                <w:szCs w:val="18"/>
                <w:color w:val="auto"/>
              </w:rPr>
            </w:pPr>
          </w:p>
        </w:tc>
        <w:tc>
          <w:tcPr>
            <w:tcW w:w="840" w:type="dxa"/>
            <w:vAlign w:val="bottom"/>
          </w:tcPr>
          <w:p>
            <w:pPr>
              <w:ind w:left="360"/>
              <w:spacing w:after="0"/>
              <w:rPr>
                <w:sz w:val="20"/>
                <w:szCs w:val="20"/>
                <w:color w:val="auto"/>
              </w:rPr>
            </w:pPr>
            <w:r>
              <w:rPr>
                <w:rFonts w:ascii="Arial" w:cs="Arial" w:eastAsia="Arial" w:hAnsi="Arial"/>
                <w:sz w:val="18"/>
                <w:szCs w:val="18"/>
                <w:b w:val="1"/>
                <w:bCs w:val="1"/>
                <w:color w:val="auto"/>
              </w:rPr>
              <w:t>-2%</w:t>
            </w:r>
          </w:p>
        </w:tc>
        <w:tc>
          <w:tcPr>
            <w:tcW w:w="1540" w:type="dxa"/>
            <w:vAlign w:val="bottom"/>
            <w:gridSpan w:val="2"/>
          </w:tcPr>
          <w:p>
            <w:pPr>
              <w:jc w:val="right"/>
              <w:ind w:right="139"/>
              <w:spacing w:after="0"/>
              <w:rPr>
                <w:sz w:val="20"/>
                <w:szCs w:val="20"/>
                <w:color w:val="auto"/>
              </w:rPr>
            </w:pPr>
            <w:r>
              <w:rPr>
                <w:rFonts w:ascii="Arial" w:cs="Arial" w:eastAsia="Arial" w:hAnsi="Arial"/>
                <w:sz w:val="18"/>
                <w:szCs w:val="18"/>
                <w:b w:val="1"/>
                <w:bCs w:val="1"/>
                <w:color w:val="auto"/>
              </w:rPr>
              <w:t>-38%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Pretax operating margin</w:t>
            </w:r>
          </w:p>
        </w:tc>
        <w:tc>
          <w:tcPr>
            <w:tcW w:w="50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11.5%</w:t>
            </w:r>
          </w:p>
        </w:tc>
        <w:tc>
          <w:tcPr>
            <w:tcW w:w="3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11.6%</w:t>
            </w:r>
          </w:p>
        </w:tc>
        <w:tc>
          <w:tcPr>
            <w:tcW w:w="3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14.9%</w:t>
            </w:r>
          </w:p>
        </w:tc>
        <w:tc>
          <w:tcPr>
            <w:tcW w:w="360" w:type="dxa"/>
            <w:vAlign w:val="bottom"/>
            <w:shd w:val="clear" w:color="auto" w:fill="CCEEFF"/>
          </w:tcPr>
          <w:p>
            <w:pPr>
              <w:spacing w:after="0"/>
              <w:rPr>
                <w:sz w:val="18"/>
                <w:szCs w:val="18"/>
                <w:color w:val="auto"/>
              </w:rPr>
            </w:pPr>
          </w:p>
        </w:tc>
        <w:tc>
          <w:tcPr>
            <w:tcW w:w="84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w w:val="86"/>
              </w:rPr>
              <w:t>-7 bps</w:t>
            </w: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-334 bps</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60"/>
        <w:spacing w:after="0" w:line="297" w:lineRule="auto"/>
        <w:rPr>
          <w:sz w:val="20"/>
          <w:szCs w:val="20"/>
          <w:color w:val="auto"/>
        </w:rPr>
      </w:pPr>
      <w:r>
        <w:rPr>
          <w:rFonts w:ascii="Arial" w:cs="Arial" w:eastAsia="Arial" w:hAnsi="Arial"/>
          <w:sz w:val="16"/>
          <w:szCs w:val="16"/>
          <w:color w:val="auto"/>
        </w:rPr>
        <w:t>Drilling Group revenue of $2.0 billion, of which 74% came from the international markets, decreased 1% sequentially as strong directional drilling activity in North America land was offset by lower drilling activity and pricing pressure in the International Areas. The improvement in North America revenue came from an increased uptake of products and services from Drilling &amp; Measurements, Bits &amp; Drilling Tools, and M-I SWACO. Decreased revenue in the International Areas was due to reduced sales of M-I SWACO products in the Middle East &amp; Asia Area, pricing pressure and an unfavorable activity mix for Drilling &amp; Measurements in the Middle East, and lower Integrated Drilling Services (IDS) activity in the UK &amp; Continental Europe GeoMarket.</w:t>
      </w:r>
    </w:p>
    <w:p>
      <w:pPr>
        <w:spacing w:after="0" w:line="158" w:lineRule="exact"/>
        <w:rPr>
          <w:sz w:val="20"/>
          <w:szCs w:val="20"/>
          <w:color w:val="auto"/>
        </w:rPr>
      </w:pPr>
    </w:p>
    <w:p>
      <w:pPr>
        <w:ind w:right="40"/>
        <w:spacing w:after="0" w:line="308" w:lineRule="auto"/>
        <w:rPr>
          <w:sz w:val="20"/>
          <w:szCs w:val="20"/>
          <w:color w:val="auto"/>
        </w:rPr>
      </w:pPr>
      <w:r>
        <w:rPr>
          <w:rFonts w:ascii="Arial" w:cs="Arial" w:eastAsia="Arial" w:hAnsi="Arial"/>
          <w:sz w:val="17"/>
          <w:szCs w:val="17"/>
          <w:color w:val="auto"/>
        </w:rPr>
        <w:t>Pretax operating margin of 12% was virtually flat sequentially despite the slight revenue decline. This was due to pricing improvements from a greater uptake of Drilling &amp; Measurements and Bits &amp; Drilling Tools technologies in the US, offsetting the pricing pressure in the international markets.</w:t>
      </w:r>
    </w:p>
    <w:p>
      <w:pPr>
        <w:spacing w:after="0" w:line="147"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Drilling Group performance in the first quarter was strengthened by a combination of IDS operations, which provide project management, engineering design, and technical optimization capabilities. Group performance was also boosted by new technology deployments and contract awards.</w:t>
      </w:r>
    </w:p>
    <w:p>
      <w:pPr>
        <w:spacing w:after="0" w:line="147"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In Russia, IDS provided a combination of technologies and services in three extended-reach wells for Rosneft-Sakhalinmorneftegaz on Sakhalin Island in the Lebedinskoye field. The technologies included GeoSphere* reservoir mapping-while-drilling service to reveal subsurface bedding and fluid contact details using deep directional electromagnetic measurements and PowerDrive Xceed* ruggedized rotary steerable systems to provide a superior degree of accuracy and reliability. The customer completed operations 103 days ahead of plan. In addition, cumulative production from the three wells in 2016 was 47% higher than initially expected.</w:t>
      </w:r>
    </w:p>
    <w:p>
      <w:pPr>
        <w:spacing w:after="0" w:line="188"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In the UK sector of the North Sea, IDS developed a custom solution for Statoil to overcome unique drilling challenges in a heavy oil field. The Mariner field is characterized by reservoirs located at shallow depths, and 60 long, closely spaced horizontal wells are planned for development. An integrated team that included drilling experts from multiple technology centers helped design a custom bottomhole assembly that could deliver an aggressive build rate of up to 40° in the 24-in section. The PowerDrive Archer* high build rate rotary steerable system and staged hole openers were two of the technologies used in this custom solution. In the first quarter of 2017, the customer drilled the 24-in sections of four wells and met every drilling, time, and cost objective for the project.</w:t>
      </w:r>
    </w:p>
    <w:p>
      <w:pPr>
        <w:spacing w:after="0" w:line="193" w:lineRule="exact"/>
        <w:rPr>
          <w:sz w:val="20"/>
          <w:szCs w:val="20"/>
          <w:color w:val="auto"/>
        </w:rPr>
      </w:pPr>
    </w:p>
    <w:p>
      <w:pPr>
        <w:ind w:right="140"/>
        <w:spacing w:after="0" w:line="312" w:lineRule="auto"/>
        <w:rPr>
          <w:sz w:val="20"/>
          <w:szCs w:val="20"/>
          <w:color w:val="auto"/>
        </w:rPr>
      </w:pPr>
      <w:r>
        <w:rPr>
          <w:rFonts w:ascii="Arial" w:cs="Arial" w:eastAsia="Arial" w:hAnsi="Arial"/>
          <w:sz w:val="16"/>
          <w:szCs w:val="16"/>
          <w:color w:val="auto"/>
        </w:rPr>
        <w:t>In Norway, Statoil Petroleum AS awarded Schlumberger an IDS contract for the Sleipner area drilling campaign in the Norwegian North Sea. The contract features an innovative performance incentive structure that better aligns operator and service company interests. This includes the provision of services from Drilling &amp; Measurements, Well Services, and M-I SWACO for two wells and one optional well. Operations are expected to begin in May 2017.</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270" w:right="239" w:bottom="1440" w:gutter="0" w:footer="0" w:header="0"/>
        </w:sectPr>
      </w:pPr>
    </w:p>
    <w:bookmarkStart w:id="9" w:name="page10"/>
    <w:bookmarkEnd w:id="9"/>
    <w:p>
      <w:pPr>
        <w:ind w:right="380"/>
        <w:spacing w:after="0" w:line="29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Qatar, RasGas Company Limited awarded Schlumberger a five-year contract with five optional one-year extensions to provide a broad combination of drilling technologies for up to 70 wells in the North Field. For example, the contract includes Drilling &amp; Measurements MicroScope* resistivity- and imaging-while-drilling service, Bits &amp; Drilling Tools FireStorm* wear-resistant high-impact PDC cutter technology, Wireline ReSOLVE* instrumented wireline intervention service, M-I SWACO HydraHib shale inhibitor, and Well Services CemNET advanced loss-control fiber technology and OpenPath stimulation services. The North Field is the world’s largest non-associated gas field, containing approximately 10% of the world’s known reserves.</w:t>
      </w:r>
    </w:p>
    <w:p>
      <w:pPr>
        <w:spacing w:after="0" w:line="158"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Offshore Azerbaijan, Drilling &amp; Measurements used a combination of technologies for State Oil Company of Azerbaijan (SOCAR) to drill a challenging J-shaped well in Bulla Deniz field. In addition to overcoming the challenging lithology that historically slows the rate of penetration (ROP) to as low as 3.1 ft/h, the complex well plan included simultaneously drilling and enlarging a 7,218-ft section of the wellbore. The combination of technologies included PowerDrive X6* rotary steerable technology with arcVISION* array resistivity compensated service, TeleScope* high-speed telemetry-while-drilling service, and a Rhino* XS hydraulically expandable reamer. The customer saved $14.4 million by meeting the drilling objectives with zero nonproductive time in 39 days instead of the 79 days originally planned.</w:t>
      </w:r>
    </w:p>
    <w:p>
      <w:pPr>
        <w:spacing w:after="0" w:line="193"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In West Texas, Drilling &amp; Measurements used a combination of technologies for Parsley Energy to increase drilling performance in long well laterals in the Midland and Delaware basins. In drilling 80 wells over the past 12 months, PowerDrive Orbit* rotary steerable systems and DynaForce* high-performance drilling motors contributed to the 17% reduction in the average days required to drill a well compared with the previous year. The customer reduced the average total drilling cost per lateral foot by 30%.</w:t>
      </w:r>
    </w:p>
    <w:p>
      <w:pPr>
        <w:spacing w:after="0" w:line="187"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In North America land, Bits &amp; Drilling Tools used AxeBlade* ridged diamond element bit technology for Cabot Oil &amp; Gas to improve the drilling ROP in the top hole sands prior to reaching the Marcellus Shale formation. As a result, the customer saved approximately $500,000 in 2016 based on a reduction of 13 hours of drilling time per well.</w:t>
      </w:r>
    </w:p>
    <w:p>
      <w:pPr>
        <w:spacing w:after="0" w:line="181" w:lineRule="exact"/>
        <w:rPr>
          <w:sz w:val="20"/>
          <w:szCs w:val="20"/>
          <w:color w:val="auto"/>
        </w:rPr>
      </w:pPr>
    </w:p>
    <w:p>
      <w:pPr>
        <w:ind w:right="400"/>
        <w:spacing w:after="0" w:line="302" w:lineRule="auto"/>
        <w:rPr>
          <w:sz w:val="20"/>
          <w:szCs w:val="20"/>
          <w:color w:val="auto"/>
        </w:rPr>
      </w:pPr>
      <w:r>
        <w:rPr>
          <w:rFonts w:ascii="Arial" w:cs="Arial" w:eastAsia="Arial" w:hAnsi="Arial"/>
          <w:sz w:val="16"/>
          <w:szCs w:val="16"/>
          <w:color w:val="auto"/>
        </w:rPr>
        <w:t>Offshore Mexico, the Drilling Group used a combination of technologies for Pemex on a challenging horizontal well in the shallow waters of the Yaxche field. Drilling &amp; Measurements GeoSphere* reservoir mapping-while-drilling service detected the top of the reservoir 18 m true vertical depth before reaching the reservoir and landed the well as planned. In addition, PeriScope HD* multilayer bed boundary detection service was used to help reduce reservoir uncertainties. The customer achieved a final production rate of 4,600 bbl/d, which was 2,100 bbl/d more than expected.</w:t>
      </w:r>
    </w:p>
    <w:p>
      <w:pPr>
        <w:spacing w:after="0" w:line="154"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Also offshore Mexico for Pemex, Bits &amp; Drilling Tools introduced Direct XCD* drillable alloy casing technology in a shallow water exploration well. This well was the first 30-in casing-while-drilling operation in the world. The customer reduced drilling time by 1.3 days compared with conventional drilling operations in the area.</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Production Group</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40" w:type="dxa"/>
            <w:vAlign w:val="bottom"/>
            <w:gridSpan w:val="4"/>
            <w:vMerge w:val="restart"/>
          </w:tcPr>
          <w:p>
            <w:pPr>
              <w:jc w:val="center"/>
              <w:ind w:right="40"/>
              <w:spacing w:after="0"/>
              <w:rPr>
                <w:sz w:val="20"/>
                <w:szCs w:val="20"/>
                <w:color w:val="auto"/>
              </w:rPr>
            </w:pPr>
            <w:r>
              <w:rPr>
                <w:rFonts w:ascii="Arial" w:cs="Arial" w:eastAsia="Arial" w:hAnsi="Arial"/>
                <w:sz w:val="14"/>
                <w:szCs w:val="14"/>
                <w:b w:val="1"/>
                <w:bCs w:val="1"/>
                <w:color w:val="auto"/>
                <w:w w:val="95"/>
              </w:rPr>
              <w:t>Three Months Ended</w:t>
            </w:r>
          </w:p>
        </w:tc>
        <w:tc>
          <w:tcPr>
            <w:tcW w:w="4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4"/>
                <w:szCs w:val="14"/>
                <w:color w:val="auto"/>
                <w:w w:val="97"/>
              </w:rPr>
              <w:t>(Stated in millions)</w:t>
            </w:r>
          </w:p>
        </w:tc>
        <w:tc>
          <w:tcPr>
            <w:tcW w:w="0" w:type="dxa"/>
            <w:vAlign w:val="bottom"/>
          </w:tcPr>
          <w:p>
            <w:pPr>
              <w:spacing w:after="0"/>
              <w:rPr>
                <w:sz w:val="1"/>
                <w:szCs w:val="1"/>
                <w:color w:val="auto"/>
              </w:rPr>
            </w:pPr>
          </w:p>
        </w:tc>
      </w:tr>
      <w:tr>
        <w:trPr>
          <w:trHeight w:val="171"/>
        </w:trPr>
        <w:tc>
          <w:tcPr>
            <w:tcW w:w="41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40" w:type="dxa"/>
            <w:vAlign w:val="bottom"/>
            <w:gridSpan w:val="4"/>
            <w:vMerge w:val="continue"/>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580" w:type="dxa"/>
            <w:vAlign w:val="bottom"/>
            <w:gridSpan w:val="3"/>
          </w:tcPr>
          <w:p>
            <w:pPr>
              <w:ind w:left="20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42"/>
        </w:trPr>
        <w:tc>
          <w:tcPr>
            <w:tcW w:w="4180" w:type="dxa"/>
            <w:vAlign w:val="bottom"/>
          </w:tcPr>
          <w:p>
            <w:pPr>
              <w:spacing w:after="0"/>
              <w:rPr>
                <w:sz w:val="12"/>
                <w:szCs w:val="12"/>
                <w:color w:val="auto"/>
              </w:rPr>
            </w:pPr>
          </w:p>
        </w:tc>
        <w:tc>
          <w:tcPr>
            <w:tcW w:w="1320" w:type="dxa"/>
            <w:vAlign w:val="bottom"/>
            <w:tcBorders>
              <w:top w:val="single" w:sz="8" w:color="auto"/>
            </w:tcBorders>
            <w:gridSpan w:val="2"/>
          </w:tcPr>
          <w:p>
            <w:pPr>
              <w:jc w:val="right"/>
              <w:ind w:right="150"/>
              <w:spacing w:after="0" w:line="142" w:lineRule="exact"/>
              <w:rPr>
                <w:sz w:val="20"/>
                <w:szCs w:val="20"/>
                <w:color w:val="auto"/>
              </w:rPr>
            </w:pPr>
            <w:r>
              <w:rPr>
                <w:rFonts w:ascii="Arial" w:cs="Arial" w:eastAsia="Arial" w:hAnsi="Arial"/>
                <w:sz w:val="14"/>
                <w:szCs w:val="14"/>
                <w:b w:val="1"/>
                <w:bCs w:val="1"/>
                <w:color w:val="auto"/>
              </w:rPr>
              <w:t>Mar. 31, 2017</w:t>
            </w:r>
          </w:p>
        </w:tc>
        <w:tc>
          <w:tcPr>
            <w:tcW w:w="360" w:type="dxa"/>
            <w:vAlign w:val="bottom"/>
            <w:tcBorders>
              <w:top w:val="single" w:sz="8" w:color="auto"/>
            </w:tcBorders>
          </w:tcPr>
          <w:p>
            <w:pPr>
              <w:spacing w:after="0"/>
              <w:rPr>
                <w:sz w:val="12"/>
                <w:szCs w:val="12"/>
                <w:color w:val="auto"/>
              </w:rPr>
            </w:pPr>
          </w:p>
        </w:tc>
        <w:tc>
          <w:tcPr>
            <w:tcW w:w="1680" w:type="dxa"/>
            <w:vAlign w:val="bottom"/>
            <w:tcBorders>
              <w:top w:val="single" w:sz="8" w:color="auto"/>
            </w:tcBorders>
            <w:gridSpan w:val="3"/>
          </w:tcPr>
          <w:p>
            <w:pPr>
              <w:jc w:val="center"/>
              <w:ind w:right="380"/>
              <w:spacing w:after="0" w:line="142" w:lineRule="exact"/>
              <w:rPr>
                <w:sz w:val="20"/>
                <w:szCs w:val="20"/>
                <w:color w:val="auto"/>
              </w:rPr>
            </w:pPr>
            <w:r>
              <w:rPr>
                <w:rFonts w:ascii="Arial" w:cs="Arial" w:eastAsia="Arial" w:hAnsi="Arial"/>
                <w:sz w:val="14"/>
                <w:szCs w:val="14"/>
                <w:color w:val="auto"/>
                <w:w w:val="94"/>
              </w:rPr>
              <w:t>Dec. 31, 2016</w:t>
            </w:r>
          </w:p>
        </w:tc>
        <w:tc>
          <w:tcPr>
            <w:tcW w:w="1280" w:type="dxa"/>
            <w:vAlign w:val="bottom"/>
            <w:tcBorders>
              <w:top w:val="single" w:sz="8" w:color="auto"/>
            </w:tcBorders>
            <w:gridSpan w:val="2"/>
          </w:tcPr>
          <w:p>
            <w:pPr>
              <w:jc w:val="right"/>
              <w:ind w:right="150"/>
              <w:spacing w:after="0" w:line="142" w:lineRule="exact"/>
              <w:rPr>
                <w:sz w:val="20"/>
                <w:szCs w:val="20"/>
                <w:color w:val="auto"/>
              </w:rPr>
            </w:pPr>
            <w:r>
              <w:rPr>
                <w:rFonts w:ascii="Arial" w:cs="Arial" w:eastAsia="Arial" w:hAnsi="Arial"/>
                <w:sz w:val="14"/>
                <w:szCs w:val="14"/>
                <w:color w:val="auto"/>
              </w:rPr>
              <w:t>Mar. 31, 2016</w:t>
            </w:r>
          </w:p>
        </w:tc>
        <w:tc>
          <w:tcPr>
            <w:tcW w:w="380" w:type="dxa"/>
            <w:vAlign w:val="bottom"/>
          </w:tcPr>
          <w:p>
            <w:pPr>
              <w:spacing w:after="0"/>
              <w:rPr>
                <w:sz w:val="12"/>
                <w:szCs w:val="12"/>
                <w:color w:val="auto"/>
              </w:rPr>
            </w:pPr>
          </w:p>
        </w:tc>
        <w:tc>
          <w:tcPr>
            <w:tcW w:w="6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0"/>
              </w:rPr>
              <w:t>Sequential</w:t>
            </w:r>
          </w:p>
        </w:tc>
        <w:tc>
          <w:tcPr>
            <w:tcW w:w="380" w:type="dxa"/>
            <w:vAlign w:val="bottom"/>
            <w:tcBorders>
              <w:top w:val="single" w:sz="8" w:color="auto"/>
            </w:tcBorders>
          </w:tcPr>
          <w:p>
            <w:pPr>
              <w:spacing w:after="0"/>
              <w:rPr>
                <w:sz w:val="12"/>
                <w:szCs w:val="12"/>
                <w:color w:val="auto"/>
              </w:rPr>
            </w:pPr>
          </w:p>
        </w:tc>
        <w:tc>
          <w:tcPr>
            <w:tcW w:w="1180" w:type="dxa"/>
            <w:vAlign w:val="bottom"/>
            <w:tcBorders>
              <w:top w:val="single" w:sz="8" w:color="auto"/>
            </w:tcBorders>
          </w:tcPr>
          <w:p>
            <w:pPr>
              <w:jc w:val="right"/>
              <w:ind w:right="99"/>
              <w:spacing w:after="0" w:line="142" w:lineRule="exact"/>
              <w:rPr>
                <w:sz w:val="20"/>
                <w:szCs w:val="20"/>
                <w:color w:val="auto"/>
              </w:rPr>
            </w:pPr>
            <w:r>
              <w:rPr>
                <w:rFonts w:ascii="Arial" w:cs="Arial" w:eastAsia="Arial" w:hAnsi="Arial"/>
                <w:sz w:val="14"/>
                <w:szCs w:val="14"/>
                <w:b w:val="1"/>
                <w:bCs w:val="1"/>
                <w:color w:val="auto"/>
              </w:rPr>
              <w:t>Year-on-year</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1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Revenue</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20" w:type="dxa"/>
            <w:vAlign w:val="bottom"/>
            <w:tcBorders>
              <w:top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b w:val="1"/>
                <w:bCs w:val="1"/>
                <w:color w:val="auto"/>
                <w:w w:val="84"/>
              </w:rPr>
              <w:t>2,187</w:t>
            </w:r>
          </w:p>
        </w:tc>
        <w:tc>
          <w:tcPr>
            <w:tcW w:w="36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84"/>
              </w:rPr>
              <w:t>2,203</w:t>
            </w:r>
          </w:p>
        </w:tc>
        <w:tc>
          <w:tcPr>
            <w:tcW w:w="38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84"/>
              </w:rPr>
              <w:t>2,376</w:t>
            </w:r>
          </w:p>
        </w:tc>
        <w:tc>
          <w:tcPr>
            <w:tcW w:w="38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ind w:right="54"/>
              <w:spacing w:after="0"/>
              <w:rPr>
                <w:sz w:val="20"/>
                <w:szCs w:val="20"/>
                <w:color w:val="auto"/>
              </w:rPr>
            </w:pPr>
            <w:r>
              <w:rPr>
                <w:rFonts w:ascii="Arial" w:cs="Arial" w:eastAsia="Arial" w:hAnsi="Arial"/>
                <w:sz w:val="18"/>
                <w:szCs w:val="18"/>
                <w:b w:val="1"/>
                <w:bCs w:val="1"/>
                <w:color w:val="auto"/>
              </w:rPr>
              <w:t>-1%</w:t>
            </w:r>
          </w:p>
        </w:tc>
        <w:tc>
          <w:tcPr>
            <w:tcW w:w="38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ind w:right="139"/>
              <w:spacing w:after="0"/>
              <w:rPr>
                <w:sz w:val="20"/>
                <w:szCs w:val="20"/>
                <w:color w:val="auto"/>
              </w:rPr>
            </w:pPr>
            <w:r>
              <w:rPr>
                <w:rFonts w:ascii="Arial" w:cs="Arial" w:eastAsia="Arial" w:hAnsi="Arial"/>
                <w:sz w:val="18"/>
                <w:szCs w:val="18"/>
                <w:b w:val="1"/>
                <w:bCs w:val="1"/>
                <w:color w:val="auto"/>
              </w:rPr>
              <w:t>-8%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80" w:type="dxa"/>
            <w:vAlign w:val="bottom"/>
          </w:tcPr>
          <w:p>
            <w:pPr>
              <w:spacing w:after="0"/>
              <w:rPr>
                <w:sz w:val="20"/>
                <w:szCs w:val="20"/>
                <w:color w:val="auto"/>
              </w:rPr>
            </w:pPr>
            <w:r>
              <w:rPr>
                <w:rFonts w:ascii="Arial" w:cs="Arial" w:eastAsia="Arial" w:hAnsi="Arial"/>
                <w:sz w:val="18"/>
                <w:szCs w:val="18"/>
                <w:color w:val="auto"/>
              </w:rPr>
              <w:t>Pretax operating income</w:t>
            </w: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820" w:type="dxa"/>
            <w:vAlign w:val="bottom"/>
          </w:tcPr>
          <w:p>
            <w:pPr>
              <w:jc w:val="right"/>
              <w:ind w:right="330"/>
              <w:spacing w:after="0"/>
              <w:rPr>
                <w:sz w:val="20"/>
                <w:szCs w:val="20"/>
                <w:color w:val="auto"/>
              </w:rPr>
            </w:pPr>
            <w:r>
              <w:rPr>
                <w:rFonts w:ascii="Arial" w:cs="Arial" w:eastAsia="Arial" w:hAnsi="Arial"/>
                <w:sz w:val="18"/>
                <w:szCs w:val="18"/>
                <w:b w:val="1"/>
                <w:bCs w:val="1"/>
                <w:color w:val="auto"/>
              </w:rPr>
              <w:t>110</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310"/>
              <w:spacing w:after="0"/>
              <w:rPr>
                <w:sz w:val="20"/>
                <w:szCs w:val="20"/>
                <w:color w:val="auto"/>
              </w:rPr>
            </w:pPr>
            <w:r>
              <w:rPr>
                <w:rFonts w:ascii="Arial" w:cs="Arial" w:eastAsia="Arial" w:hAnsi="Arial"/>
                <w:sz w:val="18"/>
                <w:szCs w:val="18"/>
                <w:color w:val="auto"/>
              </w:rPr>
              <w:t>128</w:t>
            </w:r>
          </w:p>
        </w:tc>
        <w:tc>
          <w:tcPr>
            <w:tcW w:w="3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310"/>
              <w:spacing w:after="0"/>
              <w:rPr>
                <w:sz w:val="20"/>
                <w:szCs w:val="20"/>
                <w:color w:val="auto"/>
              </w:rPr>
            </w:pPr>
            <w:r>
              <w:rPr>
                <w:rFonts w:ascii="Arial" w:cs="Arial" w:eastAsia="Arial" w:hAnsi="Arial"/>
                <w:sz w:val="18"/>
                <w:szCs w:val="18"/>
                <w:color w:val="auto"/>
              </w:rPr>
              <w:t>206</w:t>
            </w:r>
          </w:p>
        </w:tc>
        <w:tc>
          <w:tcPr>
            <w:tcW w:w="380" w:type="dxa"/>
            <w:vAlign w:val="bottom"/>
          </w:tcPr>
          <w:p>
            <w:pPr>
              <w:spacing w:after="0"/>
              <w:rPr>
                <w:sz w:val="18"/>
                <w:szCs w:val="18"/>
                <w:color w:val="auto"/>
              </w:rPr>
            </w:pPr>
          </w:p>
        </w:tc>
        <w:tc>
          <w:tcPr>
            <w:tcW w:w="660" w:type="dxa"/>
            <w:vAlign w:val="bottom"/>
          </w:tcPr>
          <w:p>
            <w:pPr>
              <w:jc w:val="right"/>
              <w:ind w:right="54"/>
              <w:spacing w:after="0"/>
              <w:rPr>
                <w:sz w:val="20"/>
                <w:szCs w:val="20"/>
                <w:color w:val="auto"/>
              </w:rPr>
            </w:pPr>
            <w:r>
              <w:rPr>
                <w:rFonts w:ascii="Arial" w:cs="Arial" w:eastAsia="Arial" w:hAnsi="Arial"/>
                <w:sz w:val="18"/>
                <w:szCs w:val="18"/>
                <w:b w:val="1"/>
                <w:bCs w:val="1"/>
                <w:color w:val="auto"/>
              </w:rPr>
              <w:t>-14%</w:t>
            </w:r>
          </w:p>
        </w:tc>
        <w:tc>
          <w:tcPr>
            <w:tcW w:w="1560" w:type="dxa"/>
            <w:vAlign w:val="bottom"/>
            <w:gridSpan w:val="2"/>
          </w:tcPr>
          <w:p>
            <w:pPr>
              <w:jc w:val="right"/>
              <w:ind w:right="139"/>
              <w:spacing w:after="0"/>
              <w:rPr>
                <w:sz w:val="20"/>
                <w:szCs w:val="20"/>
                <w:color w:val="auto"/>
              </w:rPr>
            </w:pPr>
            <w:r>
              <w:rPr>
                <w:rFonts w:ascii="Arial" w:cs="Arial" w:eastAsia="Arial" w:hAnsi="Arial"/>
                <w:sz w:val="18"/>
                <w:szCs w:val="18"/>
                <w:b w:val="1"/>
                <w:bCs w:val="1"/>
                <w:color w:val="auto"/>
              </w:rPr>
              <w:t>-47%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Pretax operating margin</w:t>
            </w:r>
          </w:p>
        </w:tc>
        <w:tc>
          <w:tcPr>
            <w:tcW w:w="50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5.0%</w:t>
            </w:r>
          </w:p>
        </w:tc>
        <w:tc>
          <w:tcPr>
            <w:tcW w:w="3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5.8%</w:t>
            </w:r>
          </w:p>
        </w:tc>
        <w:tc>
          <w:tcPr>
            <w:tcW w:w="3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8.7%</w:t>
            </w:r>
          </w:p>
        </w:tc>
        <w:tc>
          <w:tcPr>
            <w:tcW w:w="3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-78 bps</w:t>
            </w:r>
          </w:p>
        </w:tc>
        <w:tc>
          <w:tcPr>
            <w:tcW w:w="3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-365 bps</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Production Group revenue of $2.2 billion, of which 66% came from the international markets, was 1% lower sequentially as strong hydraulic fracturing activity and pricing recovery in North America land was offset by decreased revenue on SPM projects in Ecuador, reduced drilling and hydraulic fracturing activity on land in the Middle East, and lower Completions product sales.</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274" w:right="239" w:bottom="1440" w:gutter="0" w:footer="0" w:header="0"/>
        </w:sectPr>
      </w:pPr>
    </w:p>
    <w:bookmarkStart w:id="10" w:name="page11"/>
    <w:bookmarkEnd w:id="10"/>
    <w:p>
      <w:pPr>
        <w:jc w:val="both"/>
        <w:ind w:right="12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Pretax operating margin of 5% decreased 78 bps sequentially. In North America, the land pressure pumping business reported strong sequential incremental margins of more than 60%. While increased activity and pricing recovery on land in North America contributed to margin expansion for the Group, this was more than offset by margin contraction from lower SPM revenue.</w:t>
      </w:r>
    </w:p>
    <w:p>
      <w:pPr>
        <w:spacing w:after="0" w:line="181"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Production Group results benefited from IPS, which provides project management, engineering design, and technical optimization capabilities. Group performance was also improved by new technology deployments, transformation initiatives, and a contract award.</w:t>
      </w:r>
    </w:p>
    <w:p>
      <w:pPr>
        <w:spacing w:after="0" w:line="170"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In South Texas, IPS provided a combination of technologies and services for Lonestar Resources to improve oil production and field economics in 18 wells in the Eagle Ford Shale play. IPS optimized drilling, stimulation, and completion plans across long laterals to overcome proppant embedment in softer rock that was pinching off reservoir contact with the wellbore and to limit fracture height growth that was extending to a nearby fault. The technologies included ThruBit* through-the-bit logging services, Kinetix Shale* reservoir-centric stimulation-to-production software, and Broadband Sequence* fracturing service. As a result, the wells produced up to 86% more hydrocarbon per 1,000 ft of lateral compared with offset wells in two other fields.</w:t>
      </w:r>
    </w:p>
    <w:p>
      <w:pPr>
        <w:spacing w:after="0" w:line="158"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Whiting Petroleum Corporation recently completed a 13-well campaign in North Dakota utilizing the Infinity* dissolvable plug-and-perf system. Whiting planned to suspend production from numerous wells in the area while fracturing operations and post-frac cleanout activities were performed. The Infinity system reduced cleanout times when compared with traditional plug technologies, resulting in tangible time-savings on the 13 wells, and reestablishing full production in the field.</w:t>
      </w:r>
    </w:p>
    <w:p>
      <w:pPr>
        <w:spacing w:after="0" w:line="18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 Kuwait, Well Services used OpenPath* stimulation services for Kuwait Oil Company to restore productivity in a deep well in the North Kuwait production area. OpenPath services combine stimulation modeling with a near-wellbore diversion system and optimized fracturing fluid options to maximize wellbore coverage and reservoir contact. The customer achieved a sixfold increase in gas production and a twofold increase in oil production, which was in line with the expected capacity for this well.</w:t>
      </w:r>
    </w:p>
    <w:p>
      <w:pPr>
        <w:spacing w:after="0" w:line="187"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In Iraq, Well Services used a combination of technologies for BP Iraq N.V. to overcome challenges in a water injection well in a carbonate reservoir in the Rumaila field. The combination of a CoilFLATE* coiled tubing through-tubing inflatable packer with the ACTive PTC* CT real-time pressure, temperature, and casing collar locator tool was deployed to selectively stimulate zones with low permeability. As a result, water injectivity increased to 4,600 bbl/d and provided the customer with an additional 3,000 bbl/d of oil production.</w:t>
      </w:r>
    </w:p>
    <w:p>
      <w:pPr>
        <w:spacing w:after="0" w:line="18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 Kazakhstan, Karachaganak Petroleum Operating BV awarded Schlumberger two three-year contracts with two one-year extensions totaling $26 million for the provision of coiled tubing and testing services. Operations under both contracts began in the first quarter of 2017.</w:t>
      </w:r>
    </w:p>
    <w:p>
      <w:pPr>
        <w:spacing w:after="0" w:line="170" w:lineRule="exact"/>
        <w:rPr>
          <w:sz w:val="20"/>
          <w:szCs w:val="20"/>
          <w:color w:val="auto"/>
        </w:rPr>
      </w:pPr>
    </w:p>
    <w:p>
      <w:pPr>
        <w:ind w:right="180"/>
        <w:spacing w:after="0" w:line="312" w:lineRule="auto"/>
        <w:rPr>
          <w:sz w:val="20"/>
          <w:szCs w:val="20"/>
          <w:color w:val="auto"/>
        </w:rPr>
      </w:pPr>
      <w:r>
        <w:rPr>
          <w:rFonts w:ascii="Arial" w:cs="Arial" w:eastAsia="Arial" w:hAnsi="Arial"/>
          <w:sz w:val="16"/>
          <w:szCs w:val="16"/>
          <w:color w:val="auto"/>
        </w:rPr>
        <w:t>In Angola, the Schlumberger transformation program enabled improvements in asset utilization and workforce productivity by establishing an Operations Planning Center (OPC). The OPC opened in the first quarter of 2016 and focused on planning and preparing assets, products, and the workforce needed for every job. During its first year of operations, the OPC reduced inventory by $7.5 million and increased asset utilization by 100%.</w:t>
      </w:r>
    </w:p>
    <w:p>
      <w:pPr>
        <w:spacing w:after="0" w:line="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80"/>
          </w:cols>
          <w:pgMar w:left="240" w:top="274" w:right="27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Cameron Group</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74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Three Months Ended</w:t>
            </w:r>
          </w:p>
        </w:tc>
        <w:tc>
          <w:tcPr>
            <w:tcW w:w="5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4"/>
                <w:szCs w:val="14"/>
                <w:color w:val="auto"/>
                <w:w w:val="97"/>
              </w:rPr>
              <w:t>(Stated in millions)</w:t>
            </w:r>
          </w:p>
        </w:tc>
        <w:tc>
          <w:tcPr>
            <w:tcW w:w="0" w:type="dxa"/>
            <w:vAlign w:val="bottom"/>
          </w:tcPr>
          <w:p>
            <w:pPr>
              <w:spacing w:after="0"/>
              <w:rPr>
                <w:sz w:val="1"/>
                <w:szCs w:val="1"/>
                <w:color w:val="auto"/>
              </w:rPr>
            </w:pPr>
          </w:p>
        </w:tc>
      </w:tr>
      <w:tr>
        <w:trPr>
          <w:trHeight w:val="171"/>
        </w:trPr>
        <w:tc>
          <w:tcPr>
            <w:tcW w:w="39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740" w:type="dxa"/>
            <w:vAlign w:val="bottom"/>
            <w:gridSpan w:val="3"/>
            <w:vMerge w:val="continue"/>
          </w:tcPr>
          <w:p>
            <w:pPr>
              <w:spacing w:after="0"/>
              <w:rPr>
                <w:sz w:val="14"/>
                <w:szCs w:val="14"/>
                <w:color w:val="auto"/>
              </w:rPr>
            </w:pPr>
          </w:p>
        </w:tc>
        <w:tc>
          <w:tcPr>
            <w:tcW w:w="5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20" w:type="dxa"/>
            <w:vAlign w:val="bottom"/>
            <w:gridSpan w:val="3"/>
          </w:tcPr>
          <w:p>
            <w:pPr>
              <w:ind w:left="22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42"/>
        </w:trPr>
        <w:tc>
          <w:tcPr>
            <w:tcW w:w="3900" w:type="dxa"/>
            <w:vAlign w:val="bottom"/>
          </w:tcPr>
          <w:p>
            <w:pPr>
              <w:spacing w:after="0"/>
              <w:rPr>
                <w:sz w:val="12"/>
                <w:szCs w:val="12"/>
                <w:color w:val="auto"/>
              </w:rPr>
            </w:pPr>
          </w:p>
        </w:tc>
        <w:tc>
          <w:tcPr>
            <w:tcW w:w="1720" w:type="dxa"/>
            <w:vAlign w:val="bottom"/>
            <w:tcBorders>
              <w:top w:val="single" w:sz="8" w:color="auto"/>
            </w:tcBorders>
            <w:gridSpan w:val="3"/>
          </w:tcPr>
          <w:p>
            <w:pPr>
              <w:ind w:left="240"/>
              <w:spacing w:after="0" w:line="142" w:lineRule="exact"/>
              <w:rPr>
                <w:sz w:val="20"/>
                <w:szCs w:val="20"/>
                <w:color w:val="auto"/>
              </w:rPr>
            </w:pPr>
            <w:r>
              <w:rPr>
                <w:rFonts w:ascii="Arial" w:cs="Arial" w:eastAsia="Arial" w:hAnsi="Arial"/>
                <w:sz w:val="14"/>
                <w:szCs w:val="14"/>
                <w:b w:val="1"/>
                <w:bCs w:val="1"/>
                <w:color w:val="auto"/>
              </w:rPr>
              <w:t>Mar. 31, 2017</w:t>
            </w:r>
          </w:p>
        </w:tc>
        <w:tc>
          <w:tcPr>
            <w:tcW w:w="1740" w:type="dxa"/>
            <w:vAlign w:val="bottom"/>
            <w:tcBorders>
              <w:top w:val="single" w:sz="8" w:color="auto"/>
            </w:tcBorders>
            <w:gridSpan w:val="3"/>
          </w:tcPr>
          <w:p>
            <w:pPr>
              <w:ind w:left="240"/>
              <w:spacing w:after="0" w:line="142" w:lineRule="exact"/>
              <w:rPr>
                <w:sz w:val="20"/>
                <w:szCs w:val="20"/>
                <w:color w:val="auto"/>
              </w:rPr>
            </w:pPr>
            <w:r>
              <w:rPr>
                <w:rFonts w:ascii="Arial" w:cs="Arial" w:eastAsia="Arial" w:hAnsi="Arial"/>
                <w:sz w:val="14"/>
                <w:szCs w:val="14"/>
                <w:color w:val="auto"/>
              </w:rPr>
              <w:t>Dec . 31, 2016</w:t>
            </w:r>
          </w:p>
        </w:tc>
        <w:tc>
          <w:tcPr>
            <w:tcW w:w="1360" w:type="dxa"/>
            <w:vAlign w:val="bottom"/>
            <w:tcBorders>
              <w:top w:val="single" w:sz="8" w:color="auto"/>
            </w:tcBorders>
            <w:gridSpan w:val="2"/>
          </w:tcPr>
          <w:p>
            <w:pPr>
              <w:jc w:val="right"/>
              <w:ind w:right="150"/>
              <w:spacing w:after="0" w:line="142" w:lineRule="exact"/>
              <w:rPr>
                <w:sz w:val="20"/>
                <w:szCs w:val="20"/>
                <w:color w:val="auto"/>
              </w:rPr>
            </w:pPr>
            <w:r>
              <w:rPr>
                <w:rFonts w:ascii="Arial" w:cs="Arial" w:eastAsia="Arial" w:hAnsi="Arial"/>
                <w:sz w:val="14"/>
                <w:szCs w:val="14"/>
                <w:color w:val="auto"/>
              </w:rPr>
              <w:t>Mar. 31, 2016*</w:t>
            </w:r>
          </w:p>
        </w:tc>
        <w:tc>
          <w:tcPr>
            <w:tcW w:w="420" w:type="dxa"/>
            <w:vAlign w:val="bottom"/>
          </w:tcPr>
          <w:p>
            <w:pPr>
              <w:spacing w:after="0"/>
              <w:rPr>
                <w:sz w:val="12"/>
                <w:szCs w:val="12"/>
                <w:color w:val="auto"/>
              </w:rPr>
            </w:pPr>
          </w:p>
        </w:tc>
        <w:tc>
          <w:tcPr>
            <w:tcW w:w="6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0"/>
              </w:rPr>
              <w:t>Sequential</w:t>
            </w:r>
          </w:p>
        </w:tc>
        <w:tc>
          <w:tcPr>
            <w:tcW w:w="420" w:type="dxa"/>
            <w:vAlign w:val="bottom"/>
            <w:tcBorders>
              <w:top w:val="single" w:sz="8" w:color="auto"/>
            </w:tcBorders>
          </w:tcPr>
          <w:p>
            <w:pPr>
              <w:spacing w:after="0"/>
              <w:rPr>
                <w:sz w:val="12"/>
                <w:szCs w:val="12"/>
                <w:color w:val="auto"/>
              </w:rPr>
            </w:pPr>
          </w:p>
        </w:tc>
        <w:tc>
          <w:tcPr>
            <w:tcW w:w="1180" w:type="dxa"/>
            <w:vAlign w:val="bottom"/>
            <w:tcBorders>
              <w:top w:val="single" w:sz="8" w:color="auto"/>
            </w:tcBorders>
          </w:tcPr>
          <w:p>
            <w:pPr>
              <w:jc w:val="right"/>
              <w:ind w:right="99"/>
              <w:spacing w:after="0" w:line="142" w:lineRule="exact"/>
              <w:rPr>
                <w:sz w:val="20"/>
                <w:szCs w:val="20"/>
                <w:color w:val="auto"/>
              </w:rPr>
            </w:pPr>
            <w:r>
              <w:rPr>
                <w:rFonts w:ascii="Arial" w:cs="Arial" w:eastAsia="Arial" w:hAnsi="Arial"/>
                <w:sz w:val="14"/>
                <w:szCs w:val="14"/>
                <w:b w:val="1"/>
                <w:bCs w:val="1"/>
                <w:color w:val="auto"/>
              </w:rPr>
              <w:t>Year-on-year</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9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Revenue</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00" w:type="dxa"/>
            <w:vAlign w:val="bottom"/>
            <w:tcBorders>
              <w:top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b w:val="1"/>
                <w:bCs w:val="1"/>
                <w:color w:val="auto"/>
                <w:w w:val="84"/>
              </w:rPr>
              <w:t>1,229</w:t>
            </w:r>
          </w:p>
        </w:tc>
        <w:tc>
          <w:tcPr>
            <w:tcW w:w="42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88"/>
              </w:rPr>
              <w:t>1,346</w:t>
            </w:r>
          </w:p>
        </w:tc>
        <w:tc>
          <w:tcPr>
            <w:tcW w:w="42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w w:val="84"/>
              </w:rPr>
              <w:t>1,628</w:t>
            </w:r>
          </w:p>
        </w:tc>
        <w:tc>
          <w:tcPr>
            <w:tcW w:w="42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ind w:right="74"/>
              <w:spacing w:after="0"/>
              <w:rPr>
                <w:sz w:val="20"/>
                <w:szCs w:val="20"/>
                <w:color w:val="auto"/>
              </w:rPr>
            </w:pPr>
            <w:r>
              <w:rPr>
                <w:rFonts w:ascii="Arial" w:cs="Arial" w:eastAsia="Arial" w:hAnsi="Arial"/>
                <w:sz w:val="18"/>
                <w:szCs w:val="18"/>
                <w:b w:val="1"/>
                <w:bCs w:val="1"/>
                <w:color w:val="auto"/>
              </w:rPr>
              <w:t>-9%</w:t>
            </w:r>
          </w:p>
        </w:tc>
        <w:tc>
          <w:tcPr>
            <w:tcW w:w="42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ind w:right="139"/>
              <w:spacing w:after="0"/>
              <w:rPr>
                <w:sz w:val="20"/>
                <w:szCs w:val="20"/>
                <w:color w:val="auto"/>
              </w:rPr>
            </w:pPr>
            <w:r>
              <w:rPr>
                <w:rFonts w:ascii="Arial" w:cs="Arial" w:eastAsia="Arial" w:hAnsi="Arial"/>
                <w:sz w:val="18"/>
                <w:szCs w:val="18"/>
                <w:b w:val="1"/>
                <w:bCs w:val="1"/>
                <w:color w:val="auto"/>
              </w:rPr>
              <w:t>-25%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tcPr>
          <w:p>
            <w:pPr>
              <w:spacing w:after="0"/>
              <w:rPr>
                <w:sz w:val="20"/>
                <w:szCs w:val="20"/>
                <w:color w:val="auto"/>
              </w:rPr>
            </w:pPr>
            <w:r>
              <w:rPr>
                <w:rFonts w:ascii="Arial" w:cs="Arial" w:eastAsia="Arial" w:hAnsi="Arial"/>
                <w:sz w:val="18"/>
                <w:szCs w:val="18"/>
                <w:color w:val="auto"/>
              </w:rPr>
              <w:t>Pretax operating income</w:t>
            </w: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800" w:type="dxa"/>
            <w:vAlign w:val="bottom"/>
          </w:tcPr>
          <w:p>
            <w:pPr>
              <w:jc w:val="right"/>
              <w:ind w:right="310"/>
              <w:spacing w:after="0"/>
              <w:rPr>
                <w:sz w:val="20"/>
                <w:szCs w:val="20"/>
                <w:color w:val="auto"/>
              </w:rPr>
            </w:pPr>
            <w:r>
              <w:rPr>
                <w:rFonts w:ascii="Arial" w:cs="Arial" w:eastAsia="Arial" w:hAnsi="Arial"/>
                <w:sz w:val="18"/>
                <w:szCs w:val="18"/>
                <w:b w:val="1"/>
                <w:bCs w:val="1"/>
                <w:color w:val="auto"/>
              </w:rPr>
              <w:t>162</w:t>
            </w:r>
          </w:p>
        </w:tc>
        <w:tc>
          <w:tcPr>
            <w:tcW w:w="4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310"/>
              <w:spacing w:after="0"/>
              <w:rPr>
                <w:sz w:val="20"/>
                <w:szCs w:val="20"/>
                <w:color w:val="auto"/>
              </w:rPr>
            </w:pPr>
            <w:r>
              <w:rPr>
                <w:rFonts w:ascii="Arial" w:cs="Arial" w:eastAsia="Arial" w:hAnsi="Arial"/>
                <w:sz w:val="18"/>
                <w:szCs w:val="18"/>
                <w:color w:val="auto"/>
              </w:rPr>
              <w:t>188</w:t>
            </w:r>
          </w:p>
        </w:tc>
        <w:tc>
          <w:tcPr>
            <w:tcW w:w="4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350"/>
              <w:spacing w:after="0"/>
              <w:rPr>
                <w:sz w:val="20"/>
                <w:szCs w:val="20"/>
                <w:color w:val="auto"/>
              </w:rPr>
            </w:pPr>
            <w:r>
              <w:rPr>
                <w:rFonts w:ascii="Arial" w:cs="Arial" w:eastAsia="Arial" w:hAnsi="Arial"/>
                <w:sz w:val="18"/>
                <w:szCs w:val="18"/>
                <w:color w:val="auto"/>
              </w:rPr>
              <w:t>236</w:t>
            </w:r>
          </w:p>
        </w:tc>
        <w:tc>
          <w:tcPr>
            <w:tcW w:w="420" w:type="dxa"/>
            <w:vAlign w:val="bottom"/>
          </w:tcPr>
          <w:p>
            <w:pPr>
              <w:spacing w:after="0"/>
              <w:rPr>
                <w:sz w:val="18"/>
                <w:szCs w:val="18"/>
                <w:color w:val="auto"/>
              </w:rPr>
            </w:pPr>
          </w:p>
        </w:tc>
        <w:tc>
          <w:tcPr>
            <w:tcW w:w="680" w:type="dxa"/>
            <w:vAlign w:val="bottom"/>
          </w:tcPr>
          <w:p>
            <w:pPr>
              <w:jc w:val="right"/>
              <w:ind w:right="74"/>
              <w:spacing w:after="0"/>
              <w:rPr>
                <w:sz w:val="20"/>
                <w:szCs w:val="20"/>
                <w:color w:val="auto"/>
              </w:rPr>
            </w:pPr>
            <w:r>
              <w:rPr>
                <w:rFonts w:ascii="Arial" w:cs="Arial" w:eastAsia="Arial" w:hAnsi="Arial"/>
                <w:sz w:val="18"/>
                <w:szCs w:val="18"/>
                <w:b w:val="1"/>
                <w:bCs w:val="1"/>
                <w:color w:val="auto"/>
              </w:rPr>
              <w:t>-14%</w:t>
            </w:r>
          </w:p>
        </w:tc>
        <w:tc>
          <w:tcPr>
            <w:tcW w:w="1600" w:type="dxa"/>
            <w:vAlign w:val="bottom"/>
            <w:gridSpan w:val="2"/>
          </w:tcPr>
          <w:p>
            <w:pPr>
              <w:jc w:val="right"/>
              <w:ind w:right="139"/>
              <w:spacing w:after="0"/>
              <w:rPr>
                <w:sz w:val="20"/>
                <w:szCs w:val="20"/>
                <w:color w:val="auto"/>
              </w:rPr>
            </w:pPr>
            <w:r>
              <w:rPr>
                <w:rFonts w:ascii="Arial" w:cs="Arial" w:eastAsia="Arial" w:hAnsi="Arial"/>
                <w:sz w:val="18"/>
                <w:szCs w:val="18"/>
                <w:b w:val="1"/>
                <w:bCs w:val="1"/>
                <w:color w:val="auto"/>
              </w:rPr>
              <w:t>-31%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Pretax operating margin</w:t>
            </w:r>
          </w:p>
        </w:tc>
        <w:tc>
          <w:tcPr>
            <w:tcW w:w="50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13.2%</w:t>
            </w:r>
          </w:p>
        </w:tc>
        <w:tc>
          <w:tcPr>
            <w:tcW w:w="4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14.0%</w:t>
            </w:r>
          </w:p>
        </w:tc>
        <w:tc>
          <w:tcPr>
            <w:tcW w:w="4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14.5%</w:t>
            </w:r>
          </w:p>
        </w:tc>
        <w:tc>
          <w:tcPr>
            <w:tcW w:w="4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-80 bps</w:t>
            </w:r>
          </w:p>
        </w:tc>
        <w:tc>
          <w:tcPr>
            <w:tcW w:w="4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-132 bps</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  First-quarter 2016 is presented on a pro forma basis for comparative purposes.</w:t>
      </w:r>
    </w:p>
    <w:p>
      <w:pPr>
        <w:spacing w:after="0" w:line="225"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Cameron Group revenue of $1.2 billion, of which 62% came from international markets, fell 9% sequentially driven by declining project volumes in OneSubsea and reduced product sales in Surface Systems, partly offset by slight growth in Valves &amp; Measurement. The revenue decline for OneSubsea was due to falling project volumes in Brazil and reduced activity in the US Gulf of Mexico. Surface Systems sales were lower in the Europe/CIS/Africa and Latin America Areas, which more than offset the double-digit revenue growth in North America land on rising fracturing and flowback rental activity. Valves &amp; Measurement posted double-digit growth in US land alongside a step change in bookings, partly offset by a slowdown in engineered valves sales in Europe/CIS/Africa.</w:t>
      </w:r>
    </w:p>
    <w:p>
      <w:pPr>
        <w:spacing w:after="0" w:line="193"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Pretax operating margin of 13% declined 80 bps sequentially, as continued strong project execution in OneSubsea and tight cost control in Drilling Systems limited the impact of the lower product volumes in Surface Systems.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Cameron Group secured contracts and achieved a number of integration successes in the first quarter.</w:t>
      </w:r>
    </w:p>
    <w:p>
      <w:pPr>
        <w:spacing w:after="0" w:line="225"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OneSubsea capital-efficient solutions is a portfolio of standardized designs that supports streamlined processes, documentation, and manufacturing to deliver integrated production systems that reduce project cycle time and overall cost. The adoption of prequalified quality plans, suppliers, and materials and welding specifications has enhanced efficiency and reliability of the product-manufacturing life cycle. Since its introduction three years ago, capital-efficient solutions have reduced the average lead times of subsea products by 30%. OneSubsea’s capital-efficient solutions portfolio was chosen by customers in 75% of OneSubsea’s contract awards over the past 12 months.</w:t>
      </w:r>
    </w:p>
    <w:p>
      <w:pPr>
        <w:spacing w:after="0" w:line="188"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color w:val="auto"/>
        </w:rPr>
        <w:t>In North America, BP awarded OneSubsea an engineering, procurement and construction (EPC) contract to supply the subsea production system for the Mad Dog 2 development in the Gulf of Mexico. The scope of the OneSubsea capital-efficient solution includes subsea manifolds, production trees, single and multiphase meters, water analysis sensors, intervention tooling, test equipment, and the control system for the producer and water injection wells associated with the project. In addition, Subsea 7, which collaborates with OneSubsea through the Subsea Integration Alliance, was awarded an engineering, procurement, construction, and installation (EPCI) contract for subsea controls, flexible risers, pipeline systems, umbilicals, and associated subsea architecture. Teams from both organizations will be collocated to better support project objectives and facilitate project management.</w:t>
      </w:r>
    </w:p>
    <w:p>
      <w:pPr>
        <w:spacing w:after="0" w:line="165" w:lineRule="exact"/>
        <w:rPr>
          <w:sz w:val="20"/>
          <w:szCs w:val="20"/>
          <w:color w:val="auto"/>
        </w:rPr>
      </w:pPr>
    </w:p>
    <w:p>
      <w:pPr>
        <w:ind w:right="340"/>
        <w:spacing w:after="0" w:line="279" w:lineRule="auto"/>
        <w:rPr>
          <w:sz w:val="20"/>
          <w:szCs w:val="20"/>
          <w:color w:val="auto"/>
        </w:rPr>
      </w:pPr>
      <w:r>
        <w:rPr>
          <w:rFonts w:ascii="Arial" w:cs="Arial" w:eastAsia="Arial" w:hAnsi="Arial"/>
          <w:sz w:val="17"/>
          <w:szCs w:val="17"/>
          <w:color w:val="auto"/>
        </w:rPr>
        <w:t>Noble Energy Mediterranean, Ltd. awarded OneSubsea a contract for the supply of 10,000-psi horizontal production trees, tree-mounted controls, off-tree controls and topside controls for the deepwater Leviathan Field Development Project in the Eastern Mediterranean. The subsea control system will use traditional electro-hydraulic controls and a fiber-optic communications link to the topside controls. The selection of this production tree is consistent with previous awards, enabling the customer greater operational flexibility and maintenance standardization.</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270" w:right="239" w:bottom="1440" w:gutter="0" w:footer="0" w:header="0"/>
        </w:sectPr>
      </w:pPr>
    </w:p>
    <w:bookmarkStart w:id="12" w:name="page13"/>
    <w:bookmarkEnd w:id="12"/>
    <w:p>
      <w:pPr>
        <w:spacing w:after="0" w:line="29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During the first-year following the Cameron acquisition, a number of integration successes have been achieved. This included launching more than 32 integrated technology projects, the adoption of best practices across both organizations, and collocating more than 1,700 employees through consolidation of 157 facilities. By combining product and service lines, such as Schlumberger Testing and Cameron Process Systems, customers benefit from an enhanced surface and subsurface offering. Wellsite efficiency has also been improved by integrating Schlumberger Well Services stimulation technologies and the Cameron product portfolio for unconventional resources, which includes CAMShale fracturing fluid delivery and flowback service. In addition, Schlumberger has realized $400 million in synergies and secured $600 million in new orders resulting from the value generated by the combined company.</w:t>
      </w:r>
    </w:p>
    <w:p>
      <w:pPr>
        <w:spacing w:after="0" w:line="9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300"/>
          </w:cols>
          <w:pgMar w:left="240" w:top="274" w:right="359" w:bottom="1440" w:gutter="0" w:footer="0" w:header="0"/>
        </w:sectPr>
      </w:pPr>
    </w:p>
    <w:bookmarkStart w:id="13" w:name="page14"/>
    <w:bookmarkEnd w:id="13"/>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Financial Tables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 of Income</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67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920" w:type="dxa"/>
            <w:vAlign w:val="bottom"/>
            <w:gridSpan w:val="5"/>
          </w:tcPr>
          <w:p>
            <w:pPr>
              <w:jc w:val="right"/>
              <w:ind w:right="60"/>
              <w:spacing w:after="0"/>
              <w:rPr>
                <w:sz w:val="20"/>
                <w:szCs w:val="20"/>
                <w:color w:val="auto"/>
              </w:rPr>
            </w:pPr>
            <w:r>
              <w:rPr>
                <w:rFonts w:ascii="Arial" w:cs="Arial" w:eastAsia="Arial" w:hAnsi="Arial"/>
                <w:sz w:val="14"/>
                <w:szCs w:val="14"/>
                <w:color w:val="auto"/>
                <w:w w:val="99"/>
              </w:rPr>
              <w:t>(Stated in millions, except per share amounts)</w:t>
            </w:r>
          </w:p>
        </w:tc>
        <w:tc>
          <w:tcPr>
            <w:tcW w:w="0" w:type="dxa"/>
            <w:vAlign w:val="bottom"/>
          </w:tcPr>
          <w:p>
            <w:pPr>
              <w:spacing w:after="0"/>
              <w:rPr>
                <w:sz w:val="1"/>
                <w:szCs w:val="1"/>
                <w:color w:val="auto"/>
              </w:rPr>
            </w:pPr>
          </w:p>
        </w:tc>
      </w:tr>
      <w:tr>
        <w:trPr>
          <w:trHeight w:val="167"/>
        </w:trPr>
        <w:tc>
          <w:tcPr>
            <w:tcW w:w="8240" w:type="dxa"/>
            <w:vAlign w:val="bottom"/>
            <w:gridSpan w:val="3"/>
            <w:vMerge w:val="restart"/>
          </w:tcPr>
          <w:p>
            <w:pPr>
              <w:spacing w:after="0"/>
              <w:rPr>
                <w:sz w:val="20"/>
                <w:szCs w:val="20"/>
                <w:color w:val="auto"/>
              </w:rPr>
            </w:pPr>
            <w:r>
              <w:rPr>
                <w:rFonts w:ascii="Arial" w:cs="Arial" w:eastAsia="Arial" w:hAnsi="Arial"/>
                <w:sz w:val="14"/>
                <w:szCs w:val="14"/>
                <w:color w:val="auto"/>
              </w:rPr>
              <w:t>Periods Ended March 31,</w:t>
            </w:r>
          </w:p>
        </w:tc>
        <w:tc>
          <w:tcPr>
            <w:tcW w:w="2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gridSpan w:val="2"/>
          </w:tcPr>
          <w:p>
            <w:pPr>
              <w:jc w:val="right"/>
              <w:ind w:right="170"/>
              <w:spacing w:after="0"/>
              <w:rPr>
                <w:sz w:val="20"/>
                <w:szCs w:val="20"/>
                <w:color w:val="auto"/>
              </w:rPr>
            </w:pPr>
            <w:r>
              <w:rPr>
                <w:rFonts w:ascii="Arial" w:cs="Arial" w:eastAsia="Arial" w:hAnsi="Arial"/>
                <w:sz w:val="14"/>
                <w:szCs w:val="14"/>
                <w:color w:val="auto"/>
                <w:w w:val="92"/>
              </w:rPr>
              <w:t>Three Months</w:t>
            </w:r>
          </w:p>
        </w:tc>
        <w:tc>
          <w:tcPr>
            <w:tcW w:w="90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8240" w:type="dxa"/>
            <w:vAlign w:val="bottom"/>
            <w:gridSpan w:val="3"/>
            <w:vMerge w:val="continue"/>
          </w:tcPr>
          <w:p>
            <w:pPr>
              <w:spacing w:after="0"/>
              <w:rPr>
                <w:sz w:val="11"/>
                <w:szCs w:val="11"/>
                <w:color w:val="auto"/>
              </w:rPr>
            </w:pPr>
          </w:p>
        </w:tc>
        <w:tc>
          <w:tcPr>
            <w:tcW w:w="260" w:type="dxa"/>
            <w:vAlign w:val="bottom"/>
          </w:tcPr>
          <w:p>
            <w:pPr>
              <w:spacing w:after="0"/>
              <w:rPr>
                <w:sz w:val="11"/>
                <w:szCs w:val="11"/>
                <w:color w:val="auto"/>
              </w:rPr>
            </w:pPr>
          </w:p>
        </w:tc>
        <w:tc>
          <w:tcPr>
            <w:tcW w:w="880" w:type="dxa"/>
            <w:vAlign w:val="bottom"/>
          </w:tcPr>
          <w:p>
            <w:pPr>
              <w:jc w:val="right"/>
              <w:ind w:right="332"/>
              <w:spacing w:after="0" w:line="129" w:lineRule="exact"/>
              <w:rPr>
                <w:sz w:val="20"/>
                <w:szCs w:val="20"/>
                <w:color w:val="auto"/>
              </w:rPr>
            </w:pPr>
            <w:r>
              <w:rPr>
                <w:rFonts w:ascii="Arial" w:cs="Arial" w:eastAsia="Arial" w:hAnsi="Arial"/>
                <w:sz w:val="14"/>
                <w:szCs w:val="14"/>
                <w:b w:val="1"/>
                <w:bCs w:val="1"/>
                <w:color w:val="auto"/>
              </w:rPr>
              <w:t>2017</w:t>
            </w:r>
          </w:p>
        </w:tc>
        <w:tc>
          <w:tcPr>
            <w:tcW w:w="8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00" w:type="dxa"/>
            <w:vAlign w:val="bottom"/>
          </w:tcPr>
          <w:p>
            <w:pPr>
              <w:jc w:val="right"/>
              <w:ind w:right="351"/>
              <w:spacing w:after="0" w:line="129" w:lineRule="exact"/>
              <w:rPr>
                <w:sz w:val="20"/>
                <w:szCs w:val="20"/>
                <w:color w:val="auto"/>
              </w:rPr>
            </w:pPr>
            <w:r>
              <w:rPr>
                <w:rFonts w:ascii="Arial" w:cs="Arial" w:eastAsia="Arial" w:hAnsi="Arial"/>
                <w:sz w:val="14"/>
                <w:szCs w:val="14"/>
                <w:color w:val="auto"/>
              </w:rPr>
              <w:t>2016</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1480" w:type="dxa"/>
            <w:vAlign w:val="bottom"/>
            <w:tcBorders>
              <w:top w:val="single" w:sz="8" w:color="auto"/>
            </w:tcBorders>
          </w:tcPr>
          <w:p>
            <w:pPr>
              <w:spacing w:after="0"/>
              <w:rPr>
                <w:sz w:val="8"/>
                <w:szCs w:val="8"/>
                <w:color w:val="auto"/>
              </w:rPr>
            </w:pPr>
          </w:p>
        </w:tc>
        <w:tc>
          <w:tcPr>
            <w:tcW w:w="6740" w:type="dxa"/>
            <w:vAlign w:val="bottom"/>
          </w:tcPr>
          <w:p>
            <w:pPr>
              <w:spacing w:after="0"/>
              <w:rPr>
                <w:sz w:val="8"/>
                <w:szCs w:val="8"/>
                <w:color w:val="auto"/>
              </w:rPr>
            </w:pPr>
          </w:p>
        </w:tc>
        <w:tc>
          <w:tcPr>
            <w:tcW w:w="260" w:type="dxa"/>
            <w:vAlign w:val="bottom"/>
            <w:tcBorders>
              <w:top w:val="single" w:sz="8" w:color="auto"/>
            </w:tcBorders>
          </w:tcPr>
          <w:p>
            <w:pPr>
              <w:spacing w:after="0"/>
              <w:rPr>
                <w:sz w:val="8"/>
                <w:szCs w:val="8"/>
                <w:color w:val="auto"/>
              </w:rPr>
            </w:pPr>
          </w:p>
        </w:tc>
        <w:tc>
          <w:tcPr>
            <w:tcW w:w="880" w:type="dxa"/>
            <w:vAlign w:val="bottom"/>
            <w:tcBorders>
              <w:top w:val="single" w:sz="8" w:color="auto"/>
            </w:tcBorders>
          </w:tcPr>
          <w:p>
            <w:pPr>
              <w:spacing w:after="0"/>
              <w:rPr>
                <w:sz w:val="8"/>
                <w:szCs w:val="8"/>
                <w:color w:val="auto"/>
              </w:rPr>
            </w:pPr>
          </w:p>
        </w:tc>
        <w:tc>
          <w:tcPr>
            <w:tcW w:w="820" w:type="dxa"/>
            <w:vAlign w:val="bottom"/>
          </w:tcPr>
          <w:p>
            <w:pPr>
              <w:spacing w:after="0"/>
              <w:rPr>
                <w:sz w:val="8"/>
                <w:szCs w:val="8"/>
                <w:color w:val="auto"/>
              </w:rPr>
            </w:pPr>
          </w:p>
        </w:tc>
        <w:tc>
          <w:tcPr>
            <w:tcW w:w="260" w:type="dxa"/>
            <w:vAlign w:val="bottom"/>
            <w:tcBorders>
              <w:top w:val="single" w:sz="8" w:color="auto"/>
            </w:tcBorders>
          </w:tcPr>
          <w:p>
            <w:pPr>
              <w:spacing w:after="0"/>
              <w:rPr>
                <w:sz w:val="8"/>
                <w:szCs w:val="8"/>
                <w:color w:val="auto"/>
              </w:rPr>
            </w:pPr>
          </w:p>
        </w:tc>
        <w:tc>
          <w:tcPr>
            <w:tcW w:w="900" w:type="dxa"/>
            <w:vAlign w:val="bottom"/>
            <w:tcBorders>
              <w:top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Revenue</w:t>
            </w: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b w:val="1"/>
                <w:bCs w:val="1"/>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6,894</w:t>
            </w:r>
          </w:p>
        </w:tc>
        <w:tc>
          <w:tcPr>
            <w:tcW w:w="108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6,520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gridSpan w:val="2"/>
          </w:tcPr>
          <w:p>
            <w:pPr>
              <w:spacing w:after="0"/>
              <w:rPr>
                <w:sz w:val="20"/>
                <w:szCs w:val="20"/>
                <w:color w:val="auto"/>
              </w:rPr>
            </w:pPr>
            <w:r>
              <w:rPr>
                <w:rFonts w:ascii="Arial" w:cs="Arial" w:eastAsia="Arial" w:hAnsi="Arial"/>
                <w:sz w:val="18"/>
                <w:szCs w:val="18"/>
                <w:color w:val="auto"/>
              </w:rPr>
              <w:t>Interest and other income</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46</w:t>
            </w: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Expenses</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gridSpan w:val="2"/>
          </w:tcPr>
          <w:p>
            <w:pPr>
              <w:ind w:left="340"/>
              <w:spacing w:after="0"/>
              <w:rPr>
                <w:sz w:val="20"/>
                <w:szCs w:val="20"/>
                <w:color w:val="auto"/>
              </w:rPr>
            </w:pPr>
            <w:r>
              <w:rPr>
                <w:rFonts w:ascii="Arial" w:cs="Arial" w:eastAsia="Arial" w:hAnsi="Arial"/>
                <w:sz w:val="18"/>
                <w:szCs w:val="18"/>
                <w:color w:val="auto"/>
              </w:rPr>
              <w:t>Cost of revenue</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6,076</w:t>
            </w: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5,460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Research &amp; engineering</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211</w:t>
            </w:r>
          </w:p>
        </w:tc>
        <w:tc>
          <w:tcPr>
            <w:tcW w:w="8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gridSpan w:val="2"/>
          </w:tcPr>
          <w:p>
            <w:pPr>
              <w:ind w:left="340"/>
              <w:spacing w:after="0"/>
              <w:rPr>
                <w:sz w:val="20"/>
                <w:szCs w:val="20"/>
                <w:color w:val="auto"/>
              </w:rPr>
            </w:pPr>
            <w:r>
              <w:rPr>
                <w:rFonts w:ascii="Arial" w:cs="Arial" w:eastAsia="Arial" w:hAnsi="Arial"/>
                <w:sz w:val="18"/>
                <w:szCs w:val="18"/>
                <w:color w:val="auto"/>
              </w:rPr>
              <w:t>General &amp; administrative</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98</w:t>
            </w: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 xml:space="preserve">Merger &amp; integration </w:t>
            </w:r>
            <w:r>
              <w:rPr>
                <w:rFonts w:ascii="Arial" w:cs="Arial" w:eastAsia="Arial" w:hAnsi="Arial"/>
                <w:sz w:val="15"/>
                <w:szCs w:val="15"/>
                <w:color w:val="auto"/>
              </w:rPr>
              <w:t>(1)</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82</w:t>
            </w:r>
          </w:p>
        </w:tc>
        <w:tc>
          <w:tcPr>
            <w:tcW w:w="8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gridSpan w:val="2"/>
          </w:tcPr>
          <w:p>
            <w:pPr>
              <w:ind w:left="340"/>
              <w:spacing w:after="0"/>
              <w:rPr>
                <w:sz w:val="20"/>
                <w:szCs w:val="20"/>
                <w:color w:val="auto"/>
              </w:rPr>
            </w:pPr>
            <w:r>
              <w:rPr>
                <w:rFonts w:ascii="Arial" w:cs="Arial" w:eastAsia="Arial" w:hAnsi="Arial"/>
                <w:sz w:val="18"/>
                <w:szCs w:val="18"/>
                <w:color w:val="auto"/>
              </w:rPr>
              <w:t>Interest</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139</w:t>
            </w: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133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480" w:type="dxa"/>
            <w:vAlign w:val="bottom"/>
          </w:tcPr>
          <w:p>
            <w:pPr>
              <w:spacing w:after="0"/>
              <w:rPr>
                <w:sz w:val="2"/>
                <w:szCs w:val="2"/>
                <w:color w:val="auto"/>
              </w:rPr>
            </w:pPr>
          </w:p>
        </w:tc>
        <w:tc>
          <w:tcPr>
            <w:tcW w:w="674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82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before taxes</w:t>
            </w: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b w:val="1"/>
                <w:bCs w:val="1"/>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334</w:t>
            </w:r>
          </w:p>
        </w:tc>
        <w:tc>
          <w:tcPr>
            <w:tcW w:w="8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gridSpan w:val="2"/>
          </w:tcPr>
          <w:p>
            <w:pPr>
              <w:spacing w:after="0"/>
              <w:rPr>
                <w:sz w:val="20"/>
                <w:szCs w:val="20"/>
                <w:color w:val="auto"/>
              </w:rPr>
            </w:pPr>
            <w:r>
              <w:rPr>
                <w:rFonts w:ascii="Arial" w:cs="Arial" w:eastAsia="Arial" w:hAnsi="Arial"/>
                <w:sz w:val="18"/>
                <w:szCs w:val="18"/>
                <w:color w:val="auto"/>
              </w:rPr>
              <w:t xml:space="preserve">Taxes on income </w:t>
            </w:r>
            <w:r>
              <w:rPr>
                <w:rFonts w:ascii="Arial" w:cs="Arial" w:eastAsia="Arial" w:hAnsi="Arial"/>
                <w:sz w:val="15"/>
                <w:szCs w:val="15"/>
                <w:color w:val="auto"/>
              </w:rPr>
              <w:t>(1)</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50</w:t>
            </w: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480" w:type="dxa"/>
            <w:vAlign w:val="bottom"/>
          </w:tcPr>
          <w:p>
            <w:pPr>
              <w:spacing w:after="0"/>
              <w:rPr>
                <w:sz w:val="2"/>
                <w:szCs w:val="2"/>
                <w:color w:val="auto"/>
              </w:rPr>
            </w:pPr>
          </w:p>
        </w:tc>
        <w:tc>
          <w:tcPr>
            <w:tcW w:w="674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82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w:t>
            </w: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b w:val="1"/>
                <w:bCs w:val="1"/>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284</w:t>
            </w:r>
          </w:p>
        </w:tc>
        <w:tc>
          <w:tcPr>
            <w:tcW w:w="8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gridSpan w:val="2"/>
          </w:tcPr>
          <w:p>
            <w:pPr>
              <w:spacing w:after="0"/>
              <w:rPr>
                <w:sz w:val="20"/>
                <w:szCs w:val="20"/>
                <w:color w:val="auto"/>
              </w:rPr>
            </w:pPr>
            <w:r>
              <w:rPr>
                <w:rFonts w:ascii="Arial" w:cs="Arial" w:eastAsia="Arial" w:hAnsi="Arial"/>
                <w:sz w:val="18"/>
                <w:szCs w:val="18"/>
                <w:color w:val="auto"/>
              </w:rPr>
              <w:t>Net income attributable to noncontrolling interests</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5</w:t>
            </w: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480" w:type="dxa"/>
            <w:vAlign w:val="bottom"/>
          </w:tcPr>
          <w:p>
            <w:pPr>
              <w:spacing w:after="0"/>
              <w:rPr>
                <w:sz w:val="2"/>
                <w:szCs w:val="2"/>
                <w:color w:val="auto"/>
              </w:rPr>
            </w:pPr>
          </w:p>
        </w:tc>
        <w:tc>
          <w:tcPr>
            <w:tcW w:w="674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82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xml:space="preserve">Net income attributable to Schlumberger </w:t>
            </w:r>
            <w:r>
              <w:rPr>
                <w:rFonts w:ascii="Arial" w:cs="Arial" w:eastAsia="Arial" w:hAnsi="Arial"/>
                <w:sz w:val="15"/>
                <w:szCs w:val="15"/>
                <w:color w:val="auto"/>
              </w:rPr>
              <w:t>(1)</w:t>
            </w: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b w:val="1"/>
                <w:bCs w:val="1"/>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279</w:t>
            </w:r>
          </w:p>
        </w:tc>
        <w:tc>
          <w:tcPr>
            <w:tcW w:w="8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501</w:t>
            </w:r>
          </w:p>
        </w:tc>
        <w:tc>
          <w:tcPr>
            <w:tcW w:w="0" w:type="dxa"/>
            <w:vAlign w:val="bottom"/>
          </w:tcPr>
          <w:p>
            <w:pPr>
              <w:spacing w:after="0"/>
              <w:rPr>
                <w:sz w:val="1"/>
                <w:szCs w:val="1"/>
                <w:color w:val="auto"/>
              </w:rPr>
            </w:pPr>
          </w:p>
        </w:tc>
      </w:tr>
      <w:tr>
        <w:trPr>
          <w:trHeight w:val="20"/>
        </w:trPr>
        <w:tc>
          <w:tcPr>
            <w:tcW w:w="8240" w:type="dxa"/>
            <w:vAlign w:val="bottom"/>
            <w:gridSpan w:val="3"/>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8240" w:type="dxa"/>
            <w:vAlign w:val="bottom"/>
            <w:gridSpan w:val="3"/>
          </w:tcPr>
          <w:p>
            <w:pPr>
              <w:spacing w:after="0"/>
              <w:rPr>
                <w:sz w:val="20"/>
                <w:szCs w:val="20"/>
                <w:color w:val="auto"/>
              </w:rPr>
            </w:pPr>
            <w:r>
              <w:rPr>
                <w:rFonts w:ascii="Arial" w:cs="Arial" w:eastAsia="Arial" w:hAnsi="Arial"/>
                <w:sz w:val="18"/>
                <w:szCs w:val="18"/>
                <w:color w:val="auto"/>
              </w:rPr>
              <w:t xml:space="preserve">Diluted earnings per share of Schlumberger </w:t>
            </w:r>
            <w:r>
              <w:rPr>
                <w:rFonts w:ascii="Arial" w:cs="Arial" w:eastAsia="Arial" w:hAnsi="Arial"/>
                <w:sz w:val="15"/>
                <w:szCs w:val="15"/>
                <w:color w:val="auto"/>
              </w:rPr>
              <w:t>(1)</w:t>
            </w:r>
          </w:p>
        </w:tc>
        <w:tc>
          <w:tcPr>
            <w:tcW w:w="260" w:type="dxa"/>
            <w:vAlign w:val="bottom"/>
          </w:tcPr>
          <w:p>
            <w:pPr>
              <w:jc w:val="right"/>
              <w:ind w:right="105"/>
              <w:spacing w:after="0"/>
              <w:rPr>
                <w:sz w:val="20"/>
                <w:szCs w:val="20"/>
                <w:color w:val="auto"/>
              </w:rPr>
            </w:pPr>
            <w:r>
              <w:rPr>
                <w:rFonts w:ascii="Arial" w:cs="Arial" w:eastAsia="Arial" w:hAnsi="Arial"/>
                <w:sz w:val="15"/>
                <w:szCs w:val="15"/>
                <w:b w:val="1"/>
                <w:bCs w:val="1"/>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0.20</w:t>
            </w:r>
          </w:p>
        </w:tc>
        <w:tc>
          <w:tcPr>
            <w:tcW w:w="108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0.40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67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vMerge w:val="restart"/>
          </w:tcPr>
          <w:p>
            <w:pPr>
              <w:spacing w:after="0"/>
              <w:rPr>
                <w:sz w:val="8"/>
                <w:szCs w:val="8"/>
                <w:color w:val="auto"/>
              </w:rPr>
            </w:pPr>
          </w:p>
        </w:tc>
        <w:tc>
          <w:tcPr>
            <w:tcW w:w="1480" w:type="dxa"/>
            <w:vAlign w:val="bottom"/>
          </w:tcPr>
          <w:p>
            <w:pPr>
              <w:spacing w:after="0"/>
              <w:rPr>
                <w:sz w:val="8"/>
                <w:szCs w:val="8"/>
                <w:color w:val="auto"/>
              </w:rPr>
            </w:pPr>
          </w:p>
        </w:tc>
        <w:tc>
          <w:tcPr>
            <w:tcW w:w="6740" w:type="dxa"/>
            <w:vAlign w:val="bottom"/>
          </w:tcPr>
          <w:p>
            <w:pPr>
              <w:spacing w:after="0"/>
              <w:rPr>
                <w:sz w:val="8"/>
                <w:szCs w:val="8"/>
                <w:color w:val="auto"/>
              </w:rPr>
            </w:pPr>
          </w:p>
        </w:tc>
        <w:tc>
          <w:tcPr>
            <w:tcW w:w="260" w:type="dxa"/>
            <w:vAlign w:val="bottom"/>
          </w:tcPr>
          <w:p>
            <w:pPr>
              <w:spacing w:after="0"/>
              <w:rPr>
                <w:sz w:val="8"/>
                <w:szCs w:val="8"/>
                <w:color w:val="auto"/>
              </w:rPr>
            </w:pPr>
          </w:p>
        </w:tc>
        <w:tc>
          <w:tcPr>
            <w:tcW w:w="880" w:type="dxa"/>
            <w:vAlign w:val="bottom"/>
          </w:tcPr>
          <w:p>
            <w:pPr>
              <w:spacing w:after="0"/>
              <w:rPr>
                <w:sz w:val="8"/>
                <w:szCs w:val="8"/>
                <w:color w:val="auto"/>
              </w:rPr>
            </w:pPr>
          </w:p>
        </w:tc>
        <w:tc>
          <w:tcPr>
            <w:tcW w:w="820" w:type="dxa"/>
            <w:vAlign w:val="bottom"/>
          </w:tcPr>
          <w:p>
            <w:pPr>
              <w:spacing w:after="0"/>
              <w:rPr>
                <w:sz w:val="8"/>
                <w:szCs w:val="8"/>
                <w:color w:val="auto"/>
              </w:rPr>
            </w:pPr>
          </w:p>
        </w:tc>
        <w:tc>
          <w:tcPr>
            <w:tcW w:w="260" w:type="dxa"/>
            <w:vAlign w:val="bottom"/>
          </w:tcPr>
          <w:p>
            <w:pPr>
              <w:spacing w:after="0"/>
              <w:rPr>
                <w:sz w:val="8"/>
                <w:szCs w:val="8"/>
                <w:color w:val="auto"/>
              </w:rPr>
            </w:pPr>
          </w:p>
        </w:tc>
        <w:tc>
          <w:tcPr>
            <w:tcW w:w="9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Average shares outstanding</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1,393</w:t>
            </w:r>
          </w:p>
        </w:tc>
        <w:tc>
          <w:tcPr>
            <w:tcW w:w="8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gridSpan w:val="2"/>
          </w:tcPr>
          <w:p>
            <w:pPr>
              <w:spacing w:after="0"/>
              <w:rPr>
                <w:sz w:val="20"/>
                <w:szCs w:val="20"/>
                <w:color w:val="auto"/>
              </w:rPr>
            </w:pPr>
            <w:r>
              <w:rPr>
                <w:rFonts w:ascii="Arial" w:cs="Arial" w:eastAsia="Arial" w:hAnsi="Arial"/>
                <w:sz w:val="18"/>
                <w:szCs w:val="18"/>
                <w:color w:val="auto"/>
              </w:rPr>
              <w:t>Average shares outstanding assuming dilution</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1,402</w:t>
            </w: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1,259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67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vMerge w:val="restart"/>
          </w:tcPr>
          <w:p>
            <w:pPr>
              <w:spacing w:after="0"/>
              <w:rPr>
                <w:sz w:val="8"/>
                <w:szCs w:val="8"/>
                <w:color w:val="auto"/>
              </w:rPr>
            </w:pPr>
          </w:p>
        </w:tc>
        <w:tc>
          <w:tcPr>
            <w:tcW w:w="1480" w:type="dxa"/>
            <w:vAlign w:val="bottom"/>
          </w:tcPr>
          <w:p>
            <w:pPr>
              <w:spacing w:after="0"/>
              <w:rPr>
                <w:sz w:val="8"/>
                <w:szCs w:val="8"/>
                <w:color w:val="auto"/>
              </w:rPr>
            </w:pPr>
          </w:p>
        </w:tc>
        <w:tc>
          <w:tcPr>
            <w:tcW w:w="6740" w:type="dxa"/>
            <w:vAlign w:val="bottom"/>
          </w:tcPr>
          <w:p>
            <w:pPr>
              <w:spacing w:after="0"/>
              <w:rPr>
                <w:sz w:val="8"/>
                <w:szCs w:val="8"/>
                <w:color w:val="auto"/>
              </w:rPr>
            </w:pPr>
          </w:p>
        </w:tc>
        <w:tc>
          <w:tcPr>
            <w:tcW w:w="260" w:type="dxa"/>
            <w:vAlign w:val="bottom"/>
          </w:tcPr>
          <w:p>
            <w:pPr>
              <w:spacing w:after="0"/>
              <w:rPr>
                <w:sz w:val="8"/>
                <w:szCs w:val="8"/>
                <w:color w:val="auto"/>
              </w:rPr>
            </w:pPr>
          </w:p>
        </w:tc>
        <w:tc>
          <w:tcPr>
            <w:tcW w:w="880" w:type="dxa"/>
            <w:vAlign w:val="bottom"/>
          </w:tcPr>
          <w:p>
            <w:pPr>
              <w:spacing w:after="0"/>
              <w:rPr>
                <w:sz w:val="8"/>
                <w:szCs w:val="8"/>
                <w:color w:val="auto"/>
              </w:rPr>
            </w:pPr>
          </w:p>
        </w:tc>
        <w:tc>
          <w:tcPr>
            <w:tcW w:w="820" w:type="dxa"/>
            <w:vAlign w:val="bottom"/>
          </w:tcPr>
          <w:p>
            <w:pPr>
              <w:spacing w:after="0"/>
              <w:rPr>
                <w:sz w:val="8"/>
                <w:szCs w:val="8"/>
                <w:color w:val="auto"/>
              </w:rPr>
            </w:pPr>
          </w:p>
        </w:tc>
        <w:tc>
          <w:tcPr>
            <w:tcW w:w="260" w:type="dxa"/>
            <w:vAlign w:val="bottom"/>
          </w:tcPr>
          <w:p>
            <w:pPr>
              <w:spacing w:after="0"/>
              <w:rPr>
                <w:sz w:val="8"/>
                <w:szCs w:val="8"/>
                <w:color w:val="auto"/>
              </w:rPr>
            </w:pPr>
          </w:p>
        </w:tc>
        <w:tc>
          <w:tcPr>
            <w:tcW w:w="9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xml:space="preserve">Depreciation &amp; amortization included in expenses </w:t>
            </w:r>
            <w:r>
              <w:rPr>
                <w:rFonts w:ascii="Arial" w:cs="Arial" w:eastAsia="Arial" w:hAnsi="Arial"/>
                <w:sz w:val="15"/>
                <w:szCs w:val="15"/>
                <w:color w:val="auto"/>
              </w:rPr>
              <w:t>(2)</w:t>
            </w: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b w:val="1"/>
                <w:bCs w:val="1"/>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989</w:t>
            </w:r>
          </w:p>
        </w:tc>
        <w:tc>
          <w:tcPr>
            <w:tcW w:w="108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967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67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460" w:hanging="452"/>
        <w:spacing w:after="0"/>
        <w:tabs>
          <w:tab w:leader="none" w:pos="460" w:val="left"/>
        </w:tabs>
        <w:numPr>
          <w:ilvl w:val="0"/>
          <w:numId w:val="4"/>
        </w:numPr>
        <w:rPr>
          <w:rFonts w:ascii="Arial" w:cs="Arial" w:eastAsia="Arial" w:hAnsi="Arial"/>
          <w:sz w:val="15"/>
          <w:szCs w:val="15"/>
          <w:color w:val="auto"/>
        </w:rPr>
      </w:pPr>
      <w:r>
        <w:rPr>
          <w:rFonts w:ascii="Arial" w:cs="Arial" w:eastAsia="Arial" w:hAnsi="Arial"/>
          <w:sz w:val="18"/>
          <w:szCs w:val="18"/>
          <w:color w:val="auto"/>
        </w:rPr>
        <w:t>See section entitled “Charges &amp; Credits” for details.</w:t>
      </w:r>
    </w:p>
    <w:p>
      <w:pPr>
        <w:spacing w:after="0" w:line="23" w:lineRule="exact"/>
        <w:rPr>
          <w:rFonts w:ascii="Arial" w:cs="Arial" w:eastAsia="Arial" w:hAnsi="Arial"/>
          <w:sz w:val="15"/>
          <w:szCs w:val="15"/>
          <w:color w:val="auto"/>
        </w:rPr>
      </w:pPr>
    </w:p>
    <w:p>
      <w:pPr>
        <w:ind w:left="460" w:hanging="452"/>
        <w:spacing w:after="0"/>
        <w:tabs>
          <w:tab w:leader="none" w:pos="460" w:val="left"/>
        </w:tabs>
        <w:numPr>
          <w:ilvl w:val="0"/>
          <w:numId w:val="4"/>
        </w:numPr>
        <w:rPr>
          <w:rFonts w:ascii="Arial" w:cs="Arial" w:eastAsia="Arial" w:hAnsi="Arial"/>
          <w:sz w:val="14"/>
          <w:szCs w:val="14"/>
          <w:color w:val="auto"/>
        </w:rPr>
      </w:pPr>
      <w:r>
        <w:rPr>
          <w:rFonts w:ascii="Arial" w:cs="Arial" w:eastAsia="Arial" w:hAnsi="Arial"/>
          <w:sz w:val="17"/>
          <w:szCs w:val="17"/>
          <w:color w:val="auto"/>
        </w:rPr>
        <w:t>Includes depreciation of property, plant and equipment and amortization of intangible assets, multiclient seismic data costs and SPM investments.</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270" w:right="239" w:bottom="1440" w:gutter="0" w:footer="0" w:header="0"/>
        </w:sectPr>
      </w:pPr>
    </w:p>
    <w:bookmarkStart w:id="14" w:name="page15"/>
    <w:bookmarkEnd w:id="14"/>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Condensed Consolidated Balance Sheet</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620" w:type="dxa"/>
            <w:vAlign w:val="bottom"/>
          </w:tcPr>
          <w:p>
            <w:pPr>
              <w:spacing w:after="0"/>
              <w:rPr>
                <w:sz w:val="14"/>
                <w:szCs w:val="14"/>
                <w:color w:val="auto"/>
              </w:rPr>
            </w:pPr>
          </w:p>
        </w:tc>
        <w:tc>
          <w:tcPr>
            <w:tcW w:w="4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gridSpan w:val="5"/>
          </w:tcPr>
          <w:p>
            <w:pPr>
              <w:jc w:val="center"/>
              <w:ind w:left="111"/>
              <w:spacing w:after="0"/>
              <w:rPr>
                <w:sz w:val="20"/>
                <w:szCs w:val="20"/>
                <w:color w:val="auto"/>
              </w:rPr>
            </w:pPr>
            <w:r>
              <w:rPr>
                <w:rFonts w:ascii="Arial" w:cs="Arial" w:eastAsia="Arial" w:hAnsi="Arial"/>
                <w:sz w:val="14"/>
                <w:szCs w:val="14"/>
                <w:color w:val="auto"/>
                <w:w w:val="95"/>
              </w:rPr>
              <w:t>(Stated in millions)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4720" w:type="dxa"/>
            <w:vAlign w:val="bottom"/>
          </w:tcPr>
          <w:p>
            <w:pPr>
              <w:spacing w:after="0"/>
              <w:rPr>
                <w:sz w:val="12"/>
                <w:szCs w:val="12"/>
                <w:color w:val="auto"/>
              </w:rPr>
            </w:pPr>
          </w:p>
        </w:tc>
        <w:tc>
          <w:tcPr>
            <w:tcW w:w="880" w:type="dxa"/>
            <w:vAlign w:val="bottom"/>
            <w:gridSpan w:val="3"/>
          </w:tcPr>
          <w:p>
            <w:pPr>
              <w:jc w:val="right"/>
              <w:ind w:right="320"/>
              <w:spacing w:after="0" w:line="149" w:lineRule="exact"/>
              <w:rPr>
                <w:sz w:val="20"/>
                <w:szCs w:val="20"/>
                <w:color w:val="auto"/>
              </w:rPr>
            </w:pPr>
            <w:r>
              <w:rPr>
                <w:rFonts w:ascii="Arial" w:cs="Arial" w:eastAsia="Arial" w:hAnsi="Arial"/>
                <w:sz w:val="14"/>
                <w:szCs w:val="14"/>
                <w:b w:val="1"/>
                <w:bCs w:val="1"/>
                <w:color w:val="auto"/>
              </w:rPr>
              <w:t>Mar. 31,</w:t>
            </w:r>
          </w:p>
        </w:tc>
        <w:tc>
          <w:tcPr>
            <w:tcW w:w="64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w w:val="99"/>
              </w:rPr>
              <w:t>Dec.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60" w:type="dxa"/>
            <w:vAlign w:val="bottom"/>
            <w:tcBorders>
              <w:bottom w:val="single" w:sz="8" w:color="CCEEFF"/>
            </w:tcBorders>
          </w:tcPr>
          <w:p>
            <w:pPr>
              <w:spacing w:after="0"/>
              <w:rPr>
                <w:sz w:val="14"/>
                <w:szCs w:val="14"/>
                <w:color w:val="auto"/>
              </w:rPr>
            </w:pPr>
          </w:p>
        </w:tc>
        <w:tc>
          <w:tcPr>
            <w:tcW w:w="1080" w:type="dxa"/>
            <w:vAlign w:val="bottom"/>
            <w:tcBorders>
              <w:bottom w:val="single" w:sz="8" w:color="CCEEFF"/>
            </w:tcBorders>
          </w:tcPr>
          <w:p>
            <w:pPr>
              <w:spacing w:after="0"/>
              <w:rPr>
                <w:sz w:val="14"/>
                <w:szCs w:val="14"/>
                <w:color w:val="auto"/>
              </w:rPr>
            </w:pPr>
          </w:p>
        </w:tc>
        <w:tc>
          <w:tcPr>
            <w:tcW w:w="3620" w:type="dxa"/>
            <w:vAlign w:val="bottom"/>
            <w:tcBorders>
              <w:bottom w:val="single" w:sz="8" w:color="CCEEFF"/>
            </w:tcBorders>
          </w:tcPr>
          <w:p>
            <w:pPr>
              <w:spacing w:after="0"/>
              <w:rPr>
                <w:sz w:val="14"/>
                <w:szCs w:val="14"/>
                <w:color w:val="auto"/>
              </w:rPr>
            </w:pPr>
          </w:p>
        </w:tc>
        <w:tc>
          <w:tcPr>
            <w:tcW w:w="47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71"/>
              <w:spacing w:after="0"/>
              <w:rPr>
                <w:sz w:val="20"/>
                <w:szCs w:val="20"/>
                <w:color w:val="auto"/>
              </w:rPr>
            </w:pPr>
            <w:r>
              <w:rPr>
                <w:rFonts w:ascii="Arial" w:cs="Arial" w:eastAsia="Arial" w:hAnsi="Arial"/>
                <w:sz w:val="14"/>
                <w:szCs w:val="14"/>
                <w:b w:val="1"/>
                <w:bCs w:val="1"/>
                <w:color w:val="auto"/>
              </w:rPr>
              <w:t>2017</w:t>
            </w:r>
          </w:p>
        </w:tc>
        <w:tc>
          <w:tcPr>
            <w:tcW w:w="28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51"/>
              <w:spacing w:after="0"/>
              <w:rPr>
                <w:sz w:val="20"/>
                <w:szCs w:val="20"/>
                <w:color w:val="auto"/>
              </w:rPr>
            </w:pPr>
            <w:r>
              <w:rPr>
                <w:rFonts w:ascii="Arial" w:cs="Arial" w:eastAsia="Arial" w:hAnsi="Arial"/>
                <w:sz w:val="14"/>
                <w:szCs w:val="14"/>
                <w:color w:val="auto"/>
              </w:rPr>
              <w:t>2016</w:t>
            </w:r>
          </w:p>
        </w:tc>
        <w:tc>
          <w:tcPr>
            <w:tcW w:w="6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60" w:type="dxa"/>
            <w:vAlign w:val="bottom"/>
            <w:tcBorders>
              <w:bottom w:val="single" w:sz="8" w:color="auto"/>
            </w:tcBorders>
            <w:shd w:val="clear" w:color="auto" w:fill="CCEEFF"/>
          </w:tcPr>
          <w:p>
            <w:pPr>
              <w:spacing w:after="0" w:line="156" w:lineRule="exact"/>
              <w:rPr>
                <w:sz w:val="20"/>
                <w:szCs w:val="20"/>
                <w:color w:val="auto"/>
              </w:rPr>
            </w:pPr>
            <w:r>
              <w:rPr>
                <w:rFonts w:ascii="Arial" w:cs="Arial" w:eastAsia="Arial" w:hAnsi="Arial"/>
                <w:sz w:val="18"/>
                <w:szCs w:val="18"/>
                <w:color w:val="auto"/>
                <w:w w:val="81"/>
              </w:rPr>
              <w:t>Assets</w:t>
            </w:r>
          </w:p>
        </w:tc>
        <w:tc>
          <w:tcPr>
            <w:tcW w:w="4700" w:type="dxa"/>
            <w:vAlign w:val="bottom"/>
            <w:tcBorders>
              <w:bottom w:val="single" w:sz="8" w:color="CCEEFF"/>
            </w:tcBorders>
            <w:gridSpan w:val="2"/>
            <w:shd w:val="clear" w:color="auto" w:fill="CCEEFF"/>
          </w:tcPr>
          <w:p>
            <w:pPr>
              <w:spacing w:after="0"/>
              <w:rPr>
                <w:sz w:val="15"/>
                <w:szCs w:val="15"/>
                <w:color w:val="auto"/>
              </w:rPr>
            </w:pPr>
          </w:p>
        </w:tc>
        <w:tc>
          <w:tcPr>
            <w:tcW w:w="47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50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50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gridSpan w:val="3"/>
          </w:tcPr>
          <w:p>
            <w:pPr>
              <w:spacing w:after="0"/>
              <w:rPr>
                <w:sz w:val="20"/>
                <w:szCs w:val="20"/>
                <w:color w:val="auto"/>
              </w:rPr>
            </w:pPr>
            <w:r>
              <w:rPr>
                <w:rFonts w:ascii="Arial" w:cs="Arial" w:eastAsia="Arial" w:hAnsi="Arial"/>
                <w:sz w:val="18"/>
                <w:szCs w:val="18"/>
                <w:color w:val="auto"/>
              </w:rPr>
              <w:t>Current Assets</w:t>
            </w:r>
          </w:p>
        </w:tc>
        <w:tc>
          <w:tcPr>
            <w:tcW w:w="4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Cash and short-term investments</w:t>
            </w:r>
          </w:p>
        </w:tc>
        <w:tc>
          <w:tcPr>
            <w:tcW w:w="48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7,353</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9,257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gridSpan w:val="3"/>
          </w:tcPr>
          <w:p>
            <w:pPr>
              <w:ind w:left="340"/>
              <w:spacing w:after="0"/>
              <w:rPr>
                <w:sz w:val="20"/>
                <w:szCs w:val="20"/>
                <w:color w:val="auto"/>
              </w:rPr>
            </w:pPr>
            <w:r>
              <w:rPr>
                <w:rFonts w:ascii="Arial" w:cs="Arial" w:eastAsia="Arial" w:hAnsi="Arial"/>
                <w:sz w:val="18"/>
                <w:szCs w:val="18"/>
                <w:color w:val="auto"/>
              </w:rPr>
              <w:t>Receivables</w:t>
            </w:r>
          </w:p>
        </w:tc>
        <w:tc>
          <w:tcPr>
            <w:tcW w:w="4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8,636</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9,387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Other current assets</w:t>
            </w:r>
          </w:p>
        </w:tc>
        <w:tc>
          <w:tcPr>
            <w:tcW w:w="4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5,894</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5,283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3620" w:type="dxa"/>
            <w:vAlign w:val="bottom"/>
          </w:tcPr>
          <w:p>
            <w:pPr>
              <w:spacing w:after="0"/>
              <w:rPr>
                <w:sz w:val="19"/>
                <w:szCs w:val="19"/>
                <w:color w:val="auto"/>
              </w:rPr>
            </w:pPr>
          </w:p>
        </w:tc>
        <w:tc>
          <w:tcPr>
            <w:tcW w:w="47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87"/>
              </w:rPr>
              <w:t>21,883</w:t>
            </w:r>
          </w:p>
        </w:tc>
        <w:tc>
          <w:tcPr>
            <w:tcW w:w="28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7"/>
              </w:rPr>
              <w:t>23,927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Fixed income investments, held to maturity</w:t>
            </w:r>
          </w:p>
        </w:tc>
        <w:tc>
          <w:tcPr>
            <w:tcW w:w="4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238</w:t>
            </w: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gridSpan w:val="3"/>
          </w:tcPr>
          <w:p>
            <w:pPr>
              <w:spacing w:after="0"/>
              <w:rPr>
                <w:sz w:val="20"/>
                <w:szCs w:val="20"/>
                <w:color w:val="auto"/>
              </w:rPr>
            </w:pPr>
            <w:r>
              <w:rPr>
                <w:rFonts w:ascii="Arial" w:cs="Arial" w:eastAsia="Arial" w:hAnsi="Arial"/>
                <w:sz w:val="18"/>
                <w:szCs w:val="18"/>
                <w:color w:val="auto"/>
              </w:rPr>
              <w:t>Fixed assets</w:t>
            </w:r>
          </w:p>
        </w:tc>
        <w:tc>
          <w:tcPr>
            <w:tcW w:w="4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w w:val="87"/>
              </w:rPr>
              <w:t>12,507</w:t>
            </w:r>
          </w:p>
        </w:tc>
        <w:tc>
          <w:tcPr>
            <w:tcW w:w="80" w:type="dxa"/>
            <w:vAlign w:val="bottom"/>
          </w:tcPr>
          <w:p>
            <w:pPr>
              <w:spacing w:after="0"/>
              <w:rPr>
                <w:sz w:val="18"/>
                <w:szCs w:val="18"/>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w w:val="87"/>
              </w:rPr>
              <w:t>12,821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Multiclient seismic data</w:t>
            </w:r>
          </w:p>
        </w:tc>
        <w:tc>
          <w:tcPr>
            <w:tcW w:w="4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1,089</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gridSpan w:val="3"/>
          </w:tcPr>
          <w:p>
            <w:pPr>
              <w:spacing w:after="0"/>
              <w:rPr>
                <w:sz w:val="20"/>
                <w:szCs w:val="20"/>
                <w:color w:val="auto"/>
              </w:rPr>
            </w:pPr>
            <w:r>
              <w:rPr>
                <w:rFonts w:ascii="Arial" w:cs="Arial" w:eastAsia="Arial" w:hAnsi="Arial"/>
                <w:sz w:val="18"/>
                <w:szCs w:val="18"/>
                <w:color w:val="auto"/>
              </w:rPr>
              <w:t>Goodwill</w:t>
            </w:r>
          </w:p>
        </w:tc>
        <w:tc>
          <w:tcPr>
            <w:tcW w:w="4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w w:val="87"/>
              </w:rPr>
              <w:t>25,045</w:t>
            </w:r>
          </w:p>
        </w:tc>
        <w:tc>
          <w:tcPr>
            <w:tcW w:w="80" w:type="dxa"/>
            <w:vAlign w:val="bottom"/>
          </w:tcPr>
          <w:p>
            <w:pPr>
              <w:spacing w:after="0"/>
              <w:rPr>
                <w:sz w:val="18"/>
                <w:szCs w:val="18"/>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w w:val="87"/>
              </w:rPr>
              <w:t>24,990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Intangible assets</w:t>
            </w:r>
          </w:p>
        </w:tc>
        <w:tc>
          <w:tcPr>
            <w:tcW w:w="4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9,743</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9,855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gridSpan w:val="3"/>
          </w:tcPr>
          <w:p>
            <w:pPr>
              <w:spacing w:after="0"/>
              <w:rPr>
                <w:sz w:val="20"/>
                <w:szCs w:val="20"/>
                <w:color w:val="auto"/>
              </w:rPr>
            </w:pPr>
            <w:r>
              <w:rPr>
                <w:rFonts w:ascii="Arial" w:cs="Arial" w:eastAsia="Arial" w:hAnsi="Arial"/>
                <w:sz w:val="18"/>
                <w:szCs w:val="18"/>
                <w:color w:val="auto"/>
              </w:rPr>
              <w:t>Other assets</w:t>
            </w:r>
          </w:p>
        </w:tc>
        <w:tc>
          <w:tcPr>
            <w:tcW w:w="4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5,670</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5,052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620" w:type="dxa"/>
            <w:vAlign w:val="bottom"/>
          </w:tcPr>
          <w:p>
            <w:pPr>
              <w:spacing w:after="0"/>
              <w:rPr>
                <w:sz w:val="2"/>
                <w:szCs w:val="2"/>
                <w:color w:val="auto"/>
              </w:rPr>
            </w:pPr>
          </w:p>
        </w:tc>
        <w:tc>
          <w:tcPr>
            <w:tcW w:w="47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3620" w:type="dxa"/>
            <w:vAlign w:val="bottom"/>
            <w:shd w:val="clear" w:color="auto" w:fill="CCEEFF"/>
          </w:tcPr>
          <w:p>
            <w:pPr>
              <w:spacing w:after="0"/>
              <w:rPr>
                <w:sz w:val="18"/>
                <w:szCs w:val="18"/>
                <w:color w:val="auto"/>
              </w:rPr>
            </w:pPr>
          </w:p>
        </w:tc>
        <w:tc>
          <w:tcPr>
            <w:tcW w:w="47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w w:val="79"/>
              </w:rPr>
              <w:t>$</w:t>
            </w: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w w:val="87"/>
              </w:rPr>
              <w:t>76,175</w:t>
            </w:r>
          </w:p>
        </w:tc>
        <w:tc>
          <w:tcPr>
            <w:tcW w:w="80" w:type="dxa"/>
            <w:vAlign w:val="bottom"/>
            <w:shd w:val="clear" w:color="auto" w:fill="CCEEFF"/>
          </w:tcPr>
          <w:p>
            <w:pPr>
              <w:jc w:val="center"/>
              <w:spacing w:after="0"/>
              <w:rPr>
                <w:sz w:val="20"/>
                <w:szCs w:val="20"/>
                <w:color w:val="auto"/>
              </w:rPr>
            </w:pPr>
            <w:r>
              <w:rPr>
                <w:rFonts w:ascii="Arial" w:cs="Arial" w:eastAsia="Arial" w:hAnsi="Arial"/>
                <w:sz w:val="18"/>
                <w:szCs w:val="18"/>
                <w:u w:val="single" w:color="auto"/>
                <w:color w:val="auto"/>
                <w:w w:val="79"/>
              </w:rPr>
              <w:t>$</w:t>
            </w: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7"/>
              </w:rPr>
              <w:t>77,956</w:t>
            </w:r>
          </w:p>
        </w:tc>
        <w:tc>
          <w:tcPr>
            <w:tcW w:w="0" w:type="dxa"/>
            <w:vAlign w:val="bottom"/>
          </w:tcPr>
          <w:p>
            <w:pPr>
              <w:spacing w:after="0"/>
              <w:rPr>
                <w:sz w:val="1"/>
                <w:szCs w:val="1"/>
                <w:color w:val="auto"/>
              </w:rPr>
            </w:pPr>
          </w:p>
        </w:tc>
      </w:tr>
      <w:tr>
        <w:trPr>
          <w:trHeight w:val="20"/>
        </w:trPr>
        <w:tc>
          <w:tcPr>
            <w:tcW w:w="5180" w:type="dxa"/>
            <w:vAlign w:val="bottom"/>
            <w:gridSpan w:val="4"/>
            <w:vMerge w:val="restart"/>
          </w:tcPr>
          <w:p>
            <w:pPr>
              <w:spacing w:after="0"/>
              <w:rPr>
                <w:sz w:val="20"/>
                <w:szCs w:val="20"/>
                <w:color w:val="auto"/>
              </w:rPr>
            </w:pPr>
            <w:r>
              <w:rPr>
                <w:rFonts w:ascii="Arial" w:cs="Arial" w:eastAsia="Arial" w:hAnsi="Arial"/>
                <w:sz w:val="18"/>
                <w:szCs w:val="18"/>
                <w:color w:val="auto"/>
              </w:rPr>
              <w:t>Liabilities and Equity</w:t>
            </w:r>
          </w:p>
        </w:tc>
        <w:tc>
          <w:tcPr>
            <w:tcW w:w="47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5180" w:type="dxa"/>
            <w:vAlign w:val="bottom"/>
            <w:gridSpan w:val="4"/>
            <w:vMerge w:val="continue"/>
          </w:tcPr>
          <w:p>
            <w:pPr>
              <w:spacing w:after="0"/>
              <w:rPr>
                <w:sz w:val="24"/>
                <w:szCs w:val="24"/>
                <w:color w:val="auto"/>
              </w:rPr>
            </w:pPr>
          </w:p>
        </w:tc>
        <w:tc>
          <w:tcPr>
            <w:tcW w:w="4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460" w:type="dxa"/>
            <w:vAlign w:val="bottom"/>
            <w:tcBorders>
              <w:top w:val="single" w:sz="8" w:color="auto"/>
            </w:tcBorders>
          </w:tcPr>
          <w:p>
            <w:pPr>
              <w:spacing w:after="0" w:line="20" w:lineRule="exact"/>
              <w:rPr>
                <w:sz w:val="1"/>
                <w:szCs w:val="1"/>
                <w:color w:val="auto"/>
              </w:rPr>
            </w:pPr>
          </w:p>
        </w:tc>
        <w:tc>
          <w:tcPr>
            <w:tcW w:w="1080" w:type="dxa"/>
            <w:vAlign w:val="bottom"/>
            <w:tcBorders>
              <w:top w:val="single" w:sz="8" w:color="auto"/>
            </w:tcBorders>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4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gridSpan w:val="3"/>
          </w:tcPr>
          <w:p>
            <w:pPr>
              <w:ind w:left="340"/>
              <w:spacing w:after="0"/>
              <w:rPr>
                <w:sz w:val="20"/>
                <w:szCs w:val="20"/>
                <w:color w:val="auto"/>
              </w:rPr>
            </w:pPr>
            <w:r>
              <w:rPr>
                <w:rFonts w:ascii="Arial" w:cs="Arial" w:eastAsia="Arial" w:hAnsi="Arial"/>
                <w:sz w:val="18"/>
                <w:szCs w:val="18"/>
                <w:color w:val="auto"/>
              </w:rPr>
              <w:t>Accounts payable and accrued liabilities</w:t>
            </w:r>
          </w:p>
        </w:tc>
        <w:tc>
          <w:tcPr>
            <w:tcW w:w="482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9,408</w:t>
            </w:r>
          </w:p>
        </w:tc>
        <w:tc>
          <w:tcPr>
            <w:tcW w:w="280" w:type="dxa"/>
            <w:vAlign w:val="bottom"/>
          </w:tcPr>
          <w:p>
            <w:pPr>
              <w:spacing w:after="0"/>
              <w:rPr>
                <w:sz w:val="18"/>
                <w:szCs w:val="18"/>
                <w:color w:val="auto"/>
              </w:rPr>
            </w:pPr>
          </w:p>
        </w:tc>
        <w:tc>
          <w:tcPr>
            <w:tcW w:w="80" w:type="dxa"/>
            <w:vAlign w:val="bottom"/>
          </w:tcPr>
          <w:p>
            <w:pPr>
              <w:jc w:val="center"/>
              <w:spacing w:after="0"/>
              <w:rPr>
                <w:sz w:val="20"/>
                <w:szCs w:val="20"/>
                <w:color w:val="auto"/>
              </w:rPr>
            </w:pPr>
            <w:r>
              <w:rPr>
                <w:rFonts w:ascii="Arial" w:cs="Arial" w:eastAsia="Arial" w:hAnsi="Arial"/>
                <w:sz w:val="18"/>
                <w:szCs w:val="18"/>
                <w:color w:val="auto"/>
                <w:w w:val="79"/>
              </w:rPr>
              <w:t>$</w:t>
            </w: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w w:val="87"/>
              </w:rPr>
              <w:t>10,016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Estimated liability for taxes on income</w:t>
            </w:r>
          </w:p>
        </w:tc>
        <w:tc>
          <w:tcPr>
            <w:tcW w:w="4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1,215</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gridSpan w:val="3"/>
          </w:tcPr>
          <w:p>
            <w:pPr>
              <w:ind w:left="340"/>
              <w:spacing w:after="0"/>
              <w:rPr>
                <w:sz w:val="20"/>
                <w:szCs w:val="20"/>
                <w:color w:val="auto"/>
              </w:rPr>
            </w:pPr>
            <w:r>
              <w:rPr>
                <w:rFonts w:ascii="Arial" w:cs="Arial" w:eastAsia="Arial" w:hAnsi="Arial"/>
                <w:sz w:val="18"/>
                <w:szCs w:val="18"/>
                <w:color w:val="auto"/>
              </w:rPr>
              <w:t>Short-term borrowings and current portion of long-term debt</w:t>
            </w:r>
          </w:p>
        </w:tc>
        <w:tc>
          <w:tcPr>
            <w:tcW w:w="4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2,449</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3,153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Dividends payable</w:t>
            </w:r>
          </w:p>
        </w:tc>
        <w:tc>
          <w:tcPr>
            <w:tcW w:w="4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704</w:t>
            </w: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702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3620" w:type="dxa"/>
            <w:vAlign w:val="bottom"/>
          </w:tcPr>
          <w:p>
            <w:pPr>
              <w:spacing w:after="0"/>
              <w:rPr>
                <w:sz w:val="19"/>
                <w:szCs w:val="19"/>
                <w:color w:val="auto"/>
              </w:rPr>
            </w:pPr>
          </w:p>
        </w:tc>
        <w:tc>
          <w:tcPr>
            <w:tcW w:w="47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87"/>
              </w:rPr>
              <w:t>13,776</w:t>
            </w:r>
          </w:p>
        </w:tc>
        <w:tc>
          <w:tcPr>
            <w:tcW w:w="28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7"/>
              </w:rPr>
              <w:t>15,059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Long-term debt</w:t>
            </w:r>
          </w:p>
        </w:tc>
        <w:tc>
          <w:tcPr>
            <w:tcW w:w="4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w w:val="87"/>
              </w:rPr>
              <w:t>16,538</w:t>
            </w: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7"/>
              </w:rPr>
              <w:t>16,463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gridSpan w:val="3"/>
          </w:tcPr>
          <w:p>
            <w:pPr>
              <w:spacing w:after="0"/>
              <w:rPr>
                <w:sz w:val="20"/>
                <w:szCs w:val="20"/>
                <w:color w:val="auto"/>
              </w:rPr>
            </w:pPr>
            <w:r>
              <w:rPr>
                <w:rFonts w:ascii="Arial" w:cs="Arial" w:eastAsia="Arial" w:hAnsi="Arial"/>
                <w:sz w:val="18"/>
                <w:szCs w:val="18"/>
                <w:color w:val="auto"/>
              </w:rPr>
              <w:t>Deferred taxes</w:t>
            </w:r>
          </w:p>
        </w:tc>
        <w:tc>
          <w:tcPr>
            <w:tcW w:w="4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1,908</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1,880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Postretirement benefits</w:t>
            </w:r>
          </w:p>
        </w:tc>
        <w:tc>
          <w:tcPr>
            <w:tcW w:w="4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1,457</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gridSpan w:val="3"/>
          </w:tcPr>
          <w:p>
            <w:pPr>
              <w:spacing w:after="0"/>
              <w:rPr>
                <w:sz w:val="20"/>
                <w:szCs w:val="20"/>
                <w:color w:val="auto"/>
              </w:rPr>
            </w:pPr>
            <w:r>
              <w:rPr>
                <w:rFonts w:ascii="Arial" w:cs="Arial" w:eastAsia="Arial" w:hAnsi="Arial"/>
                <w:sz w:val="18"/>
                <w:szCs w:val="18"/>
                <w:color w:val="auto"/>
              </w:rPr>
              <w:t>Other liabilities</w:t>
            </w:r>
          </w:p>
        </w:tc>
        <w:tc>
          <w:tcPr>
            <w:tcW w:w="4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1,442</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1,530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620" w:type="dxa"/>
            <w:vAlign w:val="bottom"/>
          </w:tcPr>
          <w:p>
            <w:pPr>
              <w:spacing w:after="0"/>
              <w:rPr>
                <w:sz w:val="2"/>
                <w:szCs w:val="2"/>
                <w:color w:val="auto"/>
              </w:rPr>
            </w:pPr>
          </w:p>
        </w:tc>
        <w:tc>
          <w:tcPr>
            <w:tcW w:w="47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3620" w:type="dxa"/>
            <w:vAlign w:val="bottom"/>
            <w:shd w:val="clear" w:color="auto" w:fill="CCEEFF"/>
          </w:tcPr>
          <w:p>
            <w:pPr>
              <w:spacing w:after="0"/>
              <w:rPr>
                <w:sz w:val="18"/>
                <w:szCs w:val="18"/>
                <w:color w:val="auto"/>
              </w:rPr>
            </w:pPr>
          </w:p>
        </w:tc>
        <w:tc>
          <w:tcPr>
            <w:tcW w:w="4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w w:val="87"/>
              </w:rPr>
              <w:t>35,121</w:t>
            </w: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7"/>
              </w:rPr>
              <w:t>36,427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gridSpan w:val="3"/>
          </w:tcPr>
          <w:p>
            <w:pPr>
              <w:spacing w:after="0"/>
              <w:rPr>
                <w:sz w:val="20"/>
                <w:szCs w:val="20"/>
                <w:color w:val="auto"/>
              </w:rPr>
            </w:pPr>
            <w:r>
              <w:rPr>
                <w:rFonts w:ascii="Arial" w:cs="Arial" w:eastAsia="Arial" w:hAnsi="Arial"/>
                <w:sz w:val="18"/>
                <w:szCs w:val="18"/>
                <w:color w:val="auto"/>
              </w:rPr>
              <w:t>Equity</w:t>
            </w:r>
          </w:p>
        </w:tc>
        <w:tc>
          <w:tcPr>
            <w:tcW w:w="4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w w:val="87"/>
              </w:rPr>
              <w:t>41,054</w:t>
            </w:r>
          </w:p>
        </w:tc>
        <w:tc>
          <w:tcPr>
            <w:tcW w:w="80" w:type="dxa"/>
            <w:vAlign w:val="bottom"/>
          </w:tcPr>
          <w:p>
            <w:pPr>
              <w:spacing w:after="0"/>
              <w:rPr>
                <w:sz w:val="18"/>
                <w:szCs w:val="18"/>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w w:val="87"/>
              </w:rPr>
              <w:t>41,529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620" w:type="dxa"/>
            <w:vAlign w:val="bottom"/>
          </w:tcPr>
          <w:p>
            <w:pPr>
              <w:spacing w:after="0"/>
              <w:rPr>
                <w:sz w:val="2"/>
                <w:szCs w:val="2"/>
                <w:color w:val="auto"/>
              </w:rPr>
            </w:pPr>
          </w:p>
        </w:tc>
        <w:tc>
          <w:tcPr>
            <w:tcW w:w="47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3620" w:type="dxa"/>
            <w:vAlign w:val="bottom"/>
            <w:shd w:val="clear" w:color="auto" w:fill="CCEEFF"/>
          </w:tcPr>
          <w:p>
            <w:pPr>
              <w:spacing w:after="0"/>
              <w:rPr>
                <w:sz w:val="18"/>
                <w:szCs w:val="18"/>
                <w:color w:val="auto"/>
              </w:rPr>
            </w:pPr>
          </w:p>
        </w:tc>
        <w:tc>
          <w:tcPr>
            <w:tcW w:w="47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w w:val="79"/>
              </w:rPr>
              <w:t>$</w:t>
            </w: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w w:val="87"/>
              </w:rPr>
              <w:t>76,175</w:t>
            </w:r>
          </w:p>
        </w:tc>
        <w:tc>
          <w:tcPr>
            <w:tcW w:w="80" w:type="dxa"/>
            <w:vAlign w:val="bottom"/>
            <w:shd w:val="clear" w:color="auto" w:fill="CCEEFF"/>
          </w:tcPr>
          <w:p>
            <w:pPr>
              <w:jc w:val="center"/>
              <w:spacing w:after="0"/>
              <w:rPr>
                <w:sz w:val="20"/>
                <w:szCs w:val="20"/>
                <w:color w:val="auto"/>
              </w:rPr>
            </w:pPr>
            <w:r>
              <w:rPr>
                <w:rFonts w:ascii="Arial" w:cs="Arial" w:eastAsia="Arial" w:hAnsi="Arial"/>
                <w:sz w:val="18"/>
                <w:szCs w:val="18"/>
                <w:u w:val="single" w:color="auto"/>
                <w:color w:val="auto"/>
                <w:w w:val="79"/>
              </w:rPr>
              <w:t>$</w:t>
            </w: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7"/>
              </w:rPr>
              <w:t>77,956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4720" w:type="dxa"/>
            <w:vAlign w:val="bottom"/>
            <w:vMerge w:val="restart"/>
          </w:tcPr>
          <w:p>
            <w:pPr>
              <w:jc w:val="right"/>
              <w:ind w:right="4010"/>
              <w:spacing w:after="0"/>
              <w:rPr>
                <w:sz w:val="20"/>
                <w:szCs w:val="20"/>
                <w:color w:val="auto"/>
              </w:rPr>
            </w:pPr>
            <w:r>
              <w:rPr>
                <w:rFonts w:ascii="Arial" w:cs="Arial" w:eastAsia="Arial" w:hAnsi="Arial"/>
                <w:sz w:val="18"/>
                <w:szCs w:val="18"/>
                <w:color w:val="auto"/>
              </w:rPr>
              <w:t>12</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472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0" w:right="239" w:bottom="1440" w:gutter="0" w:footer="0" w:header="0"/>
        </w:sectPr>
      </w:pPr>
    </w:p>
    <w:bookmarkStart w:id="15" w:name="page16"/>
    <w:bookmarkEnd w:id="15"/>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Liquidity</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gridSpan w:val="3"/>
            <w:vMerge w:val="restart"/>
          </w:tcPr>
          <w:p>
            <w:pPr>
              <w:jc w:val="right"/>
              <w:ind w:right="180"/>
              <w:spacing w:after="0"/>
              <w:rPr>
                <w:sz w:val="20"/>
                <w:szCs w:val="20"/>
                <w:color w:val="auto"/>
              </w:rPr>
            </w:pPr>
            <w:r>
              <w:rPr>
                <w:rFonts w:ascii="Arial" w:cs="Arial" w:eastAsia="Arial" w:hAnsi="Arial"/>
                <w:sz w:val="14"/>
                <w:szCs w:val="14"/>
                <w:b w:val="1"/>
                <w:bCs w:val="1"/>
                <w:color w:val="auto"/>
              </w:rPr>
              <w:t>Mar. 31,</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40" w:type="dxa"/>
            <w:vAlign w:val="bottom"/>
            <w:gridSpan w:val="9"/>
          </w:tcPr>
          <w:p>
            <w:pPr>
              <w:jc w:val="right"/>
              <w:ind w:right="100"/>
              <w:spacing w:after="0"/>
              <w:rPr>
                <w:sz w:val="20"/>
                <w:szCs w:val="20"/>
                <w:color w:val="auto"/>
              </w:rPr>
            </w:pPr>
            <w:r>
              <w:rPr>
                <w:rFonts w:ascii="Arial" w:cs="Arial" w:eastAsia="Arial" w:hAnsi="Arial"/>
                <w:sz w:val="14"/>
                <w:szCs w:val="14"/>
                <w:color w:val="auto"/>
                <w:w w:val="97"/>
              </w:rPr>
              <w:t>(Stated in millions)</w:t>
            </w:r>
          </w:p>
        </w:tc>
        <w:tc>
          <w:tcPr>
            <w:tcW w:w="0" w:type="dxa"/>
            <w:vAlign w:val="bottom"/>
          </w:tcPr>
          <w:p>
            <w:pPr>
              <w:spacing w:after="0"/>
              <w:rPr>
                <w:sz w:val="1"/>
                <w:szCs w:val="1"/>
                <w:color w:val="auto"/>
              </w:rPr>
            </w:pPr>
          </w:p>
        </w:tc>
      </w:tr>
      <w:tr>
        <w:trPr>
          <w:trHeight w:val="145"/>
        </w:trPr>
        <w:tc>
          <w:tcPr>
            <w:tcW w:w="920" w:type="dxa"/>
            <w:vAlign w:val="bottom"/>
          </w:tcPr>
          <w:p>
            <w:pPr>
              <w:spacing w:after="0"/>
              <w:rPr>
                <w:sz w:val="12"/>
                <w:szCs w:val="12"/>
                <w:color w:val="auto"/>
              </w:rPr>
            </w:pPr>
          </w:p>
        </w:tc>
        <w:tc>
          <w:tcPr>
            <w:tcW w:w="6340" w:type="dxa"/>
            <w:vAlign w:val="bottom"/>
            <w:gridSpan w:val="4"/>
            <w:vMerge w:val="restart"/>
          </w:tcPr>
          <w:p>
            <w:pPr>
              <w:spacing w:after="0"/>
              <w:rPr>
                <w:sz w:val="20"/>
                <w:szCs w:val="20"/>
                <w:color w:val="auto"/>
              </w:rPr>
            </w:pPr>
            <w:r>
              <w:rPr>
                <w:rFonts w:ascii="Arial" w:cs="Arial" w:eastAsia="Arial" w:hAnsi="Arial"/>
                <w:sz w:val="14"/>
                <w:szCs w:val="14"/>
                <w:color w:val="auto"/>
              </w:rPr>
              <w:t>Components of Liquidity</w:t>
            </w:r>
          </w:p>
        </w:tc>
        <w:tc>
          <w:tcPr>
            <w:tcW w:w="220" w:type="dxa"/>
            <w:vAlign w:val="bottom"/>
          </w:tcPr>
          <w:p>
            <w:pPr>
              <w:spacing w:after="0"/>
              <w:rPr>
                <w:sz w:val="12"/>
                <w:szCs w:val="12"/>
                <w:color w:val="auto"/>
              </w:rPr>
            </w:pPr>
          </w:p>
        </w:tc>
        <w:tc>
          <w:tcPr>
            <w:tcW w:w="760" w:type="dxa"/>
            <w:vAlign w:val="bottom"/>
            <w:gridSpan w:val="3"/>
            <w:vMerge w:val="continue"/>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gridSpan w:val="3"/>
          </w:tcPr>
          <w:p>
            <w:pPr>
              <w:jc w:val="right"/>
              <w:ind w:right="88"/>
              <w:spacing w:after="0" w:line="145" w:lineRule="exact"/>
              <w:rPr>
                <w:sz w:val="20"/>
                <w:szCs w:val="20"/>
                <w:color w:val="auto"/>
              </w:rPr>
            </w:pPr>
            <w:r>
              <w:rPr>
                <w:rFonts w:ascii="Arial" w:cs="Arial" w:eastAsia="Arial" w:hAnsi="Arial"/>
                <w:sz w:val="14"/>
                <w:szCs w:val="14"/>
                <w:color w:val="auto"/>
                <w:w w:val="91"/>
              </w:rPr>
              <w:t>Dec. 31,</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60" w:type="dxa"/>
            <w:vAlign w:val="bottom"/>
            <w:gridSpan w:val="5"/>
          </w:tcPr>
          <w:p>
            <w:pPr>
              <w:jc w:val="right"/>
              <w:ind w:right="200"/>
              <w:spacing w:after="0" w:line="145" w:lineRule="exact"/>
              <w:rPr>
                <w:sz w:val="20"/>
                <w:szCs w:val="20"/>
                <w:color w:val="auto"/>
              </w:rPr>
            </w:pPr>
            <w:r>
              <w:rPr>
                <w:rFonts w:ascii="Arial" w:cs="Arial" w:eastAsia="Arial" w:hAnsi="Arial"/>
                <w:sz w:val="14"/>
                <w:szCs w:val="14"/>
                <w:color w:val="auto"/>
              </w:rPr>
              <w:t>Mar. 31,</w:t>
            </w:r>
          </w:p>
        </w:tc>
        <w:tc>
          <w:tcPr>
            <w:tcW w:w="0" w:type="dxa"/>
            <w:vAlign w:val="bottom"/>
          </w:tcPr>
          <w:p>
            <w:pPr>
              <w:spacing w:after="0"/>
              <w:rPr>
                <w:sz w:val="1"/>
                <w:szCs w:val="1"/>
                <w:color w:val="auto"/>
              </w:rPr>
            </w:pPr>
          </w:p>
        </w:tc>
      </w:tr>
      <w:tr>
        <w:trPr>
          <w:trHeight w:val="158"/>
        </w:trPr>
        <w:tc>
          <w:tcPr>
            <w:tcW w:w="920" w:type="dxa"/>
            <w:vAlign w:val="bottom"/>
          </w:tcPr>
          <w:p>
            <w:pPr>
              <w:spacing w:after="0"/>
              <w:rPr>
                <w:sz w:val="13"/>
                <w:szCs w:val="13"/>
                <w:color w:val="auto"/>
              </w:rPr>
            </w:pPr>
          </w:p>
        </w:tc>
        <w:tc>
          <w:tcPr>
            <w:tcW w:w="6340" w:type="dxa"/>
            <w:vAlign w:val="bottom"/>
            <w:gridSpan w:val="4"/>
            <w:vMerge w:val="continue"/>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jc w:val="right"/>
              <w:ind w:right="93"/>
              <w:spacing w:after="0" w:line="158" w:lineRule="exact"/>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gridSpan w:val="2"/>
          </w:tcPr>
          <w:p>
            <w:pPr>
              <w:jc w:val="right"/>
              <w:ind w:right="180"/>
              <w:spacing w:after="0" w:line="158" w:lineRule="exact"/>
              <w:rPr>
                <w:sz w:val="20"/>
                <w:szCs w:val="20"/>
                <w:color w:val="auto"/>
              </w:rPr>
            </w:pPr>
            <w:r>
              <w:rPr>
                <w:rFonts w:ascii="Arial" w:cs="Arial" w:eastAsia="Arial" w:hAnsi="Arial"/>
                <w:sz w:val="14"/>
                <w:szCs w:val="14"/>
                <w:color w:val="auto"/>
              </w:rPr>
              <w:t>2016</w:t>
            </w: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gridSpan w:val="3"/>
          </w:tcPr>
          <w:p>
            <w:pPr>
              <w:jc w:val="right"/>
              <w:ind w:right="200"/>
              <w:spacing w:after="0" w:line="158" w:lineRule="exact"/>
              <w:rPr>
                <w:sz w:val="20"/>
                <w:szCs w:val="20"/>
                <w:color w:val="auto"/>
              </w:rPr>
            </w:pPr>
            <w:r>
              <w:rPr>
                <w:rFonts w:ascii="Arial" w:cs="Arial" w:eastAsia="Arial" w:hAnsi="Arial"/>
                <w:sz w:val="14"/>
                <w:szCs w:val="14"/>
                <w:color w:val="auto"/>
              </w:rPr>
              <w:t>2016</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460" w:type="dxa"/>
            <w:vAlign w:val="bottom"/>
            <w:tcBorders>
              <w:bottom w:val="single" w:sz="8" w:color="CCEEFF"/>
            </w:tcBorders>
            <w:shd w:val="clear" w:color="auto" w:fill="000000"/>
          </w:tcPr>
          <w:p>
            <w:pPr>
              <w:spacing w:after="0" w:line="20" w:lineRule="exact"/>
              <w:rPr>
                <w:sz w:val="1"/>
                <w:szCs w:val="1"/>
                <w:color w:val="auto"/>
              </w:rPr>
            </w:pPr>
          </w:p>
        </w:tc>
        <w:tc>
          <w:tcPr>
            <w:tcW w:w="1000" w:type="dxa"/>
            <w:vAlign w:val="bottom"/>
            <w:tcBorders>
              <w:bottom w:val="single" w:sz="8" w:color="CCEEFF"/>
            </w:tcBorders>
            <w:shd w:val="clear" w:color="auto" w:fill="000000"/>
          </w:tcPr>
          <w:p>
            <w:pPr>
              <w:spacing w:after="0" w:line="20" w:lineRule="exact"/>
              <w:rPr>
                <w:sz w:val="1"/>
                <w:szCs w:val="1"/>
                <w:color w:val="auto"/>
              </w:rPr>
            </w:pPr>
          </w:p>
        </w:tc>
        <w:tc>
          <w:tcPr>
            <w:tcW w:w="460" w:type="dxa"/>
            <w:vAlign w:val="bottom"/>
            <w:tcBorders>
              <w:bottom w:val="single" w:sz="8" w:color="CCEEFF"/>
            </w:tcBorders>
          </w:tcPr>
          <w:p>
            <w:pPr>
              <w:spacing w:after="0" w:line="20" w:lineRule="exact"/>
              <w:rPr>
                <w:sz w:val="1"/>
                <w:szCs w:val="1"/>
                <w:color w:val="auto"/>
              </w:rPr>
            </w:pPr>
          </w:p>
        </w:tc>
        <w:tc>
          <w:tcPr>
            <w:tcW w:w="44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920" w:type="dxa"/>
            <w:vAlign w:val="bottom"/>
          </w:tcPr>
          <w:p>
            <w:pPr>
              <w:spacing w:after="0"/>
              <w:rPr>
                <w:sz w:val="17"/>
                <w:szCs w:val="17"/>
                <w:color w:val="auto"/>
              </w:rPr>
            </w:pPr>
          </w:p>
        </w:tc>
        <w:tc>
          <w:tcPr>
            <w:tcW w:w="6340" w:type="dxa"/>
            <w:vAlign w:val="bottom"/>
            <w:gridSpan w:val="4"/>
            <w:shd w:val="clear" w:color="auto" w:fill="CCEEFF"/>
          </w:tcPr>
          <w:p>
            <w:pPr>
              <w:spacing w:after="0" w:line="203" w:lineRule="exact"/>
              <w:rPr>
                <w:sz w:val="20"/>
                <w:szCs w:val="20"/>
                <w:color w:val="auto"/>
              </w:rPr>
            </w:pPr>
            <w:r>
              <w:rPr>
                <w:rFonts w:ascii="Arial" w:cs="Arial" w:eastAsia="Arial" w:hAnsi="Arial"/>
                <w:sz w:val="18"/>
                <w:szCs w:val="18"/>
                <w:color w:val="auto"/>
              </w:rPr>
              <w:t>Cash and short-term investments</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5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b w:val="1"/>
                <w:bCs w:val="1"/>
                <w:color w:val="auto"/>
              </w:rPr>
              <w:t>7,353</w:t>
            </w: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rPr>
              <w:t>9,257</w:t>
            </w: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gridSpan w:val="3"/>
            <w:shd w:val="clear" w:color="auto" w:fill="CCEEFF"/>
          </w:tcPr>
          <w:p>
            <w:pPr>
              <w:jc w:val="right"/>
              <w:spacing w:after="0" w:line="203" w:lineRule="exact"/>
              <w:rPr>
                <w:sz w:val="20"/>
                <w:szCs w:val="20"/>
                <w:color w:val="auto"/>
              </w:rPr>
            </w:pPr>
            <w:r>
              <w:rPr>
                <w:rFonts w:ascii="Arial" w:cs="Arial" w:eastAsia="Arial" w:hAnsi="Arial"/>
                <w:sz w:val="18"/>
                <w:szCs w:val="18"/>
                <w:color w:val="auto"/>
                <w:w w:val="98"/>
              </w:rPr>
              <w:t>14,432</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6340" w:type="dxa"/>
            <w:vAlign w:val="bottom"/>
            <w:gridSpan w:val="4"/>
          </w:tcPr>
          <w:p>
            <w:pPr>
              <w:spacing w:after="0"/>
              <w:rPr>
                <w:sz w:val="20"/>
                <w:szCs w:val="20"/>
                <w:color w:val="auto"/>
              </w:rPr>
            </w:pPr>
            <w:r>
              <w:rPr>
                <w:rFonts w:ascii="Arial" w:cs="Arial" w:eastAsia="Arial" w:hAnsi="Arial"/>
                <w:sz w:val="18"/>
                <w:szCs w:val="18"/>
                <w:color w:val="auto"/>
              </w:rPr>
              <w:t>Fixed income investments, held to maturity</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238</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gridSpan w:val="3"/>
          </w:tcPr>
          <w:p>
            <w:pPr>
              <w:jc w:val="right"/>
              <w:ind w:right="8"/>
              <w:spacing w:after="0"/>
              <w:rPr>
                <w:sz w:val="20"/>
                <w:szCs w:val="20"/>
                <w:color w:val="auto"/>
              </w:rPr>
            </w:pPr>
            <w:r>
              <w:rPr>
                <w:rFonts w:ascii="Arial" w:cs="Arial" w:eastAsia="Arial" w:hAnsi="Arial"/>
                <w:sz w:val="18"/>
                <w:szCs w:val="18"/>
                <w:color w:val="auto"/>
              </w:rPr>
              <w:t>238</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4"/>
          </w:tcPr>
          <w:p>
            <w:pPr>
              <w:jc w:val="right"/>
              <w:ind w:right="100"/>
              <w:spacing w:after="0"/>
              <w:rPr>
                <w:sz w:val="20"/>
                <w:szCs w:val="20"/>
                <w:color w:val="auto"/>
              </w:rPr>
            </w:pPr>
            <w:r>
              <w:rPr>
                <w:rFonts w:ascii="Arial" w:cs="Arial" w:eastAsia="Arial" w:hAnsi="Arial"/>
                <w:sz w:val="18"/>
                <w:szCs w:val="18"/>
                <w:color w:val="auto"/>
              </w:rPr>
              <w:t>401</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634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Short-term borrowings and current portion of long-term debt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(2,449)</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(3,153)</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(4,254)</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6340" w:type="dxa"/>
            <w:vAlign w:val="bottom"/>
            <w:gridSpan w:val="4"/>
          </w:tcPr>
          <w:p>
            <w:pPr>
              <w:spacing w:after="0"/>
              <w:rPr>
                <w:sz w:val="20"/>
                <w:szCs w:val="20"/>
                <w:color w:val="auto"/>
              </w:rPr>
            </w:pPr>
            <w:r>
              <w:rPr>
                <w:rFonts w:ascii="Arial" w:cs="Arial" w:eastAsia="Arial" w:hAnsi="Arial"/>
                <w:sz w:val="18"/>
                <w:szCs w:val="18"/>
                <w:color w:val="auto"/>
              </w:rPr>
              <w:t>Long-term debt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w w:val="89"/>
              </w:rPr>
              <w:t>(16,538)</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gridSpan w:val="3"/>
          </w:tcPr>
          <w:p>
            <w:pPr>
              <w:jc w:val="right"/>
              <w:spacing w:after="0"/>
              <w:rPr>
                <w:sz w:val="20"/>
                <w:szCs w:val="20"/>
                <w:color w:val="auto"/>
              </w:rPr>
            </w:pPr>
            <w:r>
              <w:rPr>
                <w:rFonts w:ascii="Arial" w:cs="Arial" w:eastAsia="Arial" w:hAnsi="Arial"/>
                <w:sz w:val="18"/>
                <w:szCs w:val="18"/>
                <w:color w:val="auto"/>
                <w:w w:val="92"/>
              </w:rPr>
              <w:t>(16,463)</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4"/>
          </w:tcPr>
          <w:p>
            <w:pPr>
              <w:jc w:val="right"/>
              <w:ind w:right="40"/>
              <w:spacing w:after="0"/>
              <w:rPr>
                <w:sz w:val="20"/>
                <w:szCs w:val="20"/>
                <w:color w:val="auto"/>
              </w:rPr>
            </w:pPr>
            <w:r>
              <w:rPr>
                <w:rFonts w:ascii="Arial" w:cs="Arial" w:eastAsia="Arial" w:hAnsi="Arial"/>
                <w:sz w:val="18"/>
                <w:szCs w:val="18"/>
                <w:color w:val="auto"/>
                <w:w w:val="89"/>
              </w:rPr>
              <w:t>(17,233)</w:t>
            </w:r>
          </w:p>
        </w:tc>
        <w:tc>
          <w:tcPr>
            <w:tcW w:w="0" w:type="dxa"/>
            <w:vAlign w:val="bottom"/>
          </w:tcPr>
          <w:p>
            <w:pPr>
              <w:spacing w:after="0"/>
              <w:rPr>
                <w:sz w:val="1"/>
                <w:szCs w:val="1"/>
                <w:color w:val="auto"/>
              </w:rPr>
            </w:pPr>
          </w:p>
        </w:tc>
      </w:tr>
      <w:tr>
        <w:trPr>
          <w:trHeight w:val="27"/>
        </w:trPr>
        <w:tc>
          <w:tcPr>
            <w:tcW w:w="9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60" w:type="dxa"/>
            <w:vAlign w:val="bottom"/>
          </w:tcPr>
          <w:p>
            <w:pPr>
              <w:spacing w:after="0"/>
              <w:rPr>
                <w:sz w:val="2"/>
                <w:szCs w:val="2"/>
                <w:color w:val="auto"/>
              </w:rPr>
            </w:pPr>
          </w:p>
        </w:tc>
        <w:tc>
          <w:tcPr>
            <w:tcW w:w="44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920" w:type="dxa"/>
            <w:vAlign w:val="bottom"/>
          </w:tcPr>
          <w:p>
            <w:pPr>
              <w:spacing w:after="0"/>
              <w:rPr>
                <w:sz w:val="18"/>
                <w:szCs w:val="18"/>
                <w:color w:val="auto"/>
              </w:rPr>
            </w:pPr>
          </w:p>
        </w:tc>
        <w:tc>
          <w:tcPr>
            <w:tcW w:w="634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 xml:space="preserve">Net debt </w:t>
            </w:r>
            <w:r>
              <w:rPr>
                <w:rFonts w:ascii="Arial" w:cs="Arial" w:eastAsia="Arial" w:hAnsi="Arial"/>
                <w:sz w:val="15"/>
                <w:szCs w:val="15"/>
                <w:color w:val="auto"/>
              </w:rPr>
              <w:t>(1)</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w w:val="89"/>
              </w:rPr>
              <w:t>(11,396)</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6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2"/>
              </w:rPr>
              <w:t>(10,121)</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(6,654)</w:t>
            </w:r>
          </w:p>
        </w:tc>
        <w:tc>
          <w:tcPr>
            <w:tcW w:w="0" w:type="dxa"/>
            <w:vAlign w:val="bottom"/>
          </w:tcPr>
          <w:p>
            <w:pPr>
              <w:spacing w:after="0"/>
              <w:rPr>
                <w:sz w:val="1"/>
                <w:szCs w:val="1"/>
                <w:color w:val="auto"/>
              </w:rPr>
            </w:pPr>
          </w:p>
        </w:tc>
      </w:tr>
      <w:tr>
        <w:trPr>
          <w:trHeight w:val="20"/>
        </w:trPr>
        <w:tc>
          <w:tcPr>
            <w:tcW w:w="7260" w:type="dxa"/>
            <w:vAlign w:val="bottom"/>
            <w:gridSpan w:val="5"/>
            <w:vMerge w:val="restart"/>
          </w:tcPr>
          <w:p>
            <w:pPr>
              <w:spacing w:after="0"/>
              <w:rPr>
                <w:sz w:val="20"/>
                <w:szCs w:val="20"/>
                <w:color w:val="auto"/>
              </w:rPr>
            </w:pPr>
            <w:r>
              <w:rPr>
                <w:rFonts w:ascii="Arial" w:cs="Arial" w:eastAsia="Arial" w:hAnsi="Arial"/>
                <w:sz w:val="18"/>
                <w:szCs w:val="18"/>
                <w:color w:val="auto"/>
              </w:rPr>
              <w:t>Details of changes in liquidity follow:</w:t>
            </w: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7260" w:type="dxa"/>
            <w:vAlign w:val="bottom"/>
            <w:gridSpan w:val="5"/>
            <w:vMerge w:val="continue"/>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9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80" w:type="dxa"/>
            <w:vAlign w:val="bottom"/>
            <w:gridSpan w:val="5"/>
          </w:tcPr>
          <w:p>
            <w:pPr>
              <w:jc w:val="center"/>
              <w:ind w:right="428"/>
              <w:spacing w:after="0"/>
              <w:rPr>
                <w:sz w:val="20"/>
                <w:szCs w:val="20"/>
                <w:color w:val="auto"/>
              </w:rPr>
            </w:pPr>
            <w:r>
              <w:rPr>
                <w:rFonts w:ascii="Arial" w:cs="Arial" w:eastAsia="Arial" w:hAnsi="Arial"/>
                <w:sz w:val="14"/>
                <w:szCs w:val="14"/>
                <w:b w:val="1"/>
                <w:bCs w:val="1"/>
                <w:color w:val="auto"/>
                <w:w w:val="94"/>
              </w:rPr>
              <w:t>Three</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gridSpan w:val="2"/>
          </w:tcPr>
          <w:p>
            <w:pPr>
              <w:jc w:val="center"/>
              <w:spacing w:after="0"/>
              <w:rPr>
                <w:sz w:val="20"/>
                <w:szCs w:val="20"/>
                <w:color w:val="auto"/>
              </w:rPr>
            </w:pPr>
            <w:r>
              <w:rPr>
                <w:rFonts w:ascii="Arial" w:cs="Arial" w:eastAsia="Arial" w:hAnsi="Arial"/>
                <w:sz w:val="14"/>
                <w:szCs w:val="14"/>
                <w:color w:val="auto"/>
                <w:w w:val="92"/>
              </w:rPr>
              <w:t>Three</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920" w:type="dxa"/>
            <w:vAlign w:val="bottom"/>
          </w:tcPr>
          <w:p>
            <w:pPr>
              <w:spacing w:after="0"/>
              <w:rPr>
                <w:sz w:val="12"/>
                <w:szCs w:val="12"/>
                <w:color w:val="auto"/>
              </w:rPr>
            </w:pPr>
          </w:p>
        </w:tc>
        <w:tc>
          <w:tcPr>
            <w:tcW w:w="6340" w:type="dxa"/>
            <w:vAlign w:val="bottom"/>
            <w:gridSpan w:val="4"/>
            <w:vMerge w:val="restart"/>
          </w:tcPr>
          <w:p>
            <w:pPr>
              <w:ind w:left="460"/>
              <w:spacing w:after="0"/>
              <w:rPr>
                <w:sz w:val="20"/>
                <w:szCs w:val="20"/>
                <w:color w:val="auto"/>
              </w:rPr>
            </w:pPr>
            <w:r>
              <w:rPr>
                <w:rFonts w:ascii="Arial" w:cs="Arial" w:eastAsia="Arial" w:hAnsi="Arial"/>
                <w:sz w:val="14"/>
                <w:szCs w:val="14"/>
                <w:color w:val="auto"/>
              </w:rPr>
              <w:t>Periods Ended March 31,</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5"/>
          </w:tcPr>
          <w:p>
            <w:pPr>
              <w:jc w:val="center"/>
              <w:ind w:right="428"/>
              <w:spacing w:after="0" w:line="149" w:lineRule="exact"/>
              <w:rPr>
                <w:sz w:val="20"/>
                <w:szCs w:val="20"/>
                <w:color w:val="auto"/>
              </w:rPr>
            </w:pPr>
            <w:r>
              <w:rPr>
                <w:rFonts w:ascii="Arial" w:cs="Arial" w:eastAsia="Arial" w:hAnsi="Arial"/>
                <w:sz w:val="14"/>
                <w:szCs w:val="14"/>
                <w:b w:val="1"/>
                <w:bCs w:val="1"/>
                <w:color w:val="auto"/>
                <w:w w:val="96"/>
              </w:rPr>
              <w:t>Months</w:t>
            </w:r>
          </w:p>
        </w:tc>
        <w:tc>
          <w:tcPr>
            <w:tcW w:w="40" w:type="dxa"/>
            <w:vAlign w:val="bottom"/>
          </w:tcPr>
          <w:p>
            <w:pPr>
              <w:spacing w:after="0"/>
              <w:rPr>
                <w:sz w:val="12"/>
                <w:szCs w:val="12"/>
                <w:color w:val="auto"/>
              </w:rPr>
            </w:pPr>
          </w:p>
        </w:tc>
        <w:tc>
          <w:tcPr>
            <w:tcW w:w="1120" w:type="dxa"/>
            <w:vAlign w:val="bottom"/>
            <w:gridSpan w:val="7"/>
          </w:tcPr>
          <w:p>
            <w:pPr>
              <w:jc w:val="center"/>
              <w:ind w:right="560"/>
              <w:spacing w:after="0" w:line="149" w:lineRule="exact"/>
              <w:rPr>
                <w:sz w:val="20"/>
                <w:szCs w:val="20"/>
                <w:color w:val="auto"/>
              </w:rPr>
            </w:pPr>
            <w:r>
              <w:rPr>
                <w:rFonts w:ascii="Arial" w:cs="Arial" w:eastAsia="Arial" w:hAnsi="Arial"/>
                <w:sz w:val="14"/>
                <w:szCs w:val="14"/>
                <w:color w:val="auto"/>
                <w:w w:val="95"/>
              </w:rPr>
              <w:t>Months</w:t>
            </w:r>
          </w:p>
        </w:tc>
        <w:tc>
          <w:tcPr>
            <w:tcW w:w="0" w:type="dxa"/>
            <w:vAlign w:val="bottom"/>
          </w:tcPr>
          <w:p>
            <w:pPr>
              <w:spacing w:after="0"/>
              <w:rPr>
                <w:sz w:val="1"/>
                <w:szCs w:val="1"/>
                <w:color w:val="auto"/>
              </w:rPr>
            </w:pPr>
          </w:p>
        </w:tc>
      </w:tr>
      <w:tr>
        <w:trPr>
          <w:trHeight w:val="158"/>
        </w:trPr>
        <w:tc>
          <w:tcPr>
            <w:tcW w:w="920" w:type="dxa"/>
            <w:vAlign w:val="bottom"/>
          </w:tcPr>
          <w:p>
            <w:pPr>
              <w:spacing w:after="0"/>
              <w:rPr>
                <w:sz w:val="13"/>
                <w:szCs w:val="13"/>
                <w:color w:val="auto"/>
              </w:rPr>
            </w:pPr>
          </w:p>
        </w:tc>
        <w:tc>
          <w:tcPr>
            <w:tcW w:w="6340" w:type="dxa"/>
            <w:vAlign w:val="bottom"/>
            <w:gridSpan w:val="4"/>
            <w:vMerge w:val="continue"/>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gridSpan w:val="3"/>
          </w:tcPr>
          <w:p>
            <w:pPr>
              <w:jc w:val="center"/>
              <w:ind w:right="13"/>
              <w:spacing w:after="0" w:line="158" w:lineRule="exact"/>
              <w:rPr>
                <w:sz w:val="20"/>
                <w:szCs w:val="20"/>
                <w:color w:val="auto"/>
              </w:rPr>
            </w:pPr>
            <w:r>
              <w:rPr>
                <w:rFonts w:ascii="Arial" w:cs="Arial" w:eastAsia="Arial" w:hAnsi="Arial"/>
                <w:sz w:val="14"/>
                <w:szCs w:val="14"/>
                <w:b w:val="1"/>
                <w:bCs w:val="1"/>
                <w:color w:val="auto"/>
                <w:w w:val="89"/>
              </w:rPr>
              <w:t>2017</w:t>
            </w: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gridSpan w:val="2"/>
          </w:tcPr>
          <w:p>
            <w:pPr>
              <w:jc w:val="center"/>
              <w:spacing w:after="0" w:line="158" w:lineRule="exact"/>
              <w:rPr>
                <w:sz w:val="20"/>
                <w:szCs w:val="20"/>
                <w:color w:val="auto"/>
              </w:rPr>
            </w:pPr>
            <w:r>
              <w:rPr>
                <w:rFonts w:ascii="Arial" w:cs="Arial" w:eastAsia="Arial" w:hAnsi="Arial"/>
                <w:sz w:val="14"/>
                <w:szCs w:val="14"/>
                <w:color w:val="auto"/>
                <w:w w:val="89"/>
              </w:rPr>
              <w:t>2016</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0" w:type="dxa"/>
            <w:vAlign w:val="bottom"/>
            <w:tcBorders>
              <w:bottom w:val="single" w:sz="8" w:color="CCEEFF"/>
            </w:tcBorders>
            <w:shd w:val="clear" w:color="auto" w:fill="000000"/>
          </w:tcPr>
          <w:p>
            <w:pPr>
              <w:spacing w:after="0" w:line="20" w:lineRule="exact"/>
              <w:rPr>
                <w:sz w:val="1"/>
                <w:szCs w:val="1"/>
                <w:color w:val="auto"/>
              </w:rPr>
            </w:pPr>
          </w:p>
        </w:tc>
        <w:tc>
          <w:tcPr>
            <w:tcW w:w="460" w:type="dxa"/>
            <w:vAlign w:val="bottom"/>
            <w:tcBorders>
              <w:bottom w:val="single" w:sz="8" w:color="CCEEFF"/>
            </w:tcBorders>
            <w:shd w:val="clear" w:color="auto" w:fill="000000"/>
          </w:tcPr>
          <w:p>
            <w:pPr>
              <w:spacing w:after="0" w:line="20" w:lineRule="exact"/>
              <w:rPr>
                <w:sz w:val="1"/>
                <w:szCs w:val="1"/>
                <w:color w:val="auto"/>
              </w:rPr>
            </w:pPr>
          </w:p>
        </w:tc>
        <w:tc>
          <w:tcPr>
            <w:tcW w:w="44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9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880" w:type="dxa"/>
            <w:vAlign w:val="bottom"/>
            <w:gridSpan w:val="3"/>
            <w:shd w:val="clear" w:color="auto" w:fill="CCEEFF"/>
          </w:tcPr>
          <w:p>
            <w:pPr>
              <w:spacing w:after="0" w:line="203" w:lineRule="exact"/>
              <w:rPr>
                <w:sz w:val="20"/>
                <w:szCs w:val="20"/>
                <w:color w:val="auto"/>
              </w:rPr>
            </w:pPr>
            <w:r>
              <w:rPr>
                <w:rFonts w:ascii="Arial" w:cs="Arial" w:eastAsia="Arial" w:hAnsi="Arial"/>
                <w:sz w:val="18"/>
                <w:szCs w:val="18"/>
                <w:color w:val="auto"/>
              </w:rPr>
              <w:t>Net income before noncontrolling interests</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580" w:type="dxa"/>
            <w:vAlign w:val="bottom"/>
            <w:gridSpan w:val="3"/>
            <w:shd w:val="clear" w:color="auto" w:fill="CCEEFF"/>
          </w:tcPr>
          <w:p>
            <w:pPr>
              <w:jc w:val="right"/>
              <w:spacing w:after="0" w:line="203" w:lineRule="exact"/>
              <w:rPr>
                <w:sz w:val="20"/>
                <w:szCs w:val="20"/>
                <w:color w:val="auto"/>
              </w:rPr>
            </w:pPr>
            <w:r>
              <w:rPr>
                <w:rFonts w:ascii="Arial" w:cs="Arial" w:eastAsia="Arial" w:hAnsi="Arial"/>
                <w:sz w:val="18"/>
                <w:szCs w:val="18"/>
                <w:b w:val="1"/>
                <w:bCs w:val="1"/>
                <w:color w:val="auto"/>
              </w:rPr>
              <w:t>284</w:t>
            </w:r>
          </w:p>
        </w:tc>
        <w:tc>
          <w:tcPr>
            <w:tcW w:w="3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gridSpan w:val="3"/>
            <w:shd w:val="clear" w:color="auto" w:fill="CCEEFF"/>
          </w:tcPr>
          <w:p>
            <w:pPr>
              <w:jc w:val="right"/>
              <w:spacing w:after="0" w:line="203" w:lineRule="exact"/>
              <w:rPr>
                <w:sz w:val="20"/>
                <w:szCs w:val="20"/>
                <w:color w:val="auto"/>
              </w:rPr>
            </w:pPr>
            <w:r>
              <w:rPr>
                <w:rFonts w:ascii="Arial" w:cs="Arial" w:eastAsia="Arial" w:hAnsi="Arial"/>
                <w:sz w:val="18"/>
                <w:szCs w:val="18"/>
                <w:color w:val="auto"/>
              </w:rPr>
              <w:t>523</w:t>
            </w:r>
          </w:p>
        </w:tc>
        <w:tc>
          <w:tcPr>
            <w:tcW w:w="120" w:type="dxa"/>
            <w:vAlign w:val="bottom"/>
            <w:shd w:val="clear" w:color="auto" w:fill="CCEEFF"/>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9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880" w:type="dxa"/>
            <w:vAlign w:val="bottom"/>
            <w:gridSpan w:val="3"/>
          </w:tcPr>
          <w:p>
            <w:pPr>
              <w:spacing w:after="0"/>
              <w:rPr>
                <w:sz w:val="20"/>
                <w:szCs w:val="20"/>
                <w:color w:val="auto"/>
              </w:rPr>
            </w:pPr>
            <w:r>
              <w:rPr>
                <w:rFonts w:ascii="Arial" w:cs="Arial" w:eastAsia="Arial" w:hAnsi="Arial"/>
                <w:sz w:val="18"/>
                <w:szCs w:val="18"/>
                <w:color w:val="auto"/>
              </w:rPr>
              <w:t>Merger &amp; integration charges, net of tax</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68</w:t>
            </w: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440" w:type="dxa"/>
            <w:vAlign w:val="bottom"/>
            <w:gridSpan w:val="2"/>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58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352</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4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523</w:t>
            </w:r>
          </w:p>
        </w:tc>
        <w:tc>
          <w:tcPr>
            <w:tcW w:w="120" w:type="dxa"/>
            <w:vAlign w:val="bottom"/>
            <w:shd w:val="clear" w:color="auto" w:fill="CCEEFF"/>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880" w:type="dxa"/>
            <w:vAlign w:val="bottom"/>
            <w:gridSpan w:val="3"/>
          </w:tcPr>
          <w:p>
            <w:pPr>
              <w:spacing w:after="0"/>
              <w:rPr>
                <w:sz w:val="20"/>
                <w:szCs w:val="20"/>
                <w:color w:val="auto"/>
              </w:rPr>
            </w:pPr>
            <w:r>
              <w:rPr>
                <w:rFonts w:ascii="Arial" w:cs="Arial" w:eastAsia="Arial" w:hAnsi="Arial"/>
                <w:sz w:val="18"/>
                <w:szCs w:val="18"/>
                <w:color w:val="auto"/>
              </w:rPr>
              <w:t xml:space="preserve">Depreciation and amortization </w:t>
            </w:r>
            <w:r>
              <w:rPr>
                <w:rFonts w:ascii="Arial" w:cs="Arial" w:eastAsia="Arial" w:hAnsi="Arial"/>
                <w:sz w:val="15"/>
                <w:szCs w:val="15"/>
                <w:color w:val="auto"/>
              </w:rPr>
              <w:t>(2)</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gridSpan w:val="3"/>
          </w:tcPr>
          <w:p>
            <w:pPr>
              <w:jc w:val="right"/>
              <w:spacing w:after="0"/>
              <w:rPr>
                <w:sz w:val="20"/>
                <w:szCs w:val="20"/>
                <w:color w:val="auto"/>
              </w:rPr>
            </w:pPr>
            <w:r>
              <w:rPr>
                <w:rFonts w:ascii="Arial" w:cs="Arial" w:eastAsia="Arial" w:hAnsi="Arial"/>
                <w:sz w:val="18"/>
                <w:szCs w:val="18"/>
                <w:b w:val="1"/>
                <w:bCs w:val="1"/>
                <w:color w:val="auto"/>
              </w:rPr>
              <w:t>989</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gridSpan w:val="3"/>
          </w:tcPr>
          <w:p>
            <w:pPr>
              <w:jc w:val="right"/>
              <w:spacing w:after="0"/>
              <w:rPr>
                <w:sz w:val="20"/>
                <w:szCs w:val="20"/>
                <w:color w:val="auto"/>
              </w:rPr>
            </w:pPr>
            <w:r>
              <w:rPr>
                <w:rFonts w:ascii="Arial" w:cs="Arial" w:eastAsia="Arial" w:hAnsi="Arial"/>
                <w:sz w:val="18"/>
                <w:szCs w:val="18"/>
                <w:color w:val="auto"/>
              </w:rPr>
              <w:t>967</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8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Pension and other postretirement benefits expense</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37</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120" w:type="dxa"/>
            <w:vAlign w:val="bottom"/>
            <w:shd w:val="clear" w:color="auto" w:fill="CCEEFF"/>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880" w:type="dxa"/>
            <w:vAlign w:val="bottom"/>
            <w:gridSpan w:val="3"/>
          </w:tcPr>
          <w:p>
            <w:pPr>
              <w:spacing w:after="0"/>
              <w:rPr>
                <w:sz w:val="20"/>
                <w:szCs w:val="20"/>
                <w:color w:val="auto"/>
              </w:rPr>
            </w:pPr>
            <w:r>
              <w:rPr>
                <w:rFonts w:ascii="Arial" w:cs="Arial" w:eastAsia="Arial" w:hAnsi="Arial"/>
                <w:sz w:val="18"/>
                <w:szCs w:val="18"/>
                <w:color w:val="auto"/>
              </w:rPr>
              <w:t>Stock-based compensation expense</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8"/>
                <w:szCs w:val="18"/>
                <w:b w:val="1"/>
                <w:bCs w:val="1"/>
                <w:color w:val="auto"/>
              </w:rPr>
              <w:t>88</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gridSpan w:val="3"/>
          </w:tcPr>
          <w:p>
            <w:pPr>
              <w:jc w:val="right"/>
              <w:spacing w:after="0"/>
              <w:rPr>
                <w:sz w:val="20"/>
                <w:szCs w:val="20"/>
                <w:color w:val="auto"/>
              </w:rPr>
            </w:pPr>
            <w:r>
              <w:rPr>
                <w:rFonts w:ascii="Arial" w:cs="Arial" w:eastAsia="Arial" w:hAnsi="Arial"/>
                <w:sz w:val="18"/>
                <w:szCs w:val="18"/>
                <w:color w:val="auto"/>
              </w:rPr>
              <w:t>61</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8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Pension and other postretirement benefits funding</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w w:val="87"/>
              </w:rPr>
              <w:t>(29)</w:t>
            </w: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(45)</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880" w:type="dxa"/>
            <w:vAlign w:val="bottom"/>
            <w:gridSpan w:val="3"/>
          </w:tcPr>
          <w:p>
            <w:pPr>
              <w:spacing w:after="0"/>
              <w:rPr>
                <w:sz w:val="20"/>
                <w:szCs w:val="20"/>
                <w:color w:val="auto"/>
              </w:rPr>
            </w:pPr>
            <w:r>
              <w:rPr>
                <w:rFonts w:ascii="Arial" w:cs="Arial" w:eastAsia="Arial" w:hAnsi="Arial"/>
                <w:sz w:val="18"/>
                <w:szCs w:val="18"/>
                <w:color w:val="auto"/>
              </w:rPr>
              <w:t>Change in working capital</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4"/>
          </w:tcPr>
          <w:p>
            <w:pPr>
              <w:jc w:val="right"/>
              <w:ind w:right="280"/>
              <w:spacing w:after="0"/>
              <w:rPr>
                <w:sz w:val="20"/>
                <w:szCs w:val="20"/>
                <w:color w:val="auto"/>
              </w:rPr>
            </w:pPr>
            <w:r>
              <w:rPr>
                <w:rFonts w:ascii="Arial" w:cs="Arial" w:eastAsia="Arial" w:hAnsi="Arial"/>
                <w:sz w:val="18"/>
                <w:szCs w:val="18"/>
                <w:b w:val="1"/>
                <w:bCs w:val="1"/>
                <w:color w:val="auto"/>
              </w:rPr>
              <w:t>(791)</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4"/>
          </w:tcPr>
          <w:p>
            <w:pPr>
              <w:jc w:val="right"/>
              <w:ind w:right="60"/>
              <w:spacing w:after="0"/>
              <w:rPr>
                <w:sz w:val="20"/>
                <w:szCs w:val="20"/>
                <w:color w:val="auto"/>
              </w:rPr>
            </w:pPr>
            <w:r>
              <w:rPr>
                <w:rFonts w:ascii="Arial" w:cs="Arial" w:eastAsia="Arial" w:hAnsi="Arial"/>
                <w:sz w:val="18"/>
                <w:szCs w:val="18"/>
                <w:color w:val="auto"/>
              </w:rPr>
              <w:t>(463)</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8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Other</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120" w:type="dxa"/>
            <w:vAlign w:val="bottom"/>
            <w:shd w:val="clear" w:color="auto" w:fill="CCEEFF"/>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920" w:type="dxa"/>
            <w:vAlign w:val="bottom"/>
          </w:tcPr>
          <w:p>
            <w:pPr>
              <w:spacing w:after="0"/>
              <w:rPr>
                <w:sz w:val="20"/>
                <w:szCs w:val="20"/>
                <w:color w:val="auto"/>
              </w:rPr>
            </w:pPr>
          </w:p>
        </w:tc>
        <w:tc>
          <w:tcPr>
            <w:tcW w:w="6340" w:type="dxa"/>
            <w:vAlign w:val="bottom"/>
            <w:gridSpan w:val="4"/>
          </w:tcPr>
          <w:p>
            <w:pPr>
              <w:ind w:left="460"/>
              <w:spacing w:after="0"/>
              <w:rPr>
                <w:sz w:val="20"/>
                <w:szCs w:val="20"/>
                <w:color w:val="auto"/>
              </w:rPr>
            </w:pPr>
            <w:r>
              <w:rPr>
                <w:rFonts w:ascii="Arial" w:cs="Arial" w:eastAsia="Arial" w:hAnsi="Arial"/>
                <w:sz w:val="18"/>
                <w:szCs w:val="18"/>
                <w:b w:val="1"/>
                <w:bCs w:val="1"/>
                <w:color w:val="auto"/>
              </w:rPr>
              <w:t xml:space="preserve">Cash flow from operations </w:t>
            </w:r>
            <w:r>
              <w:rPr>
                <w:rFonts w:ascii="Arial" w:cs="Arial" w:eastAsia="Arial" w:hAnsi="Arial"/>
                <w:sz w:val="15"/>
                <w:szCs w:val="15"/>
                <w:color w:val="auto"/>
              </w:rPr>
              <w:t>(3)</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5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656</w:t>
            </w:r>
          </w:p>
        </w:tc>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6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w w:val="89"/>
              </w:rPr>
              <w:t>$ 1,210</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8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Capital expenditures</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4"/>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(381)</w:t>
            </w: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(549)</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880" w:type="dxa"/>
            <w:vAlign w:val="bottom"/>
            <w:gridSpan w:val="3"/>
          </w:tcPr>
          <w:p>
            <w:pPr>
              <w:spacing w:after="0"/>
              <w:rPr>
                <w:sz w:val="20"/>
                <w:szCs w:val="20"/>
                <w:color w:val="auto"/>
              </w:rPr>
            </w:pPr>
            <w:r>
              <w:rPr>
                <w:rFonts w:ascii="Arial" w:cs="Arial" w:eastAsia="Arial" w:hAnsi="Arial"/>
                <w:sz w:val="18"/>
                <w:szCs w:val="18"/>
                <w:color w:val="auto"/>
              </w:rPr>
              <w:t>SPM investments</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4"/>
          </w:tcPr>
          <w:p>
            <w:pPr>
              <w:jc w:val="right"/>
              <w:ind w:right="280"/>
              <w:spacing w:after="0"/>
              <w:rPr>
                <w:sz w:val="20"/>
                <w:szCs w:val="20"/>
                <w:color w:val="auto"/>
              </w:rPr>
            </w:pPr>
            <w:r>
              <w:rPr>
                <w:rFonts w:ascii="Arial" w:cs="Arial" w:eastAsia="Arial" w:hAnsi="Arial"/>
                <w:sz w:val="18"/>
                <w:szCs w:val="18"/>
                <w:b w:val="1"/>
                <w:bCs w:val="1"/>
                <w:color w:val="auto"/>
              </w:rPr>
              <w:t>(144)</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4"/>
          </w:tcPr>
          <w:p>
            <w:pPr>
              <w:jc w:val="right"/>
              <w:ind w:right="60"/>
              <w:spacing w:after="0"/>
              <w:rPr>
                <w:sz w:val="20"/>
                <w:szCs w:val="20"/>
                <w:color w:val="auto"/>
              </w:rPr>
            </w:pPr>
            <w:r>
              <w:rPr>
                <w:rFonts w:ascii="Arial" w:cs="Arial" w:eastAsia="Arial" w:hAnsi="Arial"/>
                <w:sz w:val="18"/>
                <w:szCs w:val="18"/>
                <w:color w:val="auto"/>
              </w:rPr>
              <w:t>(597)</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8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Multiclient seismic data capitalized</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4"/>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(116)</w:t>
            </w: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(167)</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920" w:type="dxa"/>
            <w:vAlign w:val="bottom"/>
          </w:tcPr>
          <w:p>
            <w:pPr>
              <w:spacing w:after="0"/>
              <w:rPr>
                <w:sz w:val="20"/>
                <w:szCs w:val="20"/>
                <w:color w:val="auto"/>
              </w:rPr>
            </w:pPr>
          </w:p>
        </w:tc>
        <w:tc>
          <w:tcPr>
            <w:tcW w:w="6340" w:type="dxa"/>
            <w:vAlign w:val="bottom"/>
            <w:gridSpan w:val="4"/>
          </w:tcPr>
          <w:p>
            <w:pPr>
              <w:ind w:left="460"/>
              <w:spacing w:after="0"/>
              <w:rPr>
                <w:sz w:val="20"/>
                <w:szCs w:val="20"/>
                <w:color w:val="auto"/>
              </w:rPr>
            </w:pPr>
            <w:r>
              <w:rPr>
                <w:rFonts w:ascii="Arial" w:cs="Arial" w:eastAsia="Arial" w:hAnsi="Arial"/>
                <w:sz w:val="18"/>
                <w:szCs w:val="18"/>
                <w:b w:val="1"/>
                <w:bCs w:val="1"/>
                <w:color w:val="auto"/>
              </w:rPr>
              <w:t xml:space="preserve">Free cash flow </w:t>
            </w:r>
            <w:r>
              <w:rPr>
                <w:rFonts w:ascii="Arial" w:cs="Arial" w:eastAsia="Arial" w:hAnsi="Arial"/>
                <w:sz w:val="15"/>
                <w:szCs w:val="15"/>
                <w:b w:val="1"/>
                <w:bCs w:val="1"/>
                <w:color w:val="auto"/>
              </w:rPr>
              <w:t>(4)</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w:t>
            </w:r>
          </w:p>
        </w:tc>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46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rPr>
              <w:t>(103)</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8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Stock repurchase program</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4"/>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(372)</w:t>
            </w: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(475)</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880" w:type="dxa"/>
            <w:vAlign w:val="bottom"/>
            <w:gridSpan w:val="3"/>
          </w:tcPr>
          <w:p>
            <w:pPr>
              <w:spacing w:after="0"/>
              <w:rPr>
                <w:sz w:val="20"/>
                <w:szCs w:val="20"/>
                <w:color w:val="auto"/>
              </w:rPr>
            </w:pPr>
            <w:r>
              <w:rPr>
                <w:rFonts w:ascii="Arial" w:cs="Arial" w:eastAsia="Arial" w:hAnsi="Arial"/>
                <w:sz w:val="18"/>
                <w:szCs w:val="18"/>
                <w:color w:val="auto"/>
              </w:rPr>
              <w:t>Dividends paid</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4"/>
          </w:tcPr>
          <w:p>
            <w:pPr>
              <w:jc w:val="right"/>
              <w:ind w:right="280"/>
              <w:spacing w:after="0"/>
              <w:rPr>
                <w:sz w:val="20"/>
                <w:szCs w:val="20"/>
                <w:color w:val="auto"/>
              </w:rPr>
            </w:pPr>
            <w:r>
              <w:rPr>
                <w:rFonts w:ascii="Arial" w:cs="Arial" w:eastAsia="Arial" w:hAnsi="Arial"/>
                <w:sz w:val="18"/>
                <w:szCs w:val="18"/>
                <w:b w:val="1"/>
                <w:bCs w:val="1"/>
                <w:color w:val="auto"/>
              </w:rPr>
              <w:t>(696)</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4"/>
          </w:tcPr>
          <w:p>
            <w:pPr>
              <w:jc w:val="right"/>
              <w:ind w:right="60"/>
              <w:spacing w:after="0"/>
              <w:rPr>
                <w:sz w:val="20"/>
                <w:szCs w:val="20"/>
                <w:color w:val="auto"/>
              </w:rPr>
            </w:pPr>
            <w:r>
              <w:rPr>
                <w:rFonts w:ascii="Arial" w:cs="Arial" w:eastAsia="Arial" w:hAnsi="Arial"/>
                <w:sz w:val="18"/>
                <w:szCs w:val="18"/>
                <w:color w:val="auto"/>
              </w:rPr>
              <w:t>(629)</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8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Proceeds from employee stock plans</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135</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163</w:t>
            </w:r>
          </w:p>
        </w:tc>
        <w:tc>
          <w:tcPr>
            <w:tcW w:w="120" w:type="dxa"/>
            <w:vAlign w:val="bottom"/>
            <w:shd w:val="clear" w:color="auto" w:fill="CCEEFF"/>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9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(918)</w:t>
            </w:r>
          </w:p>
        </w:tc>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w w:val="77"/>
              </w:rPr>
              <w:t>(1,044)</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880" w:type="dxa"/>
            <w:vAlign w:val="bottom"/>
            <w:gridSpan w:val="3"/>
            <w:shd w:val="clear" w:color="auto" w:fill="CCEEFF"/>
          </w:tcPr>
          <w:p>
            <w:pPr>
              <w:spacing w:after="0"/>
              <w:rPr>
                <w:sz w:val="20"/>
                <w:szCs w:val="20"/>
                <w:color w:val="auto"/>
              </w:rPr>
            </w:pPr>
            <w:r>
              <w:rPr>
                <w:rFonts w:ascii="Arial" w:cs="Arial" w:eastAsia="Arial" w:hAnsi="Arial"/>
                <w:sz w:val="18"/>
                <w:szCs w:val="18"/>
                <w:color w:val="auto"/>
                <w:w w:val="92"/>
              </w:rPr>
              <w:t>Business acquisitions and investments, net of cash acquired plus debt assumed</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4"/>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(273)</w:t>
            </w: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(81)</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880" w:type="dxa"/>
            <w:vAlign w:val="bottom"/>
            <w:gridSpan w:val="3"/>
          </w:tcPr>
          <w:p>
            <w:pPr>
              <w:spacing w:after="0"/>
              <w:rPr>
                <w:sz w:val="20"/>
                <w:szCs w:val="20"/>
                <w:color w:val="auto"/>
              </w:rPr>
            </w:pPr>
            <w:r>
              <w:rPr>
                <w:rFonts w:ascii="Arial" w:cs="Arial" w:eastAsia="Arial" w:hAnsi="Arial"/>
                <w:sz w:val="18"/>
                <w:szCs w:val="18"/>
                <w:color w:val="auto"/>
              </w:rPr>
              <w:t>Other</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w w:val="87"/>
              </w:rPr>
              <w:t>(84)</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gridSpan w:val="3"/>
          </w:tcPr>
          <w:p>
            <w:pPr>
              <w:jc w:val="right"/>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920" w:type="dxa"/>
            <w:vAlign w:val="bottom"/>
          </w:tcPr>
          <w:p>
            <w:pPr>
              <w:spacing w:after="0"/>
              <w:rPr>
                <w:sz w:val="2"/>
                <w:szCs w:val="2"/>
                <w:color w:val="auto"/>
              </w:rPr>
            </w:pPr>
          </w:p>
        </w:tc>
        <w:tc>
          <w:tcPr>
            <w:tcW w:w="460" w:type="dxa"/>
            <w:vAlign w:val="bottom"/>
            <w:vMerge w:val="restart"/>
          </w:tcPr>
          <w:p>
            <w:pPr>
              <w:spacing w:after="0"/>
              <w:rPr>
                <w:sz w:val="2"/>
                <w:szCs w:val="2"/>
                <w:color w:val="auto"/>
              </w:rPr>
            </w:pPr>
          </w:p>
        </w:tc>
        <w:tc>
          <w:tcPr>
            <w:tcW w:w="1000" w:type="dxa"/>
            <w:vAlign w:val="bottom"/>
          </w:tcPr>
          <w:p>
            <w:pPr>
              <w:spacing w:after="0"/>
              <w:rPr>
                <w:sz w:val="2"/>
                <w:szCs w:val="2"/>
                <w:color w:val="auto"/>
              </w:rPr>
            </w:pPr>
          </w:p>
        </w:tc>
        <w:tc>
          <w:tcPr>
            <w:tcW w:w="460" w:type="dxa"/>
            <w:vAlign w:val="bottom"/>
          </w:tcPr>
          <w:p>
            <w:pPr>
              <w:spacing w:after="0"/>
              <w:rPr>
                <w:sz w:val="2"/>
                <w:szCs w:val="2"/>
                <w:color w:val="auto"/>
              </w:rPr>
            </w:pPr>
          </w:p>
        </w:tc>
        <w:tc>
          <w:tcPr>
            <w:tcW w:w="44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920" w:type="dxa"/>
            <w:vAlign w:val="bottom"/>
          </w:tcPr>
          <w:p>
            <w:pPr>
              <w:spacing w:after="0"/>
              <w:rPr>
                <w:sz w:val="18"/>
                <w:szCs w:val="18"/>
                <w:color w:val="auto"/>
              </w:rPr>
            </w:pPr>
          </w:p>
        </w:tc>
        <w:tc>
          <w:tcPr>
            <w:tcW w:w="460" w:type="dxa"/>
            <w:vAlign w:val="bottom"/>
            <w:vMerge w:val="continue"/>
          </w:tcPr>
          <w:p>
            <w:pPr>
              <w:spacing w:after="0"/>
              <w:rPr>
                <w:sz w:val="18"/>
                <w:szCs w:val="18"/>
                <w:color w:val="auto"/>
              </w:rPr>
            </w:pPr>
          </w:p>
        </w:tc>
        <w:tc>
          <w:tcPr>
            <w:tcW w:w="58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Increase in Net Debt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4"/>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(1,275)</w:t>
            </w: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w w:val="87"/>
              </w:rPr>
              <w:t>(1,107)</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880" w:type="dxa"/>
            <w:vAlign w:val="bottom"/>
            <w:gridSpan w:val="3"/>
          </w:tcPr>
          <w:p>
            <w:pPr>
              <w:spacing w:after="0"/>
              <w:rPr>
                <w:sz w:val="20"/>
                <w:szCs w:val="20"/>
                <w:color w:val="auto"/>
              </w:rPr>
            </w:pPr>
            <w:r>
              <w:rPr>
                <w:rFonts w:ascii="Arial" w:cs="Arial" w:eastAsia="Arial" w:hAnsi="Arial"/>
                <w:sz w:val="18"/>
                <w:szCs w:val="18"/>
                <w:color w:val="auto"/>
              </w:rPr>
              <w:t>Net Debt, beginning of period</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4"/>
          </w:tcPr>
          <w:p>
            <w:pPr>
              <w:jc w:val="right"/>
              <w:ind w:right="280"/>
              <w:spacing w:after="0"/>
              <w:rPr>
                <w:sz w:val="20"/>
                <w:szCs w:val="20"/>
                <w:color w:val="auto"/>
              </w:rPr>
            </w:pPr>
            <w:r>
              <w:rPr>
                <w:rFonts w:ascii="Arial" w:cs="Arial" w:eastAsia="Arial" w:hAnsi="Arial"/>
                <w:sz w:val="18"/>
                <w:szCs w:val="18"/>
                <w:b w:val="1"/>
                <w:bCs w:val="1"/>
                <w:color w:val="auto"/>
                <w:w w:val="89"/>
              </w:rPr>
              <w:t>(10,121)</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4"/>
          </w:tcPr>
          <w:p>
            <w:pPr>
              <w:jc w:val="right"/>
              <w:ind w:right="60"/>
              <w:spacing w:after="0"/>
              <w:rPr>
                <w:sz w:val="20"/>
                <w:szCs w:val="20"/>
                <w:color w:val="auto"/>
              </w:rPr>
            </w:pPr>
            <w:r>
              <w:rPr>
                <w:rFonts w:ascii="Arial" w:cs="Arial" w:eastAsia="Arial" w:hAnsi="Arial"/>
                <w:sz w:val="18"/>
                <w:szCs w:val="18"/>
                <w:color w:val="auto"/>
                <w:w w:val="87"/>
              </w:rPr>
              <w:t>(5,547)</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920" w:type="dxa"/>
            <w:vAlign w:val="bottom"/>
          </w:tcPr>
          <w:p>
            <w:pPr>
              <w:spacing w:after="0"/>
              <w:rPr>
                <w:sz w:val="2"/>
                <w:szCs w:val="2"/>
                <w:color w:val="auto"/>
              </w:rPr>
            </w:pPr>
          </w:p>
        </w:tc>
        <w:tc>
          <w:tcPr>
            <w:tcW w:w="460" w:type="dxa"/>
            <w:vAlign w:val="bottom"/>
            <w:vMerge w:val="restart"/>
          </w:tcPr>
          <w:p>
            <w:pPr>
              <w:spacing w:after="0"/>
              <w:rPr>
                <w:sz w:val="2"/>
                <w:szCs w:val="2"/>
                <w:color w:val="auto"/>
              </w:rPr>
            </w:pPr>
          </w:p>
        </w:tc>
        <w:tc>
          <w:tcPr>
            <w:tcW w:w="1000" w:type="dxa"/>
            <w:vAlign w:val="bottom"/>
          </w:tcPr>
          <w:p>
            <w:pPr>
              <w:spacing w:after="0"/>
              <w:rPr>
                <w:sz w:val="2"/>
                <w:szCs w:val="2"/>
                <w:color w:val="auto"/>
              </w:rPr>
            </w:pPr>
          </w:p>
        </w:tc>
        <w:tc>
          <w:tcPr>
            <w:tcW w:w="460" w:type="dxa"/>
            <w:vAlign w:val="bottom"/>
          </w:tcPr>
          <w:p>
            <w:pPr>
              <w:spacing w:after="0"/>
              <w:rPr>
                <w:sz w:val="2"/>
                <w:szCs w:val="2"/>
                <w:color w:val="auto"/>
              </w:rPr>
            </w:pPr>
          </w:p>
        </w:tc>
        <w:tc>
          <w:tcPr>
            <w:tcW w:w="44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920" w:type="dxa"/>
            <w:vAlign w:val="bottom"/>
          </w:tcPr>
          <w:p>
            <w:pPr>
              <w:spacing w:after="0"/>
              <w:rPr>
                <w:sz w:val="18"/>
                <w:szCs w:val="18"/>
                <w:color w:val="auto"/>
              </w:rPr>
            </w:pPr>
          </w:p>
        </w:tc>
        <w:tc>
          <w:tcPr>
            <w:tcW w:w="460" w:type="dxa"/>
            <w:vAlign w:val="bottom"/>
            <w:vMerge w:val="continue"/>
          </w:tcPr>
          <w:p>
            <w:pPr>
              <w:spacing w:after="0"/>
              <w:rPr>
                <w:sz w:val="18"/>
                <w:szCs w:val="18"/>
                <w:color w:val="auto"/>
              </w:rPr>
            </w:pPr>
          </w:p>
        </w:tc>
        <w:tc>
          <w:tcPr>
            <w:tcW w:w="58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Net Debt, end of period</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6"/>
            <w:shd w:val="clear" w:color="auto" w:fill="CCEEFF"/>
          </w:tcPr>
          <w:p>
            <w:pPr>
              <w:jc w:val="right"/>
              <w:ind w:right="280"/>
              <w:spacing w:after="0"/>
              <w:rPr>
                <w:sz w:val="20"/>
                <w:szCs w:val="20"/>
                <w:color w:val="auto"/>
              </w:rPr>
            </w:pPr>
            <w:r>
              <w:rPr>
                <w:rFonts w:ascii="Arial" w:cs="Arial" w:eastAsia="Arial" w:hAnsi="Arial"/>
                <w:sz w:val="18"/>
                <w:szCs w:val="18"/>
                <w:b w:val="1"/>
                <w:bCs w:val="1"/>
                <w:color w:val="auto"/>
                <w:w w:val="87"/>
              </w:rPr>
              <w:t>$ (11,396)</w:t>
            </w:r>
          </w:p>
        </w:tc>
        <w:tc>
          <w:tcPr>
            <w:tcW w:w="80" w:type="dxa"/>
            <w:vAlign w:val="bottom"/>
            <w:shd w:val="clear" w:color="auto" w:fill="CCEEFF"/>
          </w:tcPr>
          <w:p>
            <w:pPr>
              <w:spacing w:after="0"/>
              <w:rPr>
                <w:sz w:val="18"/>
                <w:szCs w:val="18"/>
                <w:color w:val="auto"/>
              </w:rPr>
            </w:pPr>
          </w:p>
        </w:tc>
        <w:tc>
          <w:tcPr>
            <w:tcW w:w="720" w:type="dxa"/>
            <w:vAlign w:val="bottom"/>
            <w:gridSpan w:val="6"/>
            <w:shd w:val="clear" w:color="auto" w:fill="CCEEFF"/>
          </w:tcPr>
          <w:p>
            <w:pPr>
              <w:jc w:val="right"/>
              <w:ind w:right="60"/>
              <w:spacing w:after="0"/>
              <w:rPr>
                <w:sz w:val="20"/>
                <w:szCs w:val="20"/>
                <w:color w:val="auto"/>
              </w:rPr>
            </w:pPr>
            <w:r>
              <w:rPr>
                <w:rFonts w:ascii="Arial" w:cs="Arial" w:eastAsia="Arial" w:hAnsi="Arial"/>
                <w:sz w:val="18"/>
                <w:szCs w:val="18"/>
                <w:u w:val="single" w:color="auto"/>
                <w:color w:val="auto"/>
                <w:w w:val="95"/>
              </w:rPr>
              <w:t>$</w:t>
            </w:r>
            <w:r>
              <w:rPr>
                <w:rFonts w:ascii="Arial" w:cs="Arial" w:eastAsia="Arial" w:hAnsi="Arial"/>
                <w:sz w:val="18"/>
                <w:szCs w:val="18"/>
                <w:color w:val="auto"/>
                <w:w w:val="95"/>
              </w:rPr>
              <w:t>(6,654)</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jc w:val="both"/>
        <w:ind w:left="460" w:hanging="452"/>
        <w:spacing w:after="0" w:line="271" w:lineRule="auto"/>
        <w:tabs>
          <w:tab w:leader="none" w:pos="460" w:val="left"/>
        </w:tabs>
        <w:numPr>
          <w:ilvl w:val="0"/>
          <w:numId w:val="5"/>
        </w:numPr>
        <w:rPr>
          <w:rFonts w:ascii="Arial" w:cs="Arial" w:eastAsia="Arial" w:hAnsi="Arial"/>
          <w:sz w:val="14"/>
          <w:szCs w:val="14"/>
          <w:color w:val="auto"/>
        </w:rPr>
      </w:pPr>
      <w:r>
        <w:rPr>
          <w:rFonts w:ascii="Arial" w:cs="Arial" w:eastAsia="Arial" w:hAnsi="Arial"/>
          <w:sz w:val="17"/>
          <w:szCs w:val="17"/>
          <w:color w:val="auto"/>
        </w:rPr>
        <w:t>“Net Debt” represents gross debt less cash, short-term investments and fixed income investments, held to maturity. Management believes that Net Debt provides useful information regarding the level of Schlumberger’s indebtedness by reflecting cash and investments that could be used to repay debt. Net Debt is a non-GAAP financial measure that should be considered in addition to, not as a substitute for or superior to, total debt.</w:t>
      </w:r>
    </w:p>
    <w:p>
      <w:pPr>
        <w:ind w:left="460" w:hanging="452"/>
        <w:spacing w:after="0"/>
        <w:tabs>
          <w:tab w:leader="none" w:pos="460" w:val="left"/>
        </w:tabs>
        <w:numPr>
          <w:ilvl w:val="0"/>
          <w:numId w:val="5"/>
        </w:numPr>
        <w:rPr>
          <w:rFonts w:ascii="Arial" w:cs="Arial" w:eastAsia="Arial" w:hAnsi="Arial"/>
          <w:sz w:val="14"/>
          <w:szCs w:val="14"/>
          <w:color w:val="auto"/>
        </w:rPr>
      </w:pPr>
      <w:r>
        <w:rPr>
          <w:rFonts w:ascii="Arial" w:cs="Arial" w:eastAsia="Arial" w:hAnsi="Arial"/>
          <w:sz w:val="17"/>
          <w:szCs w:val="17"/>
          <w:color w:val="auto"/>
        </w:rPr>
        <w:t>Includes depreciation of property, plant and equipment and amortization of intangible assets, multiclient seismic data costs and SPM investments.</w:t>
      </w:r>
    </w:p>
    <w:p>
      <w:pPr>
        <w:spacing w:after="0" w:line="20" w:lineRule="exact"/>
        <w:rPr>
          <w:rFonts w:ascii="Arial" w:cs="Arial" w:eastAsia="Arial" w:hAnsi="Arial"/>
          <w:sz w:val="14"/>
          <w:szCs w:val="14"/>
          <w:color w:val="auto"/>
        </w:rPr>
      </w:pPr>
    </w:p>
    <w:p>
      <w:pPr>
        <w:ind w:left="460" w:hanging="452"/>
        <w:spacing w:after="0"/>
        <w:tabs>
          <w:tab w:leader="none" w:pos="460" w:val="left"/>
        </w:tabs>
        <w:numPr>
          <w:ilvl w:val="0"/>
          <w:numId w:val="5"/>
        </w:numPr>
        <w:rPr>
          <w:rFonts w:ascii="Arial" w:cs="Arial" w:eastAsia="Arial" w:hAnsi="Arial"/>
          <w:sz w:val="14"/>
          <w:szCs w:val="14"/>
          <w:color w:val="auto"/>
        </w:rPr>
      </w:pPr>
      <w:r>
        <w:rPr>
          <w:rFonts w:ascii="Arial" w:cs="Arial" w:eastAsia="Arial" w:hAnsi="Arial"/>
          <w:sz w:val="16"/>
          <w:szCs w:val="16"/>
          <w:color w:val="auto"/>
        </w:rPr>
        <w:t>Includes severance payments of approximately $140 million and $260 million during the three months ended March 31, 2017 and 2016, respectively.</w:t>
      </w:r>
    </w:p>
    <w:p>
      <w:pPr>
        <w:spacing w:after="0" w:line="32" w:lineRule="exact"/>
        <w:rPr>
          <w:rFonts w:ascii="Arial" w:cs="Arial" w:eastAsia="Arial" w:hAnsi="Arial"/>
          <w:sz w:val="14"/>
          <w:szCs w:val="14"/>
          <w:color w:val="auto"/>
        </w:rPr>
      </w:pPr>
    </w:p>
    <w:p>
      <w:pPr>
        <w:ind w:left="460" w:right="20" w:hanging="452"/>
        <w:spacing w:after="0" w:line="252" w:lineRule="auto"/>
        <w:tabs>
          <w:tab w:leader="none" w:pos="460" w:val="left"/>
        </w:tabs>
        <w:numPr>
          <w:ilvl w:val="0"/>
          <w:numId w:val="5"/>
        </w:numPr>
        <w:rPr>
          <w:rFonts w:ascii="Arial" w:cs="Arial" w:eastAsia="Arial" w:hAnsi="Arial"/>
          <w:sz w:val="15"/>
          <w:szCs w:val="15"/>
          <w:color w:val="auto"/>
        </w:rPr>
      </w:pPr>
      <w:r>
        <w:rPr>
          <w:rFonts w:ascii="Arial" w:cs="Arial" w:eastAsia="Arial" w:hAnsi="Arial"/>
          <w:sz w:val="18"/>
          <w:szCs w:val="18"/>
          <w:color w:val="auto"/>
        </w:rPr>
        <w:t>“Free cash flow” represents cash flow from operations less capital expenditures, SPM investments and multiclient seismic data costs capitalized. Management believes that free cash flow is an important liquidity measure for the company and that it is useful to investors and management as a measure of our ability to generate cash. Once business needs and obligations are met, this cash can be used to reinvest in the company for future growth or to return to shareholders through dividend payments or share repurchases. Free cash flow does not represent the residual cash flow available for discretionary expenditures. Free cash flow is a non-GAAP financial measure that should be considered in addition to, not as substitute for, or superior to, cash flow from operations.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270" w:right="239" w:bottom="1440" w:gutter="0" w:footer="0" w:header="0"/>
        </w:sectPr>
      </w:pPr>
    </w:p>
    <w:bookmarkStart w:id="16" w:name="page17"/>
    <w:bookmarkEnd w:id="16"/>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Charges &amp; Credits</w:t>
      </w:r>
    </w:p>
    <w:p>
      <w:pPr>
        <w:spacing w:after="0" w:line="229"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In addition to financial results determined in accordance with US generally accepted accounting principles (GAAP), this First-Quarter 2017 Earnings Release also includes non-GAAP financial measures (as defined under the SEC’s Regulation G). Net income, excluding charges &amp; credits, as well as measures derived from it (including diluted EPS, excluding charges &amp; credits; net income before noncontrolling interests, excluding charges &amp; credits; and effective tax rate, excluding charges &amp; credits) are non-GAAP financial measures. Management believes that the exclusion of charges &amp; credits from these financial measures enables it to evaluate more effectively Schlumberger’s operations period over period and to identify operating trends that could otherwise be masked by the excluded items. These measures are also used by management as performance measures in determining certain incentive compensation. The foregoing non-GAAP financial measures should be considered in addition to, not as a substitute for or superior to, other measures of financial performance prepared in accordance with GAAP. The following is a reconciliation of these non-GAAP measures to the comparable GAAP measures.</w:t>
      </w:r>
    </w:p>
    <w:p>
      <w:pPr>
        <w:spacing w:after="0" w:line="189" w:lineRule="exact"/>
        <w:rPr>
          <w:sz w:val="20"/>
          <w:szCs w:val="20"/>
          <w:color w:val="auto"/>
        </w:rPr>
      </w:pPr>
    </w:p>
    <w:p>
      <w:pPr>
        <w:ind w:left="8680"/>
        <w:spacing w:after="0"/>
        <w:rPr>
          <w:sz w:val="20"/>
          <w:szCs w:val="20"/>
          <w:color w:val="auto"/>
        </w:rPr>
      </w:pPr>
      <w:r>
        <w:rPr>
          <w:rFonts w:ascii="Arial" w:cs="Arial" w:eastAsia="Arial" w:hAnsi="Arial"/>
          <w:sz w:val="13"/>
          <w:szCs w:val="13"/>
          <w:color w:val="auto"/>
        </w:rPr>
        <w:t>(Stated in millions, except per share amounts)</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860" w:type="dxa"/>
            <w:vAlign w:val="bottom"/>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gridSpan w:val="8"/>
          </w:tcPr>
          <w:p>
            <w:pPr>
              <w:jc w:val="right"/>
              <w:ind w:right="540"/>
              <w:spacing w:after="0"/>
              <w:rPr>
                <w:sz w:val="20"/>
                <w:szCs w:val="20"/>
                <w:color w:val="auto"/>
              </w:rPr>
            </w:pPr>
            <w:r>
              <w:rPr>
                <w:rFonts w:ascii="Arial" w:cs="Arial" w:eastAsia="Arial" w:hAnsi="Arial"/>
                <w:sz w:val="14"/>
                <w:szCs w:val="14"/>
                <w:b w:val="1"/>
                <w:bCs w:val="1"/>
                <w:color w:val="auto"/>
                <w:w w:val="98"/>
              </w:rPr>
              <w:t>First Quarter 2017</w:t>
            </w:r>
          </w:p>
        </w:tc>
        <w:tc>
          <w:tcPr>
            <w:tcW w:w="1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78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gridSpan w:val="3"/>
          </w:tcPr>
          <w:p>
            <w:pPr>
              <w:spacing w:after="0" w:line="123" w:lineRule="exact"/>
              <w:rPr>
                <w:sz w:val="20"/>
                <w:szCs w:val="20"/>
                <w:color w:val="auto"/>
              </w:rPr>
            </w:pPr>
            <w:r>
              <w:rPr>
                <w:rFonts w:ascii="Arial" w:cs="Arial" w:eastAsia="Arial" w:hAnsi="Arial"/>
                <w:sz w:val="14"/>
                <w:szCs w:val="14"/>
                <w:color w:val="auto"/>
              </w:rPr>
              <w:t>Noncont.</w:t>
            </w:r>
          </w:p>
        </w:tc>
        <w:tc>
          <w:tcPr>
            <w:tcW w:w="1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Pr>
          <w:p>
            <w:pPr>
              <w:jc w:val="center"/>
              <w:spacing w:after="0" w:line="123" w:lineRule="exact"/>
              <w:rPr>
                <w:sz w:val="20"/>
                <w:szCs w:val="20"/>
                <w:color w:val="auto"/>
              </w:rPr>
            </w:pPr>
            <w:r>
              <w:rPr>
                <w:rFonts w:ascii="Arial" w:cs="Arial" w:eastAsia="Arial" w:hAnsi="Arial"/>
                <w:sz w:val="14"/>
                <w:szCs w:val="14"/>
                <w:color w:val="auto"/>
              </w:rPr>
              <w:t>Diluted</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860" w:type="dxa"/>
            <w:vAlign w:val="bottom"/>
          </w:tcPr>
          <w:p>
            <w:pPr>
              <w:spacing w:after="0"/>
              <w:rPr>
                <w:sz w:val="14"/>
                <w:szCs w:val="14"/>
                <w:color w:val="auto"/>
              </w:rPr>
            </w:pPr>
          </w:p>
        </w:tc>
        <w:tc>
          <w:tcPr>
            <w:tcW w:w="740" w:type="dxa"/>
            <w:vAlign w:val="bottom"/>
            <w:gridSpan w:val="3"/>
          </w:tcPr>
          <w:p>
            <w:pPr>
              <w:ind w:left="40"/>
              <w:spacing w:after="0"/>
              <w:rPr>
                <w:sz w:val="20"/>
                <w:szCs w:val="20"/>
                <w:color w:val="auto"/>
              </w:rPr>
            </w:pPr>
            <w:r>
              <w:rPr>
                <w:rFonts w:ascii="Arial" w:cs="Arial" w:eastAsia="Arial" w:hAnsi="Arial"/>
                <w:sz w:val="14"/>
                <w:szCs w:val="14"/>
                <w:color w:val="auto"/>
              </w:rPr>
              <w:t>Pretax</w:t>
            </w:r>
          </w:p>
        </w:tc>
        <w:tc>
          <w:tcPr>
            <w:tcW w:w="560" w:type="dxa"/>
            <w:vAlign w:val="bottom"/>
            <w:gridSpan w:val="2"/>
          </w:tcPr>
          <w:p>
            <w:pPr>
              <w:ind w:left="80"/>
              <w:spacing w:after="0"/>
              <w:rPr>
                <w:sz w:val="20"/>
                <w:szCs w:val="20"/>
                <w:color w:val="auto"/>
              </w:rPr>
            </w:pPr>
            <w:r>
              <w:rPr>
                <w:rFonts w:ascii="Arial" w:cs="Arial" w:eastAsia="Arial" w:hAnsi="Arial"/>
                <w:sz w:val="14"/>
                <w:szCs w:val="14"/>
                <w:color w:val="auto"/>
              </w:rPr>
              <w:t>Tax</w:t>
            </w:r>
          </w:p>
        </w:tc>
        <w:tc>
          <w:tcPr>
            <w:tcW w:w="120" w:type="dxa"/>
            <w:vAlign w:val="bottom"/>
          </w:tcPr>
          <w:p>
            <w:pPr>
              <w:spacing w:after="0"/>
              <w:rPr>
                <w:sz w:val="14"/>
                <w:szCs w:val="14"/>
                <w:color w:val="auto"/>
              </w:rPr>
            </w:pPr>
          </w:p>
        </w:tc>
        <w:tc>
          <w:tcPr>
            <w:tcW w:w="660" w:type="dxa"/>
            <w:vAlign w:val="bottom"/>
            <w:gridSpan w:val="3"/>
          </w:tcPr>
          <w:p>
            <w:pPr>
              <w:ind w:left="60"/>
              <w:spacing w:after="0"/>
              <w:rPr>
                <w:sz w:val="20"/>
                <w:szCs w:val="20"/>
                <w:color w:val="auto"/>
              </w:rPr>
            </w:pPr>
            <w:r>
              <w:rPr>
                <w:rFonts w:ascii="Arial" w:cs="Arial" w:eastAsia="Arial" w:hAnsi="Arial"/>
                <w:sz w:val="14"/>
                <w:szCs w:val="14"/>
                <w:color w:val="auto"/>
              </w:rPr>
              <w:t>Interest</w:t>
            </w:r>
          </w:p>
        </w:tc>
        <w:tc>
          <w:tcPr>
            <w:tcW w:w="140" w:type="dxa"/>
            <w:vAlign w:val="bottom"/>
          </w:tcPr>
          <w:p>
            <w:pPr>
              <w:spacing w:after="0"/>
              <w:rPr>
                <w:sz w:val="14"/>
                <w:szCs w:val="14"/>
                <w:color w:val="auto"/>
              </w:rPr>
            </w:pPr>
          </w:p>
        </w:tc>
        <w:tc>
          <w:tcPr>
            <w:tcW w:w="620" w:type="dxa"/>
            <w:vAlign w:val="bottom"/>
            <w:gridSpan w:val="2"/>
          </w:tcPr>
          <w:p>
            <w:pPr>
              <w:jc w:val="right"/>
              <w:ind w:right="300"/>
              <w:spacing w:after="0"/>
              <w:rPr>
                <w:sz w:val="20"/>
                <w:szCs w:val="20"/>
                <w:color w:val="auto"/>
              </w:rPr>
            </w:pPr>
            <w:r>
              <w:rPr>
                <w:rFonts w:ascii="Arial" w:cs="Arial" w:eastAsia="Arial" w:hAnsi="Arial"/>
                <w:sz w:val="14"/>
                <w:szCs w:val="14"/>
                <w:color w:val="auto"/>
              </w:rPr>
              <w:t>Net</w:t>
            </w:r>
          </w:p>
        </w:tc>
        <w:tc>
          <w:tcPr>
            <w:tcW w:w="120" w:type="dxa"/>
            <w:vAlign w:val="bottom"/>
          </w:tcPr>
          <w:p>
            <w:pPr>
              <w:spacing w:after="0"/>
              <w:rPr>
                <w:sz w:val="14"/>
                <w:szCs w:val="14"/>
                <w:color w:val="auto"/>
              </w:rPr>
            </w:pPr>
          </w:p>
        </w:tc>
        <w:tc>
          <w:tcPr>
            <w:tcW w:w="580" w:type="dxa"/>
            <w:vAlign w:val="bottom"/>
            <w:gridSpan w:val="2"/>
          </w:tcPr>
          <w:p>
            <w:pPr>
              <w:jc w:val="center"/>
              <w:ind w:right="20"/>
              <w:spacing w:after="0"/>
              <w:rPr>
                <w:sz w:val="20"/>
                <w:szCs w:val="20"/>
                <w:color w:val="auto"/>
              </w:rPr>
            </w:pPr>
            <w:r>
              <w:rPr>
                <w:rFonts w:ascii="Arial" w:cs="Arial" w:eastAsia="Arial" w:hAnsi="Arial"/>
                <w:sz w:val="14"/>
                <w:szCs w:val="14"/>
                <w:color w:val="auto"/>
                <w:w w:val="85"/>
              </w:rPr>
              <w:t>EPS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8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Schlumberger net income (GAAP basis)</w:t>
            </w: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$ 334</w:t>
            </w:r>
          </w:p>
        </w:tc>
        <w:tc>
          <w:tcPr>
            <w:tcW w:w="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6"/>
              </w:rPr>
              <w:t>$ 50</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$ 279</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5"/>
              </w:rPr>
              <w:t>$ 0.20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60" w:type="dxa"/>
            <w:vAlign w:val="bottom"/>
            <w:vMerge w:val="restart"/>
          </w:tcPr>
          <w:p>
            <w:pPr>
              <w:ind w:left="340"/>
              <w:spacing w:after="0"/>
              <w:rPr>
                <w:sz w:val="20"/>
                <w:szCs w:val="20"/>
                <w:color w:val="auto"/>
              </w:rPr>
            </w:pPr>
            <w:r>
              <w:rPr>
                <w:rFonts w:ascii="Arial" w:cs="Arial" w:eastAsia="Arial" w:hAnsi="Arial"/>
                <w:sz w:val="18"/>
                <w:szCs w:val="18"/>
                <w:color w:val="auto"/>
              </w:rPr>
              <w:t>Merger &amp; integration</w:t>
            </w:r>
          </w:p>
        </w:tc>
        <w:tc>
          <w:tcPr>
            <w:tcW w:w="440" w:type="dxa"/>
            <w:vAlign w:val="bottom"/>
            <w:vMerge w:val="restart"/>
          </w:tcPr>
          <w:p>
            <w:pPr>
              <w:jc w:val="right"/>
              <w:spacing w:after="0"/>
              <w:rPr>
                <w:sz w:val="20"/>
                <w:szCs w:val="20"/>
                <w:color w:val="auto"/>
              </w:rPr>
            </w:pPr>
            <w:r>
              <w:rPr>
                <w:rFonts w:ascii="Arial" w:cs="Arial" w:eastAsia="Arial" w:hAnsi="Arial"/>
                <w:sz w:val="18"/>
                <w:szCs w:val="18"/>
                <w:color w:val="auto"/>
              </w:rPr>
              <w:t>82</w:t>
            </w:r>
          </w:p>
        </w:tc>
        <w:tc>
          <w:tcPr>
            <w:tcW w:w="20" w:type="dxa"/>
            <w:vAlign w:val="bottom"/>
            <w:vMerge w:val="restart"/>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vMerge w:val="restart"/>
          </w:tcPr>
          <w:p>
            <w:pPr>
              <w:jc w:val="right"/>
              <w:spacing w:after="0"/>
              <w:rPr>
                <w:sz w:val="20"/>
                <w:szCs w:val="20"/>
                <w:color w:val="auto"/>
              </w:rPr>
            </w:pPr>
            <w:r>
              <w:rPr>
                <w:rFonts w:ascii="Arial" w:cs="Arial" w:eastAsia="Arial" w:hAnsi="Arial"/>
                <w:sz w:val="18"/>
                <w:szCs w:val="18"/>
                <w:color w:val="auto"/>
              </w:rPr>
              <w:t>14</w:t>
            </w: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20" w:type="dxa"/>
            <w:vAlign w:val="bottom"/>
            <w:vMerge w:val="restart"/>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420" w:type="dxa"/>
            <w:vAlign w:val="bottom"/>
            <w:vMerge w:val="restart"/>
          </w:tcPr>
          <w:p>
            <w:pPr>
              <w:jc w:val="right"/>
              <w:spacing w:after="0"/>
              <w:rPr>
                <w:sz w:val="20"/>
                <w:szCs w:val="20"/>
                <w:color w:val="auto"/>
              </w:rPr>
            </w:pPr>
            <w:r>
              <w:rPr>
                <w:rFonts w:ascii="Arial" w:cs="Arial" w:eastAsia="Arial" w:hAnsi="Arial"/>
                <w:sz w:val="18"/>
                <w:szCs w:val="18"/>
                <w:color w:val="auto"/>
              </w:rPr>
              <w:t>68</w:t>
            </w: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20" w:type="dxa"/>
            <w:vAlign w:val="bottom"/>
          </w:tcPr>
          <w:p>
            <w:pPr>
              <w:spacing w:after="0"/>
              <w:rPr>
                <w:sz w:val="18"/>
                <w:szCs w:val="18"/>
                <w:color w:val="auto"/>
              </w:rPr>
            </w:pPr>
          </w:p>
        </w:tc>
        <w:tc>
          <w:tcPr>
            <w:tcW w:w="7860" w:type="dxa"/>
            <w:vAlign w:val="bottom"/>
            <w:vMerge w:val="continue"/>
          </w:tcPr>
          <w:p>
            <w:pPr>
              <w:spacing w:after="0"/>
              <w:rPr>
                <w:sz w:val="18"/>
                <w:szCs w:val="18"/>
                <w:color w:val="auto"/>
              </w:rPr>
            </w:pPr>
          </w:p>
        </w:tc>
        <w:tc>
          <w:tcPr>
            <w:tcW w:w="440" w:type="dxa"/>
            <w:vAlign w:val="bottom"/>
            <w:tcBorders>
              <w:bottom w:val="single" w:sz="8" w:color="auto"/>
            </w:tcBorders>
            <w:vMerge w:val="continue"/>
          </w:tcPr>
          <w:p>
            <w:pPr>
              <w:spacing w:after="0"/>
              <w:rPr>
                <w:sz w:val="18"/>
                <w:szCs w:val="18"/>
                <w:color w:val="auto"/>
              </w:rPr>
            </w:pPr>
          </w:p>
        </w:tc>
        <w:tc>
          <w:tcPr>
            <w:tcW w:w="20" w:type="dxa"/>
            <w:vAlign w:val="bottom"/>
            <w:vMerge w:val="continue"/>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Borders>
              <w:bottom w:val="single" w:sz="8" w:color="auto"/>
            </w:tcBorders>
            <w:vMerge w:val="continue"/>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vMerge w:val="continue"/>
          </w:tcPr>
          <w:p>
            <w:pPr>
              <w:spacing w:after="0"/>
              <w:rPr>
                <w:sz w:val="18"/>
                <w:szCs w:val="18"/>
                <w:color w:val="auto"/>
              </w:rPr>
            </w:pPr>
          </w:p>
        </w:tc>
        <w:tc>
          <w:tcPr>
            <w:tcW w:w="120" w:type="dxa"/>
            <w:vAlign w:val="bottom"/>
            <w:vMerge w:val="continue"/>
          </w:tcPr>
          <w:p>
            <w:pPr>
              <w:spacing w:after="0"/>
              <w:rPr>
                <w:sz w:val="18"/>
                <w:szCs w:val="18"/>
                <w:color w:val="auto"/>
              </w:rPr>
            </w:pPr>
          </w:p>
        </w:tc>
        <w:tc>
          <w:tcPr>
            <w:tcW w:w="140" w:type="dxa"/>
            <w:vAlign w:val="bottom"/>
            <w:vMerge w:val="continue"/>
          </w:tcPr>
          <w:p>
            <w:pPr>
              <w:spacing w:after="0"/>
              <w:rPr>
                <w:sz w:val="18"/>
                <w:szCs w:val="18"/>
                <w:color w:val="auto"/>
              </w:rPr>
            </w:pPr>
          </w:p>
        </w:tc>
        <w:tc>
          <w:tcPr>
            <w:tcW w:w="420" w:type="dxa"/>
            <w:vAlign w:val="bottom"/>
            <w:tcBorders>
              <w:bottom w:val="single" w:sz="8" w:color="auto"/>
            </w:tcBorders>
            <w:vMerge w:val="continue"/>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shd w:val="clear" w:color="auto" w:fill="CCEEFF"/>
          </w:tcPr>
          <w:p>
            <w:pPr>
              <w:spacing w:after="0"/>
              <w:rPr>
                <w:sz w:val="20"/>
                <w:szCs w:val="20"/>
                <w:color w:val="auto"/>
              </w:rPr>
            </w:pPr>
            <w:r>
              <w:rPr>
                <w:rFonts w:ascii="Arial" w:cs="Arial" w:eastAsia="Arial" w:hAnsi="Arial"/>
                <w:sz w:val="18"/>
                <w:szCs w:val="18"/>
                <w:color w:val="auto"/>
              </w:rPr>
              <w:t>Schlumberger net income, excluding charges &amp; credits</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$ 416</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$ 64</w:t>
            </w:r>
          </w:p>
        </w:tc>
        <w:tc>
          <w:tcPr>
            <w:tcW w:w="200" w:type="dxa"/>
            <w:vAlign w:val="bottom"/>
            <w:shd w:val="clear" w:color="auto" w:fill="CCEEFF"/>
          </w:tcPr>
          <w:p>
            <w:pPr>
              <w:spacing w:after="0"/>
              <w:rPr>
                <w:sz w:val="18"/>
                <w:szCs w:val="18"/>
                <w:color w:val="auto"/>
              </w:rPr>
            </w:pPr>
          </w:p>
        </w:tc>
        <w:tc>
          <w:tcPr>
            <w:tcW w:w="3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w:t>
            </w:r>
          </w:p>
        </w:tc>
        <w:tc>
          <w:tcPr>
            <w:tcW w:w="7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$ 347</w:t>
            </w:r>
          </w:p>
        </w:tc>
        <w:tc>
          <w:tcPr>
            <w:tcW w:w="70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95"/>
              </w:rPr>
              <w:t>$ 0.25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6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540" w:type="dxa"/>
            <w:vAlign w:val="bottom"/>
            <w:tcBorders>
              <w:top w:val="single" w:sz="8" w:color="auto"/>
              <w:bottom w:val="single" w:sz="8" w:color="auto"/>
            </w:tcBorders>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786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100" w:type="dxa"/>
            <w:vAlign w:val="bottom"/>
            <w:tcBorders>
              <w:bottom w:val="single" w:sz="8" w:color="auto"/>
            </w:tcBorders>
            <w:gridSpan w:val="9"/>
          </w:tcPr>
          <w:p>
            <w:pPr>
              <w:ind w:left="320"/>
              <w:spacing w:after="0"/>
              <w:rPr>
                <w:sz w:val="20"/>
                <w:szCs w:val="20"/>
                <w:color w:val="auto"/>
              </w:rPr>
            </w:pPr>
            <w:r>
              <w:rPr>
                <w:rFonts w:ascii="Arial" w:cs="Arial" w:eastAsia="Arial" w:hAnsi="Arial"/>
                <w:sz w:val="14"/>
                <w:szCs w:val="14"/>
                <w:b w:val="1"/>
                <w:bCs w:val="1"/>
                <w:color w:val="auto"/>
              </w:rPr>
              <w:t>Fourth Quarter 2016</w:t>
            </w:r>
          </w:p>
        </w:tc>
        <w:tc>
          <w:tcPr>
            <w:tcW w:w="12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78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gridSpan w:val="3"/>
          </w:tcPr>
          <w:p>
            <w:pPr>
              <w:spacing w:after="0" w:line="123" w:lineRule="exact"/>
              <w:rPr>
                <w:sz w:val="20"/>
                <w:szCs w:val="20"/>
                <w:color w:val="auto"/>
              </w:rPr>
            </w:pPr>
            <w:r>
              <w:rPr>
                <w:rFonts w:ascii="Arial" w:cs="Arial" w:eastAsia="Arial" w:hAnsi="Arial"/>
                <w:sz w:val="14"/>
                <w:szCs w:val="14"/>
                <w:color w:val="auto"/>
              </w:rPr>
              <w:t>Noncont.</w:t>
            </w:r>
          </w:p>
        </w:tc>
        <w:tc>
          <w:tcPr>
            <w:tcW w:w="1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Pr>
          <w:p>
            <w:pPr>
              <w:jc w:val="center"/>
              <w:spacing w:after="0" w:line="123" w:lineRule="exact"/>
              <w:rPr>
                <w:sz w:val="20"/>
                <w:szCs w:val="20"/>
                <w:color w:val="auto"/>
              </w:rPr>
            </w:pPr>
            <w:r>
              <w:rPr>
                <w:rFonts w:ascii="Arial" w:cs="Arial" w:eastAsia="Arial" w:hAnsi="Arial"/>
                <w:sz w:val="14"/>
                <w:szCs w:val="14"/>
                <w:color w:val="auto"/>
              </w:rPr>
              <w:t>Diluted</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860" w:type="dxa"/>
            <w:vAlign w:val="bottom"/>
          </w:tcPr>
          <w:p>
            <w:pPr>
              <w:spacing w:after="0"/>
              <w:rPr>
                <w:sz w:val="14"/>
                <w:szCs w:val="14"/>
                <w:color w:val="auto"/>
              </w:rPr>
            </w:pPr>
          </w:p>
        </w:tc>
        <w:tc>
          <w:tcPr>
            <w:tcW w:w="740" w:type="dxa"/>
            <w:vAlign w:val="bottom"/>
            <w:gridSpan w:val="3"/>
          </w:tcPr>
          <w:p>
            <w:pPr>
              <w:ind w:left="40"/>
              <w:spacing w:after="0"/>
              <w:rPr>
                <w:sz w:val="20"/>
                <w:szCs w:val="20"/>
                <w:color w:val="auto"/>
              </w:rPr>
            </w:pPr>
            <w:r>
              <w:rPr>
                <w:rFonts w:ascii="Arial" w:cs="Arial" w:eastAsia="Arial" w:hAnsi="Arial"/>
                <w:sz w:val="14"/>
                <w:szCs w:val="14"/>
                <w:color w:val="auto"/>
              </w:rPr>
              <w:t>Pretax</w:t>
            </w:r>
          </w:p>
        </w:tc>
        <w:tc>
          <w:tcPr>
            <w:tcW w:w="560" w:type="dxa"/>
            <w:vAlign w:val="bottom"/>
            <w:gridSpan w:val="2"/>
          </w:tcPr>
          <w:p>
            <w:pPr>
              <w:ind w:left="80"/>
              <w:spacing w:after="0"/>
              <w:rPr>
                <w:sz w:val="20"/>
                <w:szCs w:val="20"/>
                <w:color w:val="auto"/>
              </w:rPr>
            </w:pPr>
            <w:r>
              <w:rPr>
                <w:rFonts w:ascii="Arial" w:cs="Arial" w:eastAsia="Arial" w:hAnsi="Arial"/>
                <w:sz w:val="14"/>
                <w:szCs w:val="14"/>
                <w:color w:val="auto"/>
              </w:rPr>
              <w:t>Tax</w:t>
            </w:r>
          </w:p>
        </w:tc>
        <w:tc>
          <w:tcPr>
            <w:tcW w:w="120" w:type="dxa"/>
            <w:vAlign w:val="bottom"/>
          </w:tcPr>
          <w:p>
            <w:pPr>
              <w:spacing w:after="0"/>
              <w:rPr>
                <w:sz w:val="14"/>
                <w:szCs w:val="14"/>
                <w:color w:val="auto"/>
              </w:rPr>
            </w:pPr>
          </w:p>
        </w:tc>
        <w:tc>
          <w:tcPr>
            <w:tcW w:w="660" w:type="dxa"/>
            <w:vAlign w:val="bottom"/>
            <w:gridSpan w:val="3"/>
          </w:tcPr>
          <w:p>
            <w:pPr>
              <w:ind w:left="60"/>
              <w:spacing w:after="0"/>
              <w:rPr>
                <w:sz w:val="20"/>
                <w:szCs w:val="20"/>
                <w:color w:val="auto"/>
              </w:rPr>
            </w:pPr>
            <w:r>
              <w:rPr>
                <w:rFonts w:ascii="Arial" w:cs="Arial" w:eastAsia="Arial" w:hAnsi="Arial"/>
                <w:sz w:val="14"/>
                <w:szCs w:val="14"/>
                <w:color w:val="auto"/>
              </w:rPr>
              <w:t>Interest</w:t>
            </w:r>
          </w:p>
        </w:tc>
        <w:tc>
          <w:tcPr>
            <w:tcW w:w="140" w:type="dxa"/>
            <w:vAlign w:val="bottom"/>
          </w:tcPr>
          <w:p>
            <w:pPr>
              <w:spacing w:after="0"/>
              <w:rPr>
                <w:sz w:val="14"/>
                <w:szCs w:val="14"/>
                <w:color w:val="auto"/>
              </w:rPr>
            </w:pPr>
          </w:p>
        </w:tc>
        <w:tc>
          <w:tcPr>
            <w:tcW w:w="620" w:type="dxa"/>
            <w:vAlign w:val="bottom"/>
            <w:gridSpan w:val="2"/>
          </w:tcPr>
          <w:p>
            <w:pPr>
              <w:jc w:val="right"/>
              <w:ind w:right="300"/>
              <w:spacing w:after="0"/>
              <w:rPr>
                <w:sz w:val="20"/>
                <w:szCs w:val="20"/>
                <w:color w:val="auto"/>
              </w:rPr>
            </w:pPr>
            <w:r>
              <w:rPr>
                <w:rFonts w:ascii="Arial" w:cs="Arial" w:eastAsia="Arial" w:hAnsi="Arial"/>
                <w:sz w:val="14"/>
                <w:szCs w:val="14"/>
                <w:color w:val="auto"/>
              </w:rPr>
              <w:t>Net</w:t>
            </w:r>
          </w:p>
        </w:tc>
        <w:tc>
          <w:tcPr>
            <w:tcW w:w="120" w:type="dxa"/>
            <w:vAlign w:val="bottom"/>
          </w:tcPr>
          <w:p>
            <w:pPr>
              <w:spacing w:after="0"/>
              <w:rPr>
                <w:sz w:val="14"/>
                <w:szCs w:val="14"/>
                <w:color w:val="auto"/>
              </w:rPr>
            </w:pPr>
          </w:p>
        </w:tc>
        <w:tc>
          <w:tcPr>
            <w:tcW w:w="580" w:type="dxa"/>
            <w:vAlign w:val="bottom"/>
            <w:gridSpan w:val="2"/>
          </w:tcPr>
          <w:p>
            <w:pPr>
              <w:jc w:val="center"/>
              <w:ind w:right="20"/>
              <w:spacing w:after="0"/>
              <w:rPr>
                <w:sz w:val="20"/>
                <w:szCs w:val="20"/>
                <w:color w:val="auto"/>
              </w:rPr>
            </w:pPr>
            <w:r>
              <w:rPr>
                <w:rFonts w:ascii="Arial" w:cs="Arial" w:eastAsia="Arial" w:hAnsi="Arial"/>
                <w:sz w:val="14"/>
                <w:szCs w:val="14"/>
                <w:color w:val="auto"/>
                <w:w w:val="85"/>
              </w:rPr>
              <w:t>EPS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8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Schlumberger net loss (GAAP basis)</w:t>
            </w: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0"/>
              </w:rPr>
              <w:t>$(213)</w:t>
            </w:r>
          </w:p>
        </w:tc>
        <w:tc>
          <w:tcPr>
            <w:tcW w:w="300" w:type="dxa"/>
            <w:vAlign w:val="bottom"/>
            <w:tcBorders>
              <w:top w:val="single" w:sz="8" w:color="CCEEFF"/>
            </w:tcBorders>
            <w:gridSpan w:val="2"/>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2"/>
              </w:rPr>
              <w:t>$ (19)</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6"/>
              </w:rPr>
              <w:t>$(204)</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8"/>
                <w:szCs w:val="18"/>
                <w:u w:val="single" w:color="auto"/>
                <w:color w:val="auto"/>
                <w:w w:val="93"/>
              </w:rPr>
              <w:t>$</w:t>
            </w:r>
            <w:r>
              <w:rPr>
                <w:rFonts w:ascii="Arial" w:cs="Arial" w:eastAsia="Arial" w:hAnsi="Arial"/>
                <w:sz w:val="18"/>
                <w:szCs w:val="18"/>
                <w:color w:val="auto"/>
                <w:w w:val="93"/>
              </w:rPr>
              <w:t>(0.15</w:t>
            </w:r>
          </w:p>
        </w:tc>
        <w:tc>
          <w:tcPr>
            <w:tcW w:w="10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60" w:type="dxa"/>
            <w:vAlign w:val="bottom"/>
            <w:vMerge w:val="restart"/>
          </w:tcPr>
          <w:p>
            <w:pPr>
              <w:ind w:left="340"/>
              <w:spacing w:after="0"/>
              <w:rPr>
                <w:sz w:val="20"/>
                <w:szCs w:val="20"/>
                <w:color w:val="auto"/>
              </w:rPr>
            </w:pPr>
            <w:r>
              <w:rPr>
                <w:rFonts w:ascii="Arial" w:cs="Arial" w:eastAsia="Arial" w:hAnsi="Arial"/>
                <w:sz w:val="18"/>
                <w:szCs w:val="18"/>
                <w:color w:val="auto"/>
              </w:rPr>
              <w:t>Workforce reduction</w:t>
            </w:r>
          </w:p>
        </w:tc>
        <w:tc>
          <w:tcPr>
            <w:tcW w:w="46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234</w:t>
            </w:r>
          </w:p>
        </w:tc>
        <w:tc>
          <w:tcPr>
            <w:tcW w:w="280" w:type="dxa"/>
            <w:vAlign w:val="bottom"/>
          </w:tcPr>
          <w:p>
            <w:pPr>
              <w:spacing w:after="0" w:line="20" w:lineRule="exact"/>
              <w:rPr>
                <w:sz w:val="1"/>
                <w:szCs w:val="1"/>
                <w:color w:val="auto"/>
              </w:rPr>
            </w:pPr>
          </w:p>
        </w:tc>
        <w:tc>
          <w:tcPr>
            <w:tcW w:w="560" w:type="dxa"/>
            <w:vAlign w:val="bottom"/>
            <w:gridSpan w:val="2"/>
            <w:vMerge w:val="restart"/>
          </w:tcPr>
          <w:p>
            <w:pPr>
              <w:jc w:val="right"/>
              <w:ind w:right="128"/>
              <w:spacing w:after="0"/>
              <w:rPr>
                <w:sz w:val="20"/>
                <w:szCs w:val="20"/>
                <w:color w:val="auto"/>
              </w:rPr>
            </w:pPr>
            <w:r>
              <w:rPr>
                <w:rFonts w:ascii="Arial" w:cs="Arial" w:eastAsia="Arial" w:hAnsi="Arial"/>
                <w:sz w:val="18"/>
                <w:szCs w:val="18"/>
                <w:color w:val="auto"/>
              </w:rPr>
              <w:t>6</w:t>
            </w: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gridSpan w:val="2"/>
            <w:vMerge w:val="restart"/>
          </w:tcPr>
          <w:p>
            <w:pPr>
              <w:jc w:val="right"/>
              <w:ind w:right="200"/>
              <w:spacing w:after="0"/>
              <w:rPr>
                <w:sz w:val="20"/>
                <w:szCs w:val="20"/>
                <w:color w:val="auto"/>
              </w:rPr>
            </w:pPr>
            <w:r>
              <w:rPr>
                <w:rFonts w:ascii="Arial" w:cs="Arial" w:eastAsia="Arial" w:hAnsi="Arial"/>
                <w:sz w:val="18"/>
                <w:szCs w:val="18"/>
                <w:color w:val="auto"/>
              </w:rPr>
              <w:t>—</w:t>
            </w:r>
          </w:p>
        </w:tc>
        <w:tc>
          <w:tcPr>
            <w:tcW w:w="760" w:type="dxa"/>
            <w:vAlign w:val="bottom"/>
            <w:gridSpan w:val="3"/>
            <w:vMerge w:val="restart"/>
          </w:tcPr>
          <w:p>
            <w:pPr>
              <w:jc w:val="right"/>
              <w:ind w:right="200"/>
              <w:spacing w:after="0"/>
              <w:rPr>
                <w:sz w:val="20"/>
                <w:szCs w:val="20"/>
                <w:color w:val="auto"/>
              </w:rPr>
            </w:pPr>
            <w:r>
              <w:rPr>
                <w:rFonts w:ascii="Arial" w:cs="Arial" w:eastAsia="Arial" w:hAnsi="Arial"/>
                <w:sz w:val="18"/>
                <w:szCs w:val="18"/>
                <w:color w:val="auto"/>
              </w:rPr>
              <w:t>228</w:t>
            </w: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860" w:type="dxa"/>
            <w:vAlign w:val="bottom"/>
            <w:vMerge w:val="continue"/>
          </w:tcPr>
          <w:p>
            <w:pPr>
              <w:spacing w:after="0"/>
              <w:rPr>
                <w:sz w:val="18"/>
                <w:szCs w:val="18"/>
                <w:color w:val="auto"/>
              </w:rPr>
            </w:pPr>
          </w:p>
        </w:tc>
        <w:tc>
          <w:tcPr>
            <w:tcW w:w="460" w:type="dxa"/>
            <w:vAlign w:val="bottom"/>
            <w:gridSpan w:val="2"/>
            <w:vMerge w:val="continue"/>
          </w:tcPr>
          <w:p>
            <w:pPr>
              <w:spacing w:after="0"/>
              <w:rPr>
                <w:sz w:val="18"/>
                <w:szCs w:val="18"/>
                <w:color w:val="auto"/>
              </w:rPr>
            </w:pPr>
          </w:p>
        </w:tc>
        <w:tc>
          <w:tcPr>
            <w:tcW w:w="280" w:type="dxa"/>
            <w:vAlign w:val="bottom"/>
          </w:tcPr>
          <w:p>
            <w:pPr>
              <w:spacing w:after="0"/>
              <w:rPr>
                <w:sz w:val="18"/>
                <w:szCs w:val="18"/>
                <w:color w:val="auto"/>
              </w:rPr>
            </w:pPr>
          </w:p>
        </w:tc>
        <w:tc>
          <w:tcPr>
            <w:tcW w:w="56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gridSpan w:val="2"/>
            <w:vMerge w:val="continue"/>
          </w:tcPr>
          <w:p>
            <w:pPr>
              <w:spacing w:after="0"/>
              <w:rPr>
                <w:sz w:val="18"/>
                <w:szCs w:val="18"/>
                <w:color w:val="auto"/>
              </w:rPr>
            </w:pPr>
          </w:p>
        </w:tc>
        <w:tc>
          <w:tcPr>
            <w:tcW w:w="760" w:type="dxa"/>
            <w:vAlign w:val="bottom"/>
            <w:gridSpan w:val="3"/>
            <w:vMerge w:val="continue"/>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Facility closure costs</w:t>
            </w:r>
          </w:p>
        </w:tc>
        <w:tc>
          <w:tcPr>
            <w:tcW w:w="4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165</w:t>
            </w: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7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125</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tcPr>
          <w:p>
            <w:pPr>
              <w:ind w:left="340"/>
              <w:spacing w:after="0"/>
              <w:rPr>
                <w:sz w:val="20"/>
                <w:szCs w:val="20"/>
                <w:color w:val="auto"/>
              </w:rPr>
            </w:pPr>
            <w:r>
              <w:rPr>
                <w:rFonts w:ascii="Arial" w:cs="Arial" w:eastAsia="Arial" w:hAnsi="Arial"/>
                <w:sz w:val="18"/>
                <w:szCs w:val="18"/>
                <w:color w:val="auto"/>
              </w:rPr>
              <w:t>Costs associated with exiting certain activities</w:t>
            </w:r>
          </w:p>
        </w:tc>
        <w:tc>
          <w:tcPr>
            <w:tcW w:w="460" w:type="dxa"/>
            <w:vAlign w:val="bottom"/>
            <w:gridSpan w:val="2"/>
          </w:tcPr>
          <w:p>
            <w:pPr>
              <w:jc w:val="right"/>
              <w:ind w:right="20"/>
              <w:spacing w:after="0"/>
              <w:rPr>
                <w:sz w:val="20"/>
                <w:szCs w:val="20"/>
                <w:color w:val="auto"/>
              </w:rPr>
            </w:pPr>
            <w:r>
              <w:rPr>
                <w:rFonts w:ascii="Arial" w:cs="Arial" w:eastAsia="Arial" w:hAnsi="Arial"/>
                <w:sz w:val="18"/>
                <w:szCs w:val="18"/>
                <w:color w:val="auto"/>
              </w:rPr>
              <w:t>98</w:t>
            </w:r>
          </w:p>
        </w:tc>
        <w:tc>
          <w:tcPr>
            <w:tcW w:w="28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23</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75</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Merger &amp; integration</w:t>
            </w:r>
          </w:p>
        </w:tc>
        <w:tc>
          <w:tcPr>
            <w:tcW w:w="4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76</w:t>
            </w: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tcPr>
          <w:p>
            <w:pPr>
              <w:ind w:left="340"/>
              <w:spacing w:after="0"/>
              <w:rPr>
                <w:sz w:val="20"/>
                <w:szCs w:val="20"/>
                <w:color w:val="auto"/>
              </w:rPr>
            </w:pPr>
            <w:r>
              <w:rPr>
                <w:rFonts w:ascii="Arial" w:cs="Arial" w:eastAsia="Arial" w:hAnsi="Arial"/>
                <w:sz w:val="18"/>
                <w:szCs w:val="18"/>
                <w:color w:val="auto"/>
              </w:rPr>
              <w:t>Currency devaluation loss in Egypt</w:t>
            </w:r>
          </w:p>
        </w:tc>
        <w:tc>
          <w:tcPr>
            <w:tcW w:w="460" w:type="dxa"/>
            <w:vAlign w:val="bottom"/>
            <w:gridSpan w:val="2"/>
          </w:tcPr>
          <w:p>
            <w:pPr>
              <w:jc w:val="right"/>
              <w:ind w:right="20"/>
              <w:spacing w:after="0"/>
              <w:rPr>
                <w:sz w:val="20"/>
                <w:szCs w:val="20"/>
                <w:color w:val="auto"/>
              </w:rPr>
            </w:pPr>
            <w:r>
              <w:rPr>
                <w:rFonts w:ascii="Arial" w:cs="Arial" w:eastAsia="Arial" w:hAnsi="Arial"/>
                <w:sz w:val="18"/>
                <w:szCs w:val="18"/>
                <w:color w:val="auto"/>
              </w:rPr>
              <w:t>63</w:t>
            </w:r>
          </w:p>
        </w:tc>
        <w:tc>
          <w:tcPr>
            <w:tcW w:w="280" w:type="dxa"/>
            <w:vAlign w:val="bottom"/>
          </w:tcPr>
          <w:p>
            <w:pPr>
              <w:spacing w:after="0"/>
              <w:rPr>
                <w:sz w:val="18"/>
                <w:szCs w:val="18"/>
                <w:color w:val="auto"/>
              </w:rPr>
            </w:pPr>
          </w:p>
        </w:tc>
        <w:tc>
          <w:tcPr>
            <w:tcW w:w="56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63</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Contract termination costs</w:t>
            </w:r>
          </w:p>
        </w:tc>
        <w:tc>
          <w:tcPr>
            <w:tcW w:w="4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39</w:t>
            </w:r>
          </w:p>
        </w:tc>
        <w:tc>
          <w:tcPr>
            <w:tcW w:w="2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28"/>
              <w:spacing w:after="0"/>
              <w:rPr>
                <w:sz w:val="20"/>
                <w:szCs w:val="20"/>
                <w:color w:val="auto"/>
              </w:rPr>
            </w:pPr>
            <w:r>
              <w:rPr>
                <w:rFonts w:ascii="Arial" w:cs="Arial" w:eastAsia="Arial" w:hAnsi="Arial"/>
                <w:sz w:val="18"/>
                <w:szCs w:val="18"/>
                <w:color w:val="auto"/>
              </w:rPr>
              <w:t>9</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880" w:type="dxa"/>
            <w:vAlign w:val="bottom"/>
            <w:gridSpan w:val="2"/>
          </w:tcPr>
          <w:p>
            <w:pPr>
              <w:spacing w:after="0"/>
              <w:rPr>
                <w:sz w:val="20"/>
                <w:szCs w:val="20"/>
                <w:color w:val="auto"/>
              </w:rPr>
            </w:pPr>
            <w:r>
              <w:rPr>
                <w:rFonts w:ascii="Arial" w:cs="Arial" w:eastAsia="Arial" w:hAnsi="Arial"/>
                <w:sz w:val="18"/>
                <w:szCs w:val="18"/>
                <w:color w:val="auto"/>
              </w:rPr>
              <w:t>Schlumberger net income, excluding charges &amp; credits</w:t>
            </w: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3"/>
              </w:rPr>
              <w:t>$ 462</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6"/>
              </w:rPr>
              <w:t>$ 73</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8"/>
              </w:rPr>
              <w:t>$ 379</w:t>
            </w:r>
          </w:p>
        </w:tc>
        <w:tc>
          <w:tcPr>
            <w:tcW w:w="200" w:type="dxa"/>
            <w:vAlign w:val="bottom"/>
          </w:tcPr>
          <w:p>
            <w:pPr>
              <w:spacing w:after="0"/>
              <w:rPr>
                <w:sz w:val="19"/>
                <w:szCs w:val="19"/>
                <w:color w:val="auto"/>
              </w:rPr>
            </w:pPr>
          </w:p>
        </w:tc>
        <w:tc>
          <w:tcPr>
            <w:tcW w:w="700" w:type="dxa"/>
            <w:vAlign w:val="bottom"/>
            <w:gridSpan w:val="3"/>
          </w:tcPr>
          <w:p>
            <w:pPr>
              <w:jc w:val="center"/>
              <w:spacing w:after="0"/>
              <w:rPr>
                <w:sz w:val="20"/>
                <w:szCs w:val="20"/>
                <w:color w:val="auto"/>
              </w:rPr>
            </w:pPr>
            <w:r>
              <w:rPr>
                <w:rFonts w:ascii="Arial" w:cs="Arial" w:eastAsia="Arial" w:hAnsi="Arial"/>
                <w:sz w:val="18"/>
                <w:szCs w:val="18"/>
                <w:color w:val="auto"/>
                <w:w w:val="95"/>
              </w:rPr>
              <w:t>$ 0.27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6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There were no charges or credits during the first quarter of 2016.</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270" w:right="239" w:bottom="1440" w:gutter="0" w:footer="0" w:header="0"/>
        </w:sectPr>
      </w:pPr>
    </w:p>
    <w:bookmarkStart w:id="17" w:name="page18"/>
    <w:bookmarkEnd w:id="17"/>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Product Groups</w:t>
      </w:r>
    </w:p>
    <w:p>
      <w:pPr>
        <w:spacing w:after="0" w:line="251" w:lineRule="exact"/>
        <w:rPr>
          <w:sz w:val="20"/>
          <w:szCs w:val="20"/>
          <w:color w:val="auto"/>
        </w:rPr>
      </w:pPr>
    </w:p>
    <w:p>
      <w:pPr>
        <w:ind w:left="10200"/>
        <w:spacing w:after="0"/>
        <w:rPr>
          <w:sz w:val="20"/>
          <w:szCs w:val="20"/>
          <w:color w:val="auto"/>
        </w:rPr>
      </w:pPr>
      <w:r>
        <w:rPr>
          <w:rFonts w:ascii="Arial" w:cs="Arial" w:eastAsia="Arial" w:hAnsi="Arial"/>
          <w:sz w:val="14"/>
          <w:szCs w:val="14"/>
          <w:color w:val="auto"/>
        </w:rPr>
        <w:t>(Stated in millions)</w:t>
      </w:r>
    </w:p>
    <w:tbl>
      <w:tblPr>
        <w:tblLayout w:type="fixed"/>
        <w:tblInd w:w="0" w:type="dxa"/>
        <w:tblCellMar>
          <w:top w:w="0" w:type="dxa"/>
          <w:left w:w="0" w:type="dxa"/>
          <w:bottom w:w="0" w:type="dxa"/>
          <w:right w:w="0" w:type="dxa"/>
        </w:tblCellMar>
      </w:tblPr>
      <w:tr>
        <w:trPr>
          <w:trHeight w:val="155"/>
        </w:trPr>
        <w:tc>
          <w:tcPr>
            <w:tcW w:w="4500" w:type="dxa"/>
            <w:vAlign w:val="bottom"/>
          </w:tcPr>
          <w:p>
            <w:pPr>
              <w:spacing w:after="0"/>
              <w:rPr>
                <w:sz w:val="13"/>
                <w:szCs w:val="13"/>
                <w:color w:val="auto"/>
              </w:rPr>
            </w:pPr>
          </w:p>
        </w:tc>
        <w:tc>
          <w:tcPr>
            <w:tcW w:w="2360" w:type="dxa"/>
            <w:vAlign w:val="bottom"/>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720" w:type="dxa"/>
            <w:vAlign w:val="bottom"/>
            <w:tcBorders>
              <w:bottom w:val="single" w:sz="8" w:color="auto"/>
            </w:tcBorders>
            <w:gridSpan w:val="5"/>
          </w:tcPr>
          <w:p>
            <w:pPr>
              <w:jc w:val="right"/>
              <w:ind w:right="320"/>
              <w:spacing w:after="0" w:line="155" w:lineRule="exact"/>
              <w:rPr>
                <w:sz w:val="20"/>
                <w:szCs w:val="20"/>
                <w:color w:val="auto"/>
              </w:rPr>
            </w:pPr>
            <w:r>
              <w:rPr>
                <w:rFonts w:ascii="Arial" w:cs="Arial" w:eastAsia="Arial" w:hAnsi="Arial"/>
                <w:sz w:val="14"/>
                <w:szCs w:val="14"/>
                <w:b w:val="1"/>
                <w:bCs w:val="1"/>
                <w:color w:val="auto"/>
                <w:w w:val="99"/>
              </w:rPr>
              <w:t>Three Months Ended</w:t>
            </w:r>
          </w:p>
        </w:tc>
        <w:tc>
          <w:tcPr>
            <w:tcW w:w="50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450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1480" w:type="dxa"/>
            <w:vAlign w:val="bottom"/>
            <w:gridSpan w:val="5"/>
          </w:tcPr>
          <w:p>
            <w:pPr>
              <w:jc w:val="right"/>
              <w:ind w:right="400"/>
              <w:spacing w:after="0" w:line="142" w:lineRule="exact"/>
              <w:rPr>
                <w:sz w:val="20"/>
                <w:szCs w:val="20"/>
                <w:color w:val="auto"/>
              </w:rPr>
            </w:pPr>
            <w:r>
              <w:rPr>
                <w:rFonts w:ascii="Arial" w:cs="Arial" w:eastAsia="Arial" w:hAnsi="Arial"/>
                <w:sz w:val="14"/>
                <w:szCs w:val="14"/>
                <w:b w:val="1"/>
                <w:bCs w:val="1"/>
                <w:color w:val="auto"/>
              </w:rPr>
              <w:t>Mar. 31, 2017</w:t>
            </w:r>
          </w:p>
        </w:tc>
        <w:tc>
          <w:tcPr>
            <w:tcW w:w="140" w:type="dxa"/>
            <w:vAlign w:val="bottom"/>
          </w:tcPr>
          <w:p>
            <w:pPr>
              <w:spacing w:after="0"/>
              <w:rPr>
                <w:sz w:val="12"/>
                <w:szCs w:val="12"/>
                <w:color w:val="auto"/>
              </w:rPr>
            </w:pPr>
          </w:p>
        </w:tc>
        <w:tc>
          <w:tcPr>
            <w:tcW w:w="1580" w:type="dxa"/>
            <w:vAlign w:val="bottom"/>
            <w:gridSpan w:val="4"/>
          </w:tcPr>
          <w:p>
            <w:pPr>
              <w:jc w:val="right"/>
              <w:ind w:right="540"/>
              <w:spacing w:after="0" w:line="142" w:lineRule="exact"/>
              <w:rPr>
                <w:sz w:val="20"/>
                <w:szCs w:val="20"/>
                <w:color w:val="auto"/>
              </w:rPr>
            </w:pPr>
            <w:r>
              <w:rPr>
                <w:rFonts w:ascii="Arial" w:cs="Arial" w:eastAsia="Arial" w:hAnsi="Arial"/>
                <w:sz w:val="14"/>
                <w:szCs w:val="14"/>
                <w:color w:val="auto"/>
              </w:rPr>
              <w:t>Dec. 31, 2016</w:t>
            </w:r>
          </w:p>
        </w:tc>
        <w:tc>
          <w:tcPr>
            <w:tcW w:w="1260" w:type="dxa"/>
            <w:vAlign w:val="bottom"/>
            <w:gridSpan w:val="3"/>
          </w:tcPr>
          <w:p>
            <w:pPr>
              <w:jc w:val="right"/>
              <w:ind w:right="154"/>
              <w:spacing w:after="0" w:line="142" w:lineRule="exact"/>
              <w:rPr>
                <w:sz w:val="20"/>
                <w:szCs w:val="20"/>
                <w:color w:val="auto"/>
              </w:rPr>
            </w:pPr>
            <w:r>
              <w:rPr>
                <w:rFonts w:ascii="Arial" w:cs="Arial" w:eastAsia="Arial" w:hAnsi="Arial"/>
                <w:sz w:val="14"/>
                <w:szCs w:val="14"/>
                <w:color w:val="auto"/>
              </w:rPr>
              <w:t>Mar. 31, 2016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4500" w:type="dxa"/>
            <w:vAlign w:val="bottom"/>
          </w:tcPr>
          <w:p>
            <w:pPr>
              <w:spacing w:after="0"/>
              <w:rPr>
                <w:sz w:val="10"/>
                <w:szCs w:val="10"/>
                <w:color w:val="auto"/>
              </w:rPr>
            </w:pPr>
          </w:p>
        </w:tc>
        <w:tc>
          <w:tcPr>
            <w:tcW w:w="2360" w:type="dxa"/>
            <w:vAlign w:val="bottom"/>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320" w:type="dxa"/>
            <w:vAlign w:val="bottom"/>
            <w:tcBorders>
              <w:top w:val="single" w:sz="8" w:color="auto"/>
            </w:tcBorders>
          </w:tcPr>
          <w:p>
            <w:pPr>
              <w:spacing w:after="0"/>
              <w:rPr>
                <w:sz w:val="10"/>
                <w:szCs w:val="10"/>
                <w:color w:val="auto"/>
              </w:rPr>
            </w:pPr>
          </w:p>
        </w:tc>
        <w:tc>
          <w:tcPr>
            <w:tcW w:w="460" w:type="dxa"/>
            <w:vAlign w:val="bottom"/>
            <w:tcBorders>
              <w:top w:val="single" w:sz="8" w:color="auto"/>
            </w:tcBorders>
            <w:gridSpan w:val="2"/>
          </w:tcPr>
          <w:p>
            <w:pPr>
              <w:spacing w:after="0" w:line="119" w:lineRule="exact"/>
              <w:rPr>
                <w:sz w:val="20"/>
                <w:szCs w:val="20"/>
                <w:color w:val="auto"/>
              </w:rPr>
            </w:pPr>
            <w:r>
              <w:rPr>
                <w:rFonts w:ascii="Arial" w:cs="Arial" w:eastAsia="Arial" w:hAnsi="Arial"/>
                <w:sz w:val="13"/>
                <w:szCs w:val="13"/>
                <w:b w:val="1"/>
                <w:bCs w:val="1"/>
                <w:color w:val="auto"/>
                <w:w w:val="96"/>
              </w:rPr>
              <w:t>Income</w:t>
            </w: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Borders>
              <w:top w:val="single" w:sz="8" w:color="auto"/>
            </w:tcBorders>
          </w:tcPr>
          <w:p>
            <w:pPr>
              <w:spacing w:after="0"/>
              <w:rPr>
                <w:sz w:val="10"/>
                <w:szCs w:val="10"/>
                <w:color w:val="auto"/>
              </w:rPr>
            </w:pPr>
          </w:p>
        </w:tc>
        <w:tc>
          <w:tcPr>
            <w:tcW w:w="320" w:type="dxa"/>
            <w:vAlign w:val="bottom"/>
            <w:tcBorders>
              <w:top w:val="single" w:sz="8" w:color="auto"/>
            </w:tcBorders>
          </w:tcPr>
          <w:p>
            <w:pPr>
              <w:spacing w:after="0"/>
              <w:rPr>
                <w:sz w:val="10"/>
                <w:szCs w:val="10"/>
                <w:color w:val="auto"/>
              </w:rPr>
            </w:pPr>
          </w:p>
        </w:tc>
        <w:tc>
          <w:tcPr>
            <w:tcW w:w="42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color w:val="auto"/>
                <w:w w:val="98"/>
              </w:rPr>
              <w:t>Income</w:t>
            </w:r>
          </w:p>
        </w:tc>
        <w:tc>
          <w:tcPr>
            <w:tcW w:w="320" w:type="dxa"/>
            <w:vAlign w:val="bottom"/>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320" w:type="dxa"/>
            <w:vAlign w:val="bottom"/>
            <w:tcBorders>
              <w:top w:val="single" w:sz="8" w:color="auto"/>
            </w:tcBorders>
          </w:tcPr>
          <w:p>
            <w:pPr>
              <w:spacing w:after="0"/>
              <w:rPr>
                <w:sz w:val="10"/>
                <w:szCs w:val="10"/>
                <w:color w:val="auto"/>
              </w:rPr>
            </w:pPr>
          </w:p>
        </w:tc>
        <w:tc>
          <w:tcPr>
            <w:tcW w:w="44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color w:val="auto"/>
              </w:rPr>
              <w:t>Income</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450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860" w:type="dxa"/>
            <w:vAlign w:val="bottom"/>
            <w:gridSpan w:val="2"/>
            <w:vMerge w:val="restart"/>
          </w:tcPr>
          <w:p>
            <w:pPr>
              <w:jc w:val="right"/>
              <w:ind w:right="320"/>
              <w:spacing w:after="0"/>
              <w:rPr>
                <w:sz w:val="20"/>
                <w:szCs w:val="20"/>
                <w:color w:val="auto"/>
              </w:rPr>
            </w:pPr>
            <w:r>
              <w:rPr>
                <w:rFonts w:ascii="Arial" w:cs="Arial" w:eastAsia="Arial" w:hAnsi="Arial"/>
                <w:sz w:val="14"/>
                <w:szCs w:val="14"/>
                <w:b w:val="1"/>
                <w:bCs w:val="1"/>
                <w:color w:val="auto"/>
                <w:w w:val="89"/>
              </w:rPr>
              <w:t>Revenue</w:t>
            </w:r>
          </w:p>
        </w:tc>
        <w:tc>
          <w:tcPr>
            <w:tcW w:w="620" w:type="dxa"/>
            <w:vAlign w:val="bottom"/>
            <w:gridSpan w:val="3"/>
          </w:tcPr>
          <w:p>
            <w:pPr>
              <w:jc w:val="right"/>
              <w:ind w:right="180"/>
              <w:spacing w:after="0" w:line="149" w:lineRule="exact"/>
              <w:rPr>
                <w:sz w:val="20"/>
                <w:szCs w:val="20"/>
                <w:color w:val="auto"/>
              </w:rPr>
            </w:pPr>
            <w:r>
              <w:rPr>
                <w:rFonts w:ascii="Arial" w:cs="Arial" w:eastAsia="Arial" w:hAnsi="Arial"/>
                <w:sz w:val="14"/>
                <w:szCs w:val="14"/>
                <w:b w:val="1"/>
                <w:bCs w:val="1"/>
                <w:color w:val="auto"/>
                <w:w w:val="94"/>
              </w:rPr>
              <w:t>Before</w:t>
            </w: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40" w:type="dxa"/>
            <w:vAlign w:val="bottom"/>
            <w:gridSpan w:val="2"/>
          </w:tcPr>
          <w:p>
            <w:pPr>
              <w:jc w:val="center"/>
              <w:ind w:right="320"/>
              <w:spacing w:after="0" w:line="149" w:lineRule="exact"/>
              <w:rPr>
                <w:sz w:val="20"/>
                <w:szCs w:val="20"/>
                <w:color w:val="auto"/>
              </w:rPr>
            </w:pPr>
            <w:r>
              <w:rPr>
                <w:rFonts w:ascii="Arial" w:cs="Arial" w:eastAsia="Arial" w:hAnsi="Arial"/>
                <w:sz w:val="14"/>
                <w:szCs w:val="14"/>
                <w:color w:val="auto"/>
                <w:w w:val="92"/>
              </w:rPr>
              <w:t>Before</w:t>
            </w:r>
          </w:p>
        </w:tc>
        <w:tc>
          <w:tcPr>
            <w:tcW w:w="5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4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96"/>
              </w:rPr>
              <w:t>Before</w:t>
            </w:r>
          </w:p>
        </w:tc>
        <w:tc>
          <w:tcPr>
            <w:tcW w:w="0" w:type="dxa"/>
            <w:vAlign w:val="bottom"/>
          </w:tcPr>
          <w:p>
            <w:pPr>
              <w:spacing w:after="0"/>
              <w:rPr>
                <w:sz w:val="1"/>
                <w:szCs w:val="1"/>
                <w:color w:val="auto"/>
              </w:rPr>
            </w:pPr>
          </w:p>
        </w:tc>
      </w:tr>
      <w:tr>
        <w:trPr>
          <w:trHeight w:val="171"/>
        </w:trPr>
        <w:tc>
          <w:tcPr>
            <w:tcW w:w="450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62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w w:val="95"/>
              </w:rPr>
              <w:t>Taxes</w:t>
            </w:r>
          </w:p>
        </w:tc>
        <w:tc>
          <w:tcPr>
            <w:tcW w:w="140" w:type="dxa"/>
            <w:vAlign w:val="bottom"/>
          </w:tcPr>
          <w:p>
            <w:pPr>
              <w:spacing w:after="0"/>
              <w:rPr>
                <w:sz w:val="14"/>
                <w:szCs w:val="14"/>
                <w:color w:val="auto"/>
              </w:rPr>
            </w:pPr>
          </w:p>
        </w:tc>
        <w:tc>
          <w:tcPr>
            <w:tcW w:w="840" w:type="dxa"/>
            <w:vAlign w:val="bottom"/>
            <w:gridSpan w:val="2"/>
          </w:tcPr>
          <w:p>
            <w:pPr>
              <w:jc w:val="right"/>
              <w:ind w:right="320"/>
              <w:spacing w:after="0"/>
              <w:rPr>
                <w:sz w:val="20"/>
                <w:szCs w:val="20"/>
                <w:color w:val="auto"/>
              </w:rPr>
            </w:pPr>
            <w:r>
              <w:rPr>
                <w:rFonts w:ascii="Arial" w:cs="Arial" w:eastAsia="Arial" w:hAnsi="Arial"/>
                <w:sz w:val="14"/>
                <w:szCs w:val="14"/>
                <w:color w:val="auto"/>
                <w:w w:val="89"/>
              </w:rPr>
              <w:t>Revenue</w:t>
            </w:r>
          </w:p>
        </w:tc>
        <w:tc>
          <w:tcPr>
            <w:tcW w:w="740" w:type="dxa"/>
            <w:vAlign w:val="bottom"/>
            <w:gridSpan w:val="2"/>
          </w:tcPr>
          <w:p>
            <w:pPr>
              <w:jc w:val="center"/>
              <w:ind w:right="320"/>
              <w:spacing w:after="0"/>
              <w:rPr>
                <w:sz w:val="20"/>
                <w:szCs w:val="20"/>
                <w:color w:val="auto"/>
              </w:rPr>
            </w:pPr>
            <w:r>
              <w:rPr>
                <w:rFonts w:ascii="Arial" w:cs="Arial" w:eastAsia="Arial" w:hAnsi="Arial"/>
                <w:sz w:val="14"/>
                <w:szCs w:val="14"/>
                <w:color w:val="auto"/>
                <w:w w:val="89"/>
              </w:rPr>
              <w:t>Taxes</w:t>
            </w:r>
          </w:p>
        </w:tc>
        <w:tc>
          <w:tcPr>
            <w:tcW w:w="820" w:type="dxa"/>
            <w:vAlign w:val="bottom"/>
            <w:gridSpan w:val="2"/>
          </w:tcPr>
          <w:p>
            <w:pPr>
              <w:jc w:val="right"/>
              <w:ind w:right="320"/>
              <w:spacing w:after="0"/>
              <w:rPr>
                <w:sz w:val="20"/>
                <w:szCs w:val="20"/>
                <w:color w:val="auto"/>
              </w:rPr>
            </w:pPr>
            <w:r>
              <w:rPr>
                <w:rFonts w:ascii="Arial" w:cs="Arial" w:eastAsia="Arial" w:hAnsi="Arial"/>
                <w:sz w:val="14"/>
                <w:szCs w:val="14"/>
                <w:color w:val="auto"/>
                <w:w w:val="85"/>
              </w:rPr>
              <w:t>Revenue</w:t>
            </w:r>
          </w:p>
        </w:tc>
        <w:tc>
          <w:tcPr>
            <w:tcW w:w="540" w:type="dxa"/>
            <w:vAlign w:val="bottom"/>
            <w:gridSpan w:val="2"/>
          </w:tcPr>
          <w:p>
            <w:pPr>
              <w:jc w:val="center"/>
              <w:ind w:right="120"/>
              <w:spacing w:after="0"/>
              <w:rPr>
                <w:sz w:val="20"/>
                <w:szCs w:val="20"/>
                <w:color w:val="auto"/>
              </w:rPr>
            </w:pPr>
            <w:r>
              <w:rPr>
                <w:rFonts w:ascii="Arial" w:cs="Arial" w:eastAsia="Arial" w:hAnsi="Arial"/>
                <w:sz w:val="14"/>
                <w:szCs w:val="14"/>
                <w:color w:val="auto"/>
                <w:w w:val="89"/>
              </w:rPr>
              <w:t>Taxes</w:t>
            </w:r>
          </w:p>
        </w:tc>
        <w:tc>
          <w:tcPr>
            <w:tcW w:w="0" w:type="dxa"/>
            <w:vAlign w:val="bottom"/>
          </w:tcPr>
          <w:p>
            <w:pPr>
              <w:spacing w:after="0"/>
              <w:rPr>
                <w:sz w:val="1"/>
                <w:szCs w:val="1"/>
                <w:color w:val="auto"/>
              </w:rPr>
            </w:pPr>
          </w:p>
        </w:tc>
      </w:tr>
      <w:tr>
        <w:trPr>
          <w:trHeight w:val="210"/>
        </w:trPr>
        <w:tc>
          <w:tcPr>
            <w:tcW w:w="45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Reservoir Characterization</w:t>
            </w:r>
          </w:p>
        </w:tc>
        <w:tc>
          <w:tcPr>
            <w:tcW w:w="236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6"/>
              </w:rPr>
              <w:t>$ 1,618</w:t>
            </w:r>
          </w:p>
        </w:tc>
        <w:tc>
          <w:tcPr>
            <w:tcW w:w="3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w w:val="79"/>
              </w:rPr>
              <w:t>$</w:t>
            </w: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281</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$1,676</w:t>
            </w:r>
          </w:p>
        </w:tc>
        <w:tc>
          <w:tcPr>
            <w:tcW w:w="32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$ 319</w:t>
            </w:r>
          </w:p>
        </w:tc>
        <w:tc>
          <w:tcPr>
            <w:tcW w:w="32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$1,719</w:t>
            </w:r>
          </w:p>
        </w:tc>
        <w:tc>
          <w:tcPr>
            <w:tcW w:w="32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$ 334</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Drilling</w:t>
            </w:r>
          </w:p>
        </w:tc>
        <w:tc>
          <w:tcPr>
            <w:tcW w:w="3220" w:type="dxa"/>
            <w:vAlign w:val="bottom"/>
            <w:gridSpan w:val="3"/>
          </w:tcPr>
          <w:p>
            <w:pPr>
              <w:jc w:val="right"/>
              <w:ind w:right="320"/>
              <w:spacing w:after="0"/>
              <w:rPr>
                <w:sz w:val="20"/>
                <w:szCs w:val="20"/>
                <w:color w:val="auto"/>
              </w:rPr>
            </w:pPr>
            <w:r>
              <w:rPr>
                <w:rFonts w:ascii="Arial" w:cs="Arial" w:eastAsia="Arial" w:hAnsi="Arial"/>
                <w:sz w:val="18"/>
                <w:szCs w:val="18"/>
                <w:b w:val="1"/>
                <w:bCs w:val="1"/>
                <w:color w:val="auto"/>
              </w:rPr>
              <w:t>1,985</w:t>
            </w:r>
          </w:p>
        </w:tc>
        <w:tc>
          <w:tcPr>
            <w:tcW w:w="100" w:type="dxa"/>
            <w:vAlign w:val="bottom"/>
          </w:tcPr>
          <w:p>
            <w:pPr>
              <w:spacing w:after="0"/>
              <w:rPr>
                <w:sz w:val="18"/>
                <w:szCs w:val="18"/>
                <w:color w:val="auto"/>
              </w:rPr>
            </w:pPr>
          </w:p>
        </w:tc>
        <w:tc>
          <w:tcPr>
            <w:tcW w:w="52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229</w:t>
            </w:r>
          </w:p>
        </w:tc>
        <w:tc>
          <w:tcPr>
            <w:tcW w:w="980" w:type="dxa"/>
            <w:vAlign w:val="bottom"/>
            <w:gridSpan w:val="3"/>
          </w:tcPr>
          <w:p>
            <w:pPr>
              <w:jc w:val="right"/>
              <w:ind w:right="320"/>
              <w:spacing w:after="0"/>
              <w:rPr>
                <w:sz w:val="20"/>
                <w:szCs w:val="20"/>
                <w:color w:val="auto"/>
              </w:rPr>
            </w:pPr>
            <w:r>
              <w:rPr>
                <w:rFonts w:ascii="Arial" w:cs="Arial" w:eastAsia="Arial" w:hAnsi="Arial"/>
                <w:sz w:val="18"/>
                <w:szCs w:val="18"/>
                <w:color w:val="auto"/>
              </w:rPr>
              <w:t>2,013</w:t>
            </w:r>
          </w:p>
        </w:tc>
        <w:tc>
          <w:tcPr>
            <w:tcW w:w="740" w:type="dxa"/>
            <w:vAlign w:val="bottom"/>
            <w:gridSpan w:val="2"/>
          </w:tcPr>
          <w:p>
            <w:pPr>
              <w:jc w:val="right"/>
              <w:ind w:right="320"/>
              <w:spacing w:after="0"/>
              <w:rPr>
                <w:sz w:val="20"/>
                <w:szCs w:val="20"/>
                <w:color w:val="auto"/>
              </w:rPr>
            </w:pPr>
            <w:r>
              <w:rPr>
                <w:rFonts w:ascii="Arial" w:cs="Arial" w:eastAsia="Arial" w:hAnsi="Arial"/>
                <w:sz w:val="18"/>
                <w:szCs w:val="18"/>
                <w:color w:val="auto"/>
              </w:rPr>
              <w:t>234</w:t>
            </w:r>
          </w:p>
        </w:tc>
        <w:tc>
          <w:tcPr>
            <w:tcW w:w="820" w:type="dxa"/>
            <w:vAlign w:val="bottom"/>
            <w:gridSpan w:val="2"/>
          </w:tcPr>
          <w:p>
            <w:pPr>
              <w:jc w:val="right"/>
              <w:ind w:right="320"/>
              <w:spacing w:after="0"/>
              <w:rPr>
                <w:sz w:val="20"/>
                <w:szCs w:val="20"/>
                <w:color w:val="auto"/>
              </w:rPr>
            </w:pPr>
            <w:r>
              <w:rPr>
                <w:rFonts w:ascii="Arial" w:cs="Arial" w:eastAsia="Arial" w:hAnsi="Arial"/>
                <w:sz w:val="18"/>
                <w:szCs w:val="18"/>
                <w:color w:val="auto"/>
              </w:rPr>
              <w:t>2,493</w:t>
            </w: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rPr>
              <w:t>371</w:t>
            </w:r>
          </w:p>
        </w:tc>
        <w:tc>
          <w:tcPr>
            <w:tcW w:w="0" w:type="dxa"/>
            <w:vAlign w:val="bottom"/>
          </w:tcPr>
          <w:p>
            <w:pPr>
              <w:spacing w:after="0"/>
              <w:rPr>
                <w:sz w:val="1"/>
                <w:szCs w:val="1"/>
                <w:color w:val="auto"/>
              </w:rPr>
            </w:pPr>
          </w:p>
        </w:tc>
      </w:tr>
      <w:tr>
        <w:trPr>
          <w:trHeight w:val="216"/>
        </w:trPr>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Production</w:t>
            </w:r>
          </w:p>
        </w:tc>
        <w:tc>
          <w:tcPr>
            <w:tcW w:w="322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2,187</w:t>
            </w: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110</w:t>
            </w:r>
          </w:p>
        </w:tc>
        <w:tc>
          <w:tcPr>
            <w:tcW w:w="98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2,203</w:t>
            </w:r>
          </w:p>
        </w:tc>
        <w:tc>
          <w:tcPr>
            <w:tcW w:w="7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128</w:t>
            </w: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2,376</w:t>
            </w: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206</w:t>
            </w:r>
          </w:p>
        </w:tc>
        <w:tc>
          <w:tcPr>
            <w:tcW w:w="0" w:type="dxa"/>
            <w:vAlign w:val="bottom"/>
          </w:tcPr>
          <w:p>
            <w:pPr>
              <w:spacing w:after="0"/>
              <w:rPr>
                <w:sz w:val="1"/>
                <w:szCs w:val="1"/>
                <w:color w:val="auto"/>
              </w:rPr>
            </w:pP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Cameron</w:t>
            </w:r>
          </w:p>
        </w:tc>
        <w:tc>
          <w:tcPr>
            <w:tcW w:w="3220" w:type="dxa"/>
            <w:vAlign w:val="bottom"/>
            <w:gridSpan w:val="3"/>
          </w:tcPr>
          <w:p>
            <w:pPr>
              <w:jc w:val="right"/>
              <w:ind w:right="320"/>
              <w:spacing w:after="0"/>
              <w:rPr>
                <w:sz w:val="20"/>
                <w:szCs w:val="20"/>
                <w:color w:val="auto"/>
              </w:rPr>
            </w:pPr>
            <w:r>
              <w:rPr>
                <w:rFonts w:ascii="Arial" w:cs="Arial" w:eastAsia="Arial" w:hAnsi="Arial"/>
                <w:sz w:val="18"/>
                <w:szCs w:val="18"/>
                <w:b w:val="1"/>
                <w:bCs w:val="1"/>
                <w:color w:val="auto"/>
              </w:rPr>
              <w:t>1,229</w:t>
            </w:r>
          </w:p>
        </w:tc>
        <w:tc>
          <w:tcPr>
            <w:tcW w:w="100" w:type="dxa"/>
            <w:vAlign w:val="bottom"/>
          </w:tcPr>
          <w:p>
            <w:pPr>
              <w:spacing w:after="0"/>
              <w:rPr>
                <w:sz w:val="18"/>
                <w:szCs w:val="18"/>
                <w:color w:val="auto"/>
              </w:rPr>
            </w:pPr>
          </w:p>
        </w:tc>
        <w:tc>
          <w:tcPr>
            <w:tcW w:w="52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162</w:t>
            </w:r>
          </w:p>
        </w:tc>
        <w:tc>
          <w:tcPr>
            <w:tcW w:w="980" w:type="dxa"/>
            <w:vAlign w:val="bottom"/>
            <w:gridSpan w:val="3"/>
          </w:tcPr>
          <w:p>
            <w:pPr>
              <w:jc w:val="right"/>
              <w:ind w:right="320"/>
              <w:spacing w:after="0"/>
              <w:rPr>
                <w:sz w:val="20"/>
                <w:szCs w:val="20"/>
                <w:color w:val="auto"/>
              </w:rPr>
            </w:pPr>
            <w:r>
              <w:rPr>
                <w:rFonts w:ascii="Arial" w:cs="Arial" w:eastAsia="Arial" w:hAnsi="Arial"/>
                <w:sz w:val="18"/>
                <w:szCs w:val="18"/>
                <w:color w:val="auto"/>
              </w:rPr>
              <w:t>1,346</w:t>
            </w:r>
          </w:p>
        </w:tc>
        <w:tc>
          <w:tcPr>
            <w:tcW w:w="740" w:type="dxa"/>
            <w:vAlign w:val="bottom"/>
            <w:gridSpan w:val="2"/>
          </w:tcPr>
          <w:p>
            <w:pPr>
              <w:jc w:val="right"/>
              <w:ind w:right="320"/>
              <w:spacing w:after="0"/>
              <w:rPr>
                <w:sz w:val="20"/>
                <w:szCs w:val="20"/>
                <w:color w:val="auto"/>
              </w:rPr>
            </w:pPr>
            <w:r>
              <w:rPr>
                <w:rFonts w:ascii="Arial" w:cs="Arial" w:eastAsia="Arial" w:hAnsi="Arial"/>
                <w:sz w:val="18"/>
                <w:szCs w:val="18"/>
                <w:color w:val="auto"/>
              </w:rPr>
              <w:t>188</w:t>
            </w:r>
          </w:p>
        </w:tc>
        <w:tc>
          <w:tcPr>
            <w:tcW w:w="82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Eliminations &amp; other</w:t>
            </w:r>
          </w:p>
        </w:tc>
        <w:tc>
          <w:tcPr>
            <w:tcW w:w="32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(125)</w:t>
            </w: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(25)</w:t>
            </w:r>
          </w:p>
        </w:tc>
        <w:tc>
          <w:tcPr>
            <w:tcW w:w="98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(131)</w:t>
            </w:r>
          </w:p>
        </w:tc>
        <w:tc>
          <w:tcPr>
            <w:tcW w:w="7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(59)</w:t>
            </w: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(68)</w:t>
            </w: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23"/>
        </w:trPr>
        <w:tc>
          <w:tcPr>
            <w:tcW w:w="4500" w:type="dxa"/>
            <w:vAlign w:val="bottom"/>
          </w:tcPr>
          <w:p>
            <w:pPr>
              <w:ind w:left="360"/>
              <w:spacing w:after="0"/>
              <w:rPr>
                <w:sz w:val="20"/>
                <w:szCs w:val="20"/>
                <w:color w:val="auto"/>
              </w:rPr>
            </w:pPr>
            <w:r>
              <w:rPr>
                <w:rFonts w:ascii="Arial" w:cs="Arial" w:eastAsia="Arial" w:hAnsi="Arial"/>
                <w:sz w:val="18"/>
                <w:szCs w:val="18"/>
                <w:color w:val="auto"/>
              </w:rPr>
              <w:t>Pretax operating income</w:t>
            </w:r>
          </w:p>
        </w:tc>
        <w:tc>
          <w:tcPr>
            <w:tcW w:w="23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3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757</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810</w:t>
            </w:r>
          </w:p>
        </w:tc>
        <w:tc>
          <w:tcPr>
            <w:tcW w:w="3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901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Corporate &amp; other</w:t>
            </w:r>
          </w:p>
        </w:tc>
        <w:tc>
          <w:tcPr>
            <w:tcW w:w="23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w w:val="95"/>
              </w:rPr>
              <w:t>(239)</w:t>
            </w: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(245)</w:t>
            </w:r>
          </w:p>
        </w:tc>
        <w:tc>
          <w:tcPr>
            <w:tcW w:w="5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(172)</w:t>
            </w:r>
          </w:p>
        </w:tc>
        <w:tc>
          <w:tcPr>
            <w:tcW w:w="0" w:type="dxa"/>
            <w:vAlign w:val="bottom"/>
          </w:tcPr>
          <w:p>
            <w:pPr>
              <w:spacing w:after="0"/>
              <w:rPr>
                <w:sz w:val="1"/>
                <w:szCs w:val="1"/>
                <w:color w:val="auto"/>
              </w:rPr>
            </w:pP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Interest income</w:t>
            </w:r>
            <w:r>
              <w:rPr>
                <w:rFonts w:ascii="Arial" w:cs="Arial" w:eastAsia="Arial" w:hAnsi="Arial"/>
                <w:sz w:val="15"/>
                <w:szCs w:val="15"/>
                <w:color w:val="auto"/>
              </w:rPr>
              <w:t>(1)</w:t>
            </w:r>
          </w:p>
        </w:tc>
        <w:tc>
          <w:tcPr>
            <w:tcW w:w="23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24</w:t>
            </w: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40" w:type="dxa"/>
            <w:vAlign w:val="bottom"/>
            <w:gridSpan w:val="2"/>
          </w:tcPr>
          <w:p>
            <w:pPr>
              <w:jc w:val="right"/>
              <w:ind w:right="320"/>
              <w:spacing w:after="0"/>
              <w:rPr>
                <w:sz w:val="20"/>
                <w:szCs w:val="20"/>
                <w:color w:val="auto"/>
              </w:rPr>
            </w:pPr>
            <w:r>
              <w:rPr>
                <w:rFonts w:ascii="Arial" w:cs="Arial" w:eastAsia="Arial" w:hAnsi="Arial"/>
                <w:sz w:val="18"/>
                <w:szCs w:val="18"/>
                <w:color w:val="auto"/>
              </w:rPr>
              <w:t>23</w:t>
            </w: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r>
              <w:rPr>
                <w:rFonts w:ascii="Arial" w:cs="Arial" w:eastAsia="Arial" w:hAnsi="Arial"/>
                <w:sz w:val="15"/>
                <w:szCs w:val="15"/>
                <w:color w:val="auto"/>
              </w:rPr>
              <w:t>(1)</w:t>
            </w:r>
          </w:p>
        </w:tc>
        <w:tc>
          <w:tcPr>
            <w:tcW w:w="23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w w:val="95"/>
              </w:rPr>
              <w:t>(126)</w:t>
            </w: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(126)</w:t>
            </w:r>
          </w:p>
        </w:tc>
        <w:tc>
          <w:tcPr>
            <w:tcW w:w="5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Charges &amp; credits</w:t>
            </w:r>
          </w:p>
        </w:tc>
        <w:tc>
          <w:tcPr>
            <w:tcW w:w="23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(82)</w:t>
            </w: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40" w:type="dxa"/>
            <w:vAlign w:val="bottom"/>
            <w:gridSpan w:val="2"/>
          </w:tcPr>
          <w:p>
            <w:pPr>
              <w:jc w:val="right"/>
              <w:ind w:right="260"/>
              <w:spacing w:after="0"/>
              <w:rPr>
                <w:sz w:val="20"/>
                <w:szCs w:val="20"/>
                <w:color w:val="auto"/>
              </w:rPr>
            </w:pPr>
            <w:r>
              <w:rPr>
                <w:rFonts w:ascii="Arial" w:cs="Arial" w:eastAsia="Arial" w:hAnsi="Arial"/>
                <w:sz w:val="18"/>
                <w:szCs w:val="18"/>
                <w:color w:val="auto"/>
              </w:rPr>
              <w:t>(675)</w:t>
            </w: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500" w:type="dxa"/>
            <w:vAlign w:val="bottom"/>
          </w:tcPr>
          <w:p>
            <w:pPr>
              <w:spacing w:after="0"/>
              <w:rPr>
                <w:sz w:val="2"/>
                <w:szCs w:val="2"/>
                <w:color w:val="auto"/>
              </w:rPr>
            </w:pPr>
          </w:p>
        </w:tc>
        <w:tc>
          <w:tcPr>
            <w:tcW w:w="236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500" w:type="dxa"/>
            <w:vAlign w:val="bottom"/>
            <w:shd w:val="clear" w:color="auto" w:fill="CCEEFF"/>
          </w:tcPr>
          <w:p>
            <w:pPr>
              <w:spacing w:after="0"/>
              <w:rPr>
                <w:sz w:val="18"/>
                <w:szCs w:val="18"/>
                <w:color w:val="auto"/>
              </w:rPr>
            </w:pPr>
          </w:p>
        </w:tc>
        <w:tc>
          <w:tcPr>
            <w:tcW w:w="23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w w:val="86"/>
              </w:rPr>
              <w:t>$ 6,894</w:t>
            </w:r>
          </w:p>
        </w:tc>
        <w:tc>
          <w:tcPr>
            <w:tcW w:w="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79"/>
              </w:rPr>
              <w:t>$</w:t>
            </w:r>
          </w:p>
        </w:tc>
        <w:tc>
          <w:tcPr>
            <w:tcW w:w="5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334</w:t>
            </w:r>
          </w:p>
        </w:tc>
        <w:tc>
          <w:tcPr>
            <w:tcW w:w="98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7,107</w:t>
            </w:r>
          </w:p>
        </w:tc>
        <w:tc>
          <w:tcPr>
            <w:tcW w:w="7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(213)</w:t>
            </w: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6,520</w:t>
            </w: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3"/>
              </w:rPr>
              <w:t>$ 622</w:t>
            </w:r>
          </w:p>
        </w:tc>
        <w:tc>
          <w:tcPr>
            <w:tcW w:w="0" w:type="dxa"/>
            <w:vAlign w:val="bottom"/>
          </w:tcPr>
          <w:p>
            <w:pPr>
              <w:spacing w:after="0"/>
              <w:rPr>
                <w:sz w:val="1"/>
                <w:szCs w:val="1"/>
                <w:color w:val="auto"/>
              </w:rPr>
            </w:pPr>
          </w:p>
        </w:tc>
      </w:tr>
      <w:tr>
        <w:trPr>
          <w:trHeight w:val="20"/>
        </w:trPr>
        <w:tc>
          <w:tcPr>
            <w:tcW w:w="450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460" w:hanging="452"/>
        <w:spacing w:after="0"/>
        <w:tabs>
          <w:tab w:leader="none" w:pos="460" w:val="left"/>
        </w:tabs>
        <w:numPr>
          <w:ilvl w:val="0"/>
          <w:numId w:val="6"/>
        </w:numPr>
        <w:rPr>
          <w:rFonts w:ascii="Arial" w:cs="Arial" w:eastAsia="Arial" w:hAnsi="Arial"/>
          <w:sz w:val="15"/>
          <w:szCs w:val="15"/>
          <w:color w:val="auto"/>
        </w:rPr>
      </w:pPr>
      <w:r>
        <w:rPr>
          <w:rFonts w:ascii="Arial" w:cs="Arial" w:eastAsia="Arial" w:hAnsi="Arial"/>
          <w:sz w:val="18"/>
          <w:szCs w:val="18"/>
          <w:color w:val="auto"/>
        </w:rPr>
        <w:t>Excludes interest included in the Product Groups results.</w:t>
      </w:r>
    </w:p>
    <w:p>
      <w:pPr>
        <w:spacing w:after="0" w:line="225" w:lineRule="exact"/>
        <w:rPr>
          <w:rFonts w:ascii="Arial" w:cs="Arial" w:eastAsia="Arial" w:hAnsi="Arial"/>
          <w:sz w:val="15"/>
          <w:szCs w:val="15"/>
          <w:color w:val="auto"/>
        </w:rPr>
      </w:pPr>
    </w:p>
    <w:p>
      <w:pPr>
        <w:ind w:left="460"/>
        <w:spacing w:after="0"/>
        <w:rPr>
          <w:rFonts w:ascii="Arial" w:cs="Arial" w:eastAsia="Arial" w:hAnsi="Arial"/>
          <w:sz w:val="15"/>
          <w:szCs w:val="15"/>
          <w:color w:val="auto"/>
        </w:rPr>
      </w:pPr>
      <w:r>
        <w:rPr>
          <w:rFonts w:ascii="Arial" w:cs="Arial" w:eastAsia="Arial" w:hAnsi="Arial"/>
          <w:sz w:val="18"/>
          <w:szCs w:val="18"/>
          <w:color w:val="auto"/>
        </w:rPr>
        <w:t>Certain prior period items have been reclassified to conform to the current period presentation.</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270" w:right="239" w:bottom="1440" w:gutter="0" w:footer="0" w:header="0"/>
        </w:sectPr>
      </w:pPr>
    </w:p>
    <w:bookmarkStart w:id="18" w:name="page19"/>
    <w:bookmarkEnd w:id="18"/>
    <w:p>
      <w:pPr>
        <w:jc w:val="center"/>
        <w:ind w:right="-51"/>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Supplemental Information</w:t>
      </w:r>
    </w:p>
    <w:p>
      <w:pPr>
        <w:spacing w:after="0" w:line="252" w:lineRule="exact"/>
        <w:rPr>
          <w:sz w:val="20"/>
          <w:szCs w:val="20"/>
          <w:color w:val="auto"/>
        </w:rPr>
      </w:pPr>
    </w:p>
    <w:p>
      <w:pPr>
        <w:ind w:left="452" w:hanging="452"/>
        <w:spacing w:after="0"/>
        <w:tabs>
          <w:tab w:leader="none" w:pos="452"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What is the capex guidance for the full year 2017?</w:t>
      </w:r>
    </w:p>
    <w:p>
      <w:pPr>
        <w:spacing w:after="0" w:line="121" w:lineRule="exact"/>
        <w:rPr>
          <w:rFonts w:ascii="Arial" w:cs="Arial" w:eastAsia="Arial" w:hAnsi="Arial"/>
          <w:sz w:val="18"/>
          <w:szCs w:val="18"/>
          <w:b w:val="1"/>
          <w:bCs w:val="1"/>
          <w:color w:val="auto"/>
        </w:rPr>
      </w:pPr>
    </w:p>
    <w:p>
      <w:pPr>
        <w:ind w:left="452"/>
        <w:spacing w:after="0"/>
        <w:rPr>
          <w:rFonts w:ascii="Arial" w:cs="Arial" w:eastAsia="Arial" w:hAnsi="Arial"/>
          <w:sz w:val="18"/>
          <w:szCs w:val="18"/>
          <w:b w:val="1"/>
          <w:bCs w:val="1"/>
          <w:color w:val="auto"/>
        </w:rPr>
      </w:pPr>
      <w:r>
        <w:rPr>
          <w:rFonts w:ascii="Arial" w:cs="Arial" w:eastAsia="Arial" w:hAnsi="Arial"/>
          <w:sz w:val="18"/>
          <w:szCs w:val="18"/>
          <w:color w:val="auto"/>
        </w:rPr>
        <w:t>Capex (excluding multiclient and SPM investments) is expected to be $2.2 billion for 2017.</w:t>
      </w:r>
    </w:p>
    <w:p>
      <w:pPr>
        <w:spacing w:after="0" w:line="126" w:lineRule="exact"/>
        <w:rPr>
          <w:rFonts w:ascii="Arial" w:cs="Arial" w:eastAsia="Arial" w:hAnsi="Arial"/>
          <w:sz w:val="18"/>
          <w:szCs w:val="18"/>
          <w:b w:val="1"/>
          <w:bCs w:val="1"/>
          <w:color w:val="auto"/>
        </w:rPr>
      </w:pPr>
    </w:p>
    <w:p>
      <w:pPr>
        <w:ind w:left="452" w:hanging="452"/>
        <w:spacing w:after="0"/>
        <w:tabs>
          <w:tab w:leader="none" w:pos="452"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What was the cash flow from operations for the first quarter of 2017?</w:t>
      </w:r>
    </w:p>
    <w:p>
      <w:pPr>
        <w:spacing w:after="0" w:line="121" w:lineRule="exact"/>
        <w:rPr>
          <w:rFonts w:ascii="Arial" w:cs="Arial" w:eastAsia="Arial" w:hAnsi="Arial"/>
          <w:sz w:val="18"/>
          <w:szCs w:val="18"/>
          <w:b w:val="1"/>
          <w:bCs w:val="1"/>
          <w:color w:val="auto"/>
        </w:rPr>
      </w:pPr>
    </w:p>
    <w:p>
      <w:pPr>
        <w:ind w:left="452"/>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Cash flow from operations for the first quarter of 2017 was $656 million despite the consumption of working capital that is typically experienced in the first quarter. The use of working capital was driven by annual payments associated with employee compensation. Working capital also reflected $140 million of severance payments during the first quarter of 2017.</w:t>
      </w:r>
    </w:p>
    <w:p>
      <w:pPr>
        <w:spacing w:after="0" w:line="82" w:lineRule="exact"/>
        <w:rPr>
          <w:rFonts w:ascii="Arial" w:cs="Arial" w:eastAsia="Arial" w:hAnsi="Arial"/>
          <w:sz w:val="18"/>
          <w:szCs w:val="18"/>
          <w:b w:val="1"/>
          <w:bCs w:val="1"/>
          <w:color w:val="auto"/>
        </w:rPr>
      </w:pPr>
    </w:p>
    <w:p>
      <w:pPr>
        <w:ind w:left="452" w:hanging="452"/>
        <w:spacing w:after="0"/>
        <w:tabs>
          <w:tab w:leader="none" w:pos="452"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What was included in “Interest and other income” for the first quarter of 2017?</w:t>
      </w:r>
    </w:p>
    <w:p>
      <w:pPr>
        <w:spacing w:after="0" w:line="121" w:lineRule="exact"/>
        <w:rPr>
          <w:rFonts w:ascii="Arial" w:cs="Arial" w:eastAsia="Arial" w:hAnsi="Arial"/>
          <w:sz w:val="18"/>
          <w:szCs w:val="18"/>
          <w:b w:val="1"/>
          <w:bCs w:val="1"/>
          <w:color w:val="auto"/>
        </w:rPr>
      </w:pPr>
    </w:p>
    <w:p>
      <w:pPr>
        <w:ind w:left="452" w:right="78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“Interest and other income” for the first quarter of 2017 was $46 million. This amount consisted of earnings of equity method investments of $17 million and interest income of $29 million.</w:t>
      </w:r>
    </w:p>
    <w:p>
      <w:pPr>
        <w:spacing w:after="0" w:line="71" w:lineRule="exact"/>
        <w:rPr>
          <w:rFonts w:ascii="Arial" w:cs="Arial" w:eastAsia="Arial" w:hAnsi="Arial"/>
          <w:sz w:val="18"/>
          <w:szCs w:val="18"/>
          <w:b w:val="1"/>
          <w:bCs w:val="1"/>
          <w:color w:val="auto"/>
        </w:rPr>
      </w:pPr>
    </w:p>
    <w:p>
      <w:pPr>
        <w:ind w:left="452" w:hanging="452"/>
        <w:spacing w:after="0"/>
        <w:tabs>
          <w:tab w:leader="none" w:pos="452"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How did interest income and interest expense change during the first quarter of 2017?</w:t>
      </w:r>
    </w:p>
    <w:p>
      <w:pPr>
        <w:spacing w:after="0" w:line="121" w:lineRule="exact"/>
        <w:rPr>
          <w:rFonts w:ascii="Arial" w:cs="Arial" w:eastAsia="Arial" w:hAnsi="Arial"/>
          <w:sz w:val="18"/>
          <w:szCs w:val="18"/>
          <w:b w:val="1"/>
          <w:bCs w:val="1"/>
          <w:color w:val="auto"/>
        </w:rPr>
      </w:pPr>
    </w:p>
    <w:p>
      <w:pPr>
        <w:ind w:left="452"/>
        <w:spacing w:after="0"/>
        <w:rPr>
          <w:rFonts w:ascii="Arial" w:cs="Arial" w:eastAsia="Arial" w:hAnsi="Arial"/>
          <w:sz w:val="18"/>
          <w:szCs w:val="18"/>
          <w:b w:val="1"/>
          <w:bCs w:val="1"/>
          <w:color w:val="auto"/>
        </w:rPr>
      </w:pPr>
      <w:r>
        <w:rPr>
          <w:rFonts w:ascii="Arial" w:cs="Arial" w:eastAsia="Arial" w:hAnsi="Arial"/>
          <w:sz w:val="18"/>
          <w:szCs w:val="18"/>
          <w:color w:val="auto"/>
        </w:rPr>
        <w:t>Interest income of $29 million was flat sequentially. Interest expense of $139 million was also flat sequentially.</w:t>
      </w:r>
    </w:p>
    <w:p>
      <w:pPr>
        <w:spacing w:after="0" w:line="126" w:lineRule="exact"/>
        <w:rPr>
          <w:rFonts w:ascii="Arial" w:cs="Arial" w:eastAsia="Arial" w:hAnsi="Arial"/>
          <w:sz w:val="18"/>
          <w:szCs w:val="18"/>
          <w:b w:val="1"/>
          <w:bCs w:val="1"/>
          <w:color w:val="auto"/>
        </w:rPr>
      </w:pPr>
    </w:p>
    <w:p>
      <w:pPr>
        <w:ind w:left="452" w:hanging="452"/>
        <w:spacing w:after="0"/>
        <w:tabs>
          <w:tab w:leader="none" w:pos="452"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What is the difference between pretax operating income and Schlumberger’s consolidated income before taxes?</w:t>
      </w:r>
    </w:p>
    <w:p>
      <w:pPr>
        <w:spacing w:after="0" w:line="121" w:lineRule="exact"/>
        <w:rPr>
          <w:rFonts w:ascii="Arial" w:cs="Arial" w:eastAsia="Arial" w:hAnsi="Arial"/>
          <w:sz w:val="18"/>
          <w:szCs w:val="18"/>
          <w:b w:val="1"/>
          <w:bCs w:val="1"/>
          <w:color w:val="auto"/>
        </w:rPr>
      </w:pPr>
    </w:p>
    <w:p>
      <w:pPr>
        <w:jc w:val="both"/>
        <w:ind w:left="452" w:right="420"/>
        <w:spacing w:after="0" w:line="312" w:lineRule="auto"/>
        <w:rPr>
          <w:rFonts w:ascii="Arial" w:cs="Arial" w:eastAsia="Arial" w:hAnsi="Arial"/>
          <w:sz w:val="18"/>
          <w:szCs w:val="18"/>
          <w:b w:val="1"/>
          <w:bCs w:val="1"/>
          <w:color w:val="auto"/>
        </w:rPr>
      </w:pPr>
      <w:r>
        <w:rPr>
          <w:rFonts w:ascii="Arial" w:cs="Arial" w:eastAsia="Arial" w:hAnsi="Arial"/>
          <w:sz w:val="16"/>
          <w:szCs w:val="16"/>
          <w:color w:val="auto"/>
        </w:rPr>
        <w:t>The difference principally consists of corporate items (including charges and credits) and interest income and interest expense not allocated to the segments as well as stock-based compensation expense, amortization expense associated with certain intangible assets (including intangible asset amortization expense resulting from the acquisition of Cameron), certain centrally managed initiatives, and other nonoperating items.</w:t>
      </w:r>
    </w:p>
    <w:p>
      <w:pPr>
        <w:spacing w:after="0" w:line="48" w:lineRule="exact"/>
        <w:rPr>
          <w:rFonts w:ascii="Arial" w:cs="Arial" w:eastAsia="Arial" w:hAnsi="Arial"/>
          <w:sz w:val="18"/>
          <w:szCs w:val="18"/>
          <w:b w:val="1"/>
          <w:bCs w:val="1"/>
          <w:color w:val="auto"/>
        </w:rPr>
      </w:pPr>
    </w:p>
    <w:p>
      <w:pPr>
        <w:ind w:left="452" w:hanging="452"/>
        <w:spacing w:after="0"/>
        <w:tabs>
          <w:tab w:leader="none" w:pos="452"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What was the effective tax rate (ETR) for the first quarter of 2017?</w:t>
      </w:r>
    </w:p>
    <w:p>
      <w:pPr>
        <w:spacing w:after="0" w:line="121" w:lineRule="exact"/>
        <w:rPr>
          <w:rFonts w:ascii="Arial" w:cs="Arial" w:eastAsia="Arial" w:hAnsi="Arial"/>
          <w:sz w:val="18"/>
          <w:szCs w:val="18"/>
          <w:b w:val="1"/>
          <w:bCs w:val="1"/>
          <w:color w:val="auto"/>
        </w:rPr>
      </w:pPr>
    </w:p>
    <w:p>
      <w:pPr>
        <w:ind w:left="452" w:right="160"/>
        <w:spacing w:after="0" w:line="308" w:lineRule="auto"/>
        <w:rPr>
          <w:rFonts w:ascii="Arial" w:cs="Arial" w:eastAsia="Arial" w:hAnsi="Arial"/>
          <w:sz w:val="18"/>
          <w:szCs w:val="18"/>
          <w:b w:val="1"/>
          <w:bCs w:val="1"/>
          <w:color w:val="auto"/>
        </w:rPr>
      </w:pPr>
      <w:r>
        <w:rPr>
          <w:rFonts w:ascii="Arial" w:cs="Arial" w:eastAsia="Arial" w:hAnsi="Arial"/>
          <w:sz w:val="17"/>
          <w:szCs w:val="17"/>
          <w:color w:val="auto"/>
        </w:rPr>
        <w:t>The ETR for the first quarter of 2017, calculated in accordance with GAAP, was 14.8% as compared to 8.8% for the fourth quarter of 2016. The ETR for the first quarter of 2017, excluding charges and credits, was 15.3% as compared to 15.8% for the fourth quarter of 2016.</w:t>
      </w:r>
    </w:p>
    <w:p>
      <w:pPr>
        <w:spacing w:after="0" w:line="47" w:lineRule="exact"/>
        <w:rPr>
          <w:rFonts w:ascii="Arial" w:cs="Arial" w:eastAsia="Arial" w:hAnsi="Arial"/>
          <w:sz w:val="18"/>
          <w:szCs w:val="18"/>
          <w:b w:val="1"/>
          <w:bCs w:val="1"/>
          <w:color w:val="auto"/>
        </w:rPr>
      </w:pPr>
    </w:p>
    <w:p>
      <w:pPr>
        <w:ind w:left="452" w:hanging="452"/>
        <w:spacing w:after="0"/>
        <w:tabs>
          <w:tab w:leader="none" w:pos="452" w:val="left"/>
        </w:tabs>
        <w:numPr>
          <w:ilvl w:val="0"/>
          <w:numId w:val="7"/>
        </w:numPr>
        <w:rPr>
          <w:rFonts w:ascii="Arial" w:cs="Arial" w:eastAsia="Arial" w:hAnsi="Arial"/>
          <w:sz w:val="16"/>
          <w:szCs w:val="16"/>
          <w:b w:val="1"/>
          <w:bCs w:val="1"/>
          <w:color w:val="auto"/>
        </w:rPr>
      </w:pPr>
      <w:r>
        <w:rPr>
          <w:rFonts w:ascii="Arial" w:cs="Arial" w:eastAsia="Arial" w:hAnsi="Arial"/>
          <w:sz w:val="16"/>
          <w:szCs w:val="16"/>
          <w:b w:val="1"/>
          <w:bCs w:val="1"/>
          <w:color w:val="auto"/>
        </w:rPr>
        <w:t>How many shares of common stock were outstanding as of March 31, 2017 and how did this change from the end of the previous quarter?</w:t>
      </w:r>
    </w:p>
    <w:p>
      <w:pPr>
        <w:spacing w:after="0" w:line="144" w:lineRule="exact"/>
        <w:rPr>
          <w:rFonts w:ascii="Arial" w:cs="Arial" w:eastAsia="Arial" w:hAnsi="Arial"/>
          <w:sz w:val="16"/>
          <w:szCs w:val="16"/>
          <w:b w:val="1"/>
          <w:bCs w:val="1"/>
          <w:color w:val="auto"/>
        </w:rPr>
      </w:pPr>
    </w:p>
    <w:p>
      <w:pPr>
        <w:ind w:left="452" w:right="320"/>
        <w:spacing w:after="0" w:line="277" w:lineRule="auto"/>
        <w:rPr>
          <w:rFonts w:ascii="Arial" w:cs="Arial" w:eastAsia="Arial" w:hAnsi="Arial"/>
          <w:sz w:val="16"/>
          <w:szCs w:val="16"/>
          <w:b w:val="1"/>
          <w:bCs w:val="1"/>
          <w:color w:val="auto"/>
        </w:rPr>
      </w:pPr>
      <w:r>
        <w:rPr>
          <w:rFonts w:ascii="Arial" w:cs="Arial" w:eastAsia="Arial" w:hAnsi="Arial"/>
          <w:sz w:val="18"/>
          <w:szCs w:val="18"/>
          <w:color w:val="auto"/>
        </w:rPr>
        <w:t>There were 1.389 billion shares of common stock outstanding as of March 31, 2017. The following table shows the change in the number of shares outstanding from December 31, 2016 to March 31, 2017.</w:t>
      </w:r>
    </w:p>
    <w:p>
      <w:pPr>
        <w:sectPr>
          <w:pgSz w:w="11900" w:h="16838" w:orient="portrait"/>
          <w:cols w:equalWidth="0" w:num="1">
            <w:col w:w="11372"/>
          </w:cols>
          <w:pgMar w:left="248" w:top="270" w:right="279" w:bottom="1440" w:gutter="0" w:footer="0" w:header="0"/>
        </w:sectPr>
      </w:pPr>
    </w:p>
    <w:p>
      <w:pPr>
        <w:spacing w:after="0" w:line="346" w:lineRule="exact"/>
        <w:rPr>
          <w:sz w:val="20"/>
          <w:szCs w:val="20"/>
          <w:color w:val="auto"/>
        </w:rPr>
      </w:pPr>
    </w:p>
    <w:p>
      <w:pPr>
        <w:ind w:left="1832"/>
        <w:spacing w:after="0"/>
        <w:rPr>
          <w:sz w:val="20"/>
          <w:szCs w:val="20"/>
          <w:color w:val="auto"/>
        </w:rPr>
      </w:pPr>
      <w:r>
        <w:rPr>
          <w:rFonts w:ascii="Arial" w:cs="Arial" w:eastAsia="Arial" w:hAnsi="Arial"/>
          <w:sz w:val="18"/>
          <w:szCs w:val="18"/>
          <w:color w:val="auto"/>
        </w:rPr>
        <w:t>Shares outstanding at December 31,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1166495</wp:posOffset>
            </wp:positionH>
            <wp:positionV relativeFrom="paragraph">
              <wp:posOffset>-121920</wp:posOffset>
            </wp:positionV>
            <wp:extent cx="4922520" cy="13716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4922520" cy="137160"/>
                    </a:xfrm>
                    <a:prstGeom prst="rect">
                      <a:avLst/>
                    </a:prstGeom>
                    <a:noFill/>
                  </pic:spPr>
                </pic:pic>
              </a:graphicData>
            </a:graphic>
          </wp:anchor>
        </w:drawing>
      </w:r>
    </w:p>
    <w:p>
      <w:pPr>
        <w:spacing w:after="0" w:line="3" w:lineRule="exact"/>
        <w:rPr>
          <w:sz w:val="20"/>
          <w:szCs w:val="20"/>
          <w:color w:val="auto"/>
        </w:rPr>
      </w:pPr>
    </w:p>
    <w:p>
      <w:pPr>
        <w:ind w:left="1832"/>
        <w:spacing w:after="0"/>
        <w:rPr>
          <w:sz w:val="20"/>
          <w:szCs w:val="20"/>
          <w:color w:val="auto"/>
        </w:rPr>
      </w:pPr>
      <w:r>
        <w:rPr>
          <w:rFonts w:ascii="Arial" w:cs="Arial" w:eastAsia="Arial" w:hAnsi="Arial"/>
          <w:sz w:val="18"/>
          <w:szCs w:val="18"/>
          <w:color w:val="auto"/>
        </w:rPr>
        <w:t>Shares sold to optionees, less shares exchanged</w:t>
      </w:r>
    </w:p>
    <w:p>
      <w:pPr>
        <w:spacing w:after="0" w:line="9" w:lineRule="exact"/>
        <w:rPr>
          <w:sz w:val="20"/>
          <w:szCs w:val="20"/>
          <w:color w:val="auto"/>
        </w:rPr>
      </w:pPr>
    </w:p>
    <w:p>
      <w:pPr>
        <w:ind w:left="1832"/>
        <w:spacing w:after="0"/>
        <w:rPr>
          <w:sz w:val="20"/>
          <w:szCs w:val="20"/>
          <w:color w:val="auto"/>
        </w:rPr>
      </w:pPr>
      <w:r>
        <w:rPr>
          <w:rFonts w:ascii="Arial" w:cs="Arial" w:eastAsia="Arial" w:hAnsi="Arial"/>
          <w:sz w:val="18"/>
          <w:szCs w:val="18"/>
          <w:color w:val="auto"/>
        </w:rPr>
        <w:t>Vesting of restricted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1166495</wp:posOffset>
            </wp:positionH>
            <wp:positionV relativeFrom="paragraph">
              <wp:posOffset>-130810</wp:posOffset>
            </wp:positionV>
            <wp:extent cx="4922520" cy="13716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4922520" cy="137160"/>
                    </a:xfrm>
                    <a:prstGeom prst="rect">
                      <a:avLst/>
                    </a:prstGeom>
                    <a:noFill/>
                  </pic:spPr>
                </pic:pic>
              </a:graphicData>
            </a:graphic>
          </wp:anchor>
        </w:drawing>
      </w:r>
    </w:p>
    <w:p>
      <w:pPr>
        <w:ind w:left="1832"/>
        <w:spacing w:after="0"/>
        <w:rPr>
          <w:sz w:val="20"/>
          <w:szCs w:val="20"/>
          <w:color w:val="auto"/>
        </w:rPr>
      </w:pPr>
      <w:r>
        <w:rPr>
          <w:rFonts w:ascii="Arial" w:cs="Arial" w:eastAsia="Arial" w:hAnsi="Arial"/>
          <w:sz w:val="17"/>
          <w:szCs w:val="17"/>
          <w:color w:val="auto"/>
        </w:rPr>
        <w:t>Shares issued under employee stock purchase plan</w:t>
      </w:r>
    </w:p>
    <w:p>
      <w:pPr>
        <w:spacing w:after="0" w:line="21" w:lineRule="exact"/>
        <w:rPr>
          <w:sz w:val="20"/>
          <w:szCs w:val="20"/>
          <w:color w:val="auto"/>
        </w:rPr>
      </w:pPr>
    </w:p>
    <w:p>
      <w:pPr>
        <w:ind w:left="1832"/>
        <w:spacing w:after="0"/>
        <w:rPr>
          <w:sz w:val="20"/>
          <w:szCs w:val="20"/>
          <w:color w:val="auto"/>
        </w:rPr>
      </w:pPr>
      <w:r>
        <w:rPr>
          <w:rFonts w:ascii="Arial" w:cs="Arial" w:eastAsia="Arial" w:hAnsi="Arial"/>
          <w:sz w:val="18"/>
          <w:szCs w:val="18"/>
          <w:color w:val="auto"/>
        </w:rPr>
        <w:t>Stock repurchase program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1166495</wp:posOffset>
            </wp:positionH>
            <wp:positionV relativeFrom="paragraph">
              <wp:posOffset>-130810</wp:posOffset>
            </wp:positionV>
            <wp:extent cx="4922520" cy="13716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4922520" cy="137160"/>
                    </a:xfrm>
                    <a:prstGeom prst="rect">
                      <a:avLst/>
                    </a:prstGeom>
                    <a:noFill/>
                  </pic:spPr>
                </pic:pic>
              </a:graphicData>
            </a:graphic>
          </wp:anchor>
        </w:drawing>
      </w:r>
    </w:p>
    <w:p>
      <w:pPr>
        <w:spacing w:after="0" w:line="2" w:lineRule="exact"/>
        <w:rPr>
          <w:sz w:val="20"/>
          <w:szCs w:val="20"/>
          <w:color w:val="auto"/>
        </w:rPr>
      </w:pPr>
    </w:p>
    <w:p>
      <w:pPr>
        <w:ind w:left="1832"/>
        <w:spacing w:after="0"/>
        <w:rPr>
          <w:sz w:val="20"/>
          <w:szCs w:val="20"/>
          <w:color w:val="auto"/>
        </w:rPr>
      </w:pPr>
      <w:r>
        <w:rPr>
          <w:rFonts w:ascii="Arial" w:cs="Arial" w:eastAsia="Arial" w:hAnsi="Arial"/>
          <w:sz w:val="18"/>
          <w:szCs w:val="18"/>
          <w:color w:val="auto"/>
        </w:rPr>
        <w:t>Shares outstanding at March 31, 2017</w:t>
      </w:r>
    </w:p>
    <w:p>
      <w:pPr>
        <w:spacing w:after="0" w:line="212" w:lineRule="exact"/>
        <w:rPr>
          <w:sz w:val="20"/>
          <w:szCs w:val="20"/>
          <w:color w:val="auto"/>
        </w:rPr>
      </w:pPr>
    </w:p>
    <w:p>
      <w:pPr>
        <w:jc w:val="right"/>
        <w:ind w:right="1860"/>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br w:type="column"/>
      </w:r>
    </w:p>
    <w:p>
      <w:pPr>
        <w:spacing w:after="0" w:line="173" w:lineRule="exact"/>
        <w:rPr>
          <w:sz w:val="20"/>
          <w:szCs w:val="20"/>
          <w:color w:val="auto"/>
        </w:rPr>
      </w:pPr>
    </w:p>
    <w:p>
      <w:pPr>
        <w:jc w:val="right"/>
        <w:ind w:right="1900"/>
        <w:spacing w:after="0"/>
        <w:rPr>
          <w:sz w:val="20"/>
          <w:szCs w:val="20"/>
          <w:color w:val="auto"/>
        </w:rPr>
      </w:pPr>
      <w:r>
        <w:rPr>
          <w:rFonts w:ascii="Arial" w:cs="Arial" w:eastAsia="Arial" w:hAnsi="Arial"/>
          <w:sz w:val="13"/>
          <w:szCs w:val="13"/>
          <w:color w:val="auto"/>
        </w:rPr>
        <w:t>(Stated in millions)</w:t>
      </w:r>
    </w:p>
    <w:p>
      <w:pPr>
        <w:spacing w:after="0" w:line="19" w:lineRule="exact"/>
        <w:rPr>
          <w:sz w:val="20"/>
          <w:szCs w:val="20"/>
          <w:color w:val="auto"/>
        </w:rPr>
      </w:pPr>
    </w:p>
    <w:p>
      <w:pPr>
        <w:jc w:val="right"/>
        <w:ind w:right="1900"/>
        <w:spacing w:after="0"/>
        <w:rPr>
          <w:sz w:val="20"/>
          <w:szCs w:val="20"/>
          <w:color w:val="auto"/>
        </w:rPr>
      </w:pPr>
      <w:r>
        <w:rPr>
          <w:rFonts w:ascii="Arial" w:cs="Arial" w:eastAsia="Arial" w:hAnsi="Arial"/>
          <w:sz w:val="18"/>
          <w:szCs w:val="18"/>
          <w:color w:val="auto"/>
        </w:rPr>
        <w:t>1,391</w:t>
      </w:r>
    </w:p>
    <w:p>
      <w:pPr>
        <w:spacing w:after="0" w:line="7" w:lineRule="exact"/>
        <w:rPr>
          <w:sz w:val="20"/>
          <w:szCs w:val="20"/>
          <w:color w:val="auto"/>
        </w:rPr>
      </w:pPr>
    </w:p>
    <w:p>
      <w:pPr>
        <w:jc w:val="right"/>
        <w:ind w:right="1900"/>
        <w:spacing w:after="0"/>
        <w:rPr>
          <w:sz w:val="20"/>
          <w:szCs w:val="20"/>
          <w:color w:val="auto"/>
        </w:rPr>
      </w:pPr>
      <w:r>
        <w:rPr>
          <w:rFonts w:ascii="Arial" w:cs="Arial" w:eastAsia="Arial" w:hAnsi="Arial"/>
          <w:sz w:val="18"/>
          <w:szCs w:val="18"/>
          <w:color w:val="auto"/>
        </w:rPr>
        <w:t>1</w:t>
      </w:r>
    </w:p>
    <w:p>
      <w:pPr>
        <w:spacing w:after="0" w:line="9" w:lineRule="exact"/>
        <w:rPr>
          <w:sz w:val="20"/>
          <w:szCs w:val="20"/>
          <w:color w:val="auto"/>
        </w:rPr>
      </w:pPr>
    </w:p>
    <w:p>
      <w:pPr>
        <w:jc w:val="right"/>
        <w:ind w:right="1900"/>
        <w:spacing w:after="0"/>
        <w:rPr>
          <w:sz w:val="20"/>
          <w:szCs w:val="20"/>
          <w:color w:val="auto"/>
        </w:rPr>
      </w:pPr>
      <w:r>
        <w:rPr>
          <w:rFonts w:ascii="Arial" w:cs="Arial" w:eastAsia="Arial" w:hAnsi="Arial"/>
          <w:sz w:val="18"/>
          <w:szCs w:val="18"/>
          <w:color w:val="auto"/>
        </w:rPr>
        <w:t>1</w:t>
      </w:r>
    </w:p>
    <w:p>
      <w:pPr>
        <w:spacing w:after="0" w:line="9" w:lineRule="exact"/>
        <w:rPr>
          <w:sz w:val="20"/>
          <w:szCs w:val="20"/>
          <w:color w:val="auto"/>
        </w:rPr>
      </w:pPr>
    </w:p>
    <w:p>
      <w:pPr>
        <w:jc w:val="right"/>
        <w:ind w:right="1900"/>
        <w:spacing w:after="0"/>
        <w:rPr>
          <w:sz w:val="20"/>
          <w:szCs w:val="20"/>
          <w:color w:val="auto"/>
        </w:rPr>
      </w:pPr>
      <w:r>
        <w:rPr>
          <w:rFonts w:ascii="Arial" w:cs="Arial" w:eastAsia="Arial" w:hAnsi="Arial"/>
          <w:sz w:val="18"/>
          <w:szCs w:val="18"/>
          <w:color w:val="auto"/>
        </w:rPr>
        <w:t>1</w:t>
      </w:r>
    </w:p>
    <w:p>
      <w:pPr>
        <w:spacing w:after="0" w:line="9" w:lineRule="exact"/>
        <w:rPr>
          <w:sz w:val="20"/>
          <w:szCs w:val="20"/>
          <w:color w:val="auto"/>
        </w:rPr>
      </w:pPr>
    </w:p>
    <w:p>
      <w:pPr>
        <w:jc w:val="right"/>
        <w:ind w:right="184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5715</wp:posOffset>
            </wp:positionV>
            <wp:extent cx="71183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1835" cy="8890"/>
                    </a:xfrm>
                    <a:prstGeom prst="rect">
                      <a:avLst/>
                    </a:prstGeom>
                    <a:noFill/>
                  </pic:spPr>
                </pic:pic>
              </a:graphicData>
            </a:graphic>
          </wp:anchor>
        </w:drawing>
      </w:r>
    </w:p>
    <w:p>
      <w:pPr>
        <w:spacing w:after="0" w:line="2" w:lineRule="exact"/>
        <w:rPr>
          <w:sz w:val="20"/>
          <w:szCs w:val="20"/>
          <w:color w:val="auto"/>
        </w:rPr>
      </w:pPr>
    </w:p>
    <w:p>
      <w:pPr>
        <w:ind w:left="700"/>
        <w:spacing w:after="0"/>
        <w:rPr>
          <w:sz w:val="20"/>
          <w:szCs w:val="20"/>
          <w:color w:val="auto"/>
        </w:rPr>
      </w:pPr>
      <w:r>
        <w:rPr>
          <w:rFonts w:ascii="Arial" w:cs="Arial" w:eastAsia="Arial" w:hAnsi="Arial"/>
          <w:sz w:val="18"/>
          <w:szCs w:val="18"/>
          <w:color w:val="auto"/>
        </w:rPr>
        <w:t>1,389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1183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1835"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31750</wp:posOffset>
            </wp:positionV>
            <wp:extent cx="71183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1835" cy="8890"/>
                    </a:xfrm>
                    <a:prstGeom prst="rect">
                      <a:avLst/>
                    </a:prstGeom>
                    <a:noFill/>
                  </pic:spPr>
                </pic:pic>
              </a:graphicData>
            </a:graphic>
          </wp:anchor>
        </w:drawing>
      </w:r>
    </w:p>
    <w:p>
      <w:pPr>
        <w:sectPr>
          <w:pgSz w:w="11900" w:h="16838" w:orient="portrait"/>
          <w:cols w:equalWidth="0" w:num="2">
            <w:col w:w="7652" w:space="720"/>
            <w:col w:w="3000"/>
          </w:cols>
          <w:pgMar w:left="248" w:top="270" w:right="279" w:bottom="1440" w:gutter="0" w:footer="0" w:header="0"/>
          <w:type w:val="continuous"/>
        </w:sectPr>
      </w:pPr>
    </w:p>
    <w:bookmarkStart w:id="19" w:name="page20"/>
    <w:bookmarkEnd w:id="19"/>
    <w:p>
      <w:pPr>
        <w:ind w:left="452" w:right="120" w:hanging="452"/>
        <w:spacing w:after="0" w:line="266" w:lineRule="auto"/>
        <w:tabs>
          <w:tab w:leader="none" w:pos="452"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What was the weighted average number of shares outstanding during the first quarter of 2017 and fourth quarter of 2016 and how does this reconcile to the average number of shares outstanding, assuming dilution used in the calculation of diluted earnings per share, excluding charges and credits?</w:t>
      </w:r>
    </w:p>
    <w:p>
      <w:pPr>
        <w:spacing w:after="0" w:line="72" w:lineRule="exact"/>
        <w:rPr>
          <w:rFonts w:ascii="Arial" w:cs="Arial" w:eastAsia="Arial" w:hAnsi="Arial"/>
          <w:sz w:val="18"/>
          <w:szCs w:val="18"/>
          <w:b w:val="1"/>
          <w:bCs w:val="1"/>
          <w:color w:val="auto"/>
        </w:rPr>
      </w:pPr>
    </w:p>
    <w:p>
      <w:pPr>
        <w:ind w:left="452" w:right="24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weighted average number of shares outstanding during the first quarter of 2017 was 1.393 billion and 1.392 billion during the fourth quarter of 2016.</w:t>
      </w:r>
    </w:p>
    <w:p>
      <w:pPr>
        <w:spacing w:after="0" w:line="62" w:lineRule="exact"/>
        <w:rPr>
          <w:rFonts w:ascii="Arial" w:cs="Arial" w:eastAsia="Arial" w:hAnsi="Arial"/>
          <w:sz w:val="18"/>
          <w:szCs w:val="18"/>
          <w:b w:val="1"/>
          <w:bCs w:val="1"/>
          <w:color w:val="auto"/>
        </w:rPr>
      </w:pPr>
    </w:p>
    <w:p>
      <w:pPr>
        <w:ind w:left="452" w:right="14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following is a reconciliation of the weighted average shares outstanding to the average number of shares outstanding, assuming dilution, used in the calculation of diluted earnings per share, excluding charges and credits.</w:t>
      </w:r>
    </w:p>
    <w:p>
      <w:pPr>
        <w:spacing w:after="0" w:line="181" w:lineRule="exact"/>
        <w:rPr>
          <w:sz w:val="20"/>
          <w:szCs w:val="20"/>
          <w:color w:val="auto"/>
        </w:rPr>
      </w:pPr>
    </w:p>
    <w:tbl>
      <w:tblPr>
        <w:tblLayout w:type="fixed"/>
        <w:tblInd w:w="1372" w:type="dxa"/>
        <w:tblCellMar>
          <w:top w:w="0" w:type="dxa"/>
          <w:left w:w="0" w:type="dxa"/>
          <w:bottom w:w="0" w:type="dxa"/>
          <w:right w:w="0" w:type="dxa"/>
        </w:tblCellMar>
      </w:tblPr>
      <w:tr>
        <w:trPr>
          <w:trHeight w:val="161"/>
        </w:trPr>
        <w:tc>
          <w:tcPr>
            <w:tcW w:w="4760" w:type="dxa"/>
            <w:vAlign w:val="bottom"/>
          </w:tcPr>
          <w:p>
            <w:pPr>
              <w:spacing w:after="0"/>
              <w:rPr>
                <w:sz w:val="14"/>
                <w:szCs w:val="14"/>
                <w:color w:val="auto"/>
              </w:rPr>
            </w:pPr>
          </w:p>
        </w:tc>
        <w:tc>
          <w:tcPr>
            <w:tcW w:w="226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First Quarter</w:t>
            </w:r>
          </w:p>
        </w:tc>
        <w:tc>
          <w:tcPr>
            <w:tcW w:w="1660" w:type="dxa"/>
            <w:vAlign w:val="bottom"/>
            <w:gridSpan w:val="3"/>
          </w:tcPr>
          <w:p>
            <w:pPr>
              <w:jc w:val="right"/>
              <w:ind w:right="60"/>
              <w:spacing w:after="0"/>
              <w:rPr>
                <w:sz w:val="20"/>
                <w:szCs w:val="20"/>
                <w:color w:val="auto"/>
              </w:rPr>
            </w:pPr>
            <w:r>
              <w:rPr>
                <w:rFonts w:ascii="Arial" w:cs="Arial" w:eastAsia="Arial" w:hAnsi="Arial"/>
                <w:sz w:val="14"/>
                <w:szCs w:val="14"/>
                <w:color w:val="auto"/>
              </w:rPr>
              <w:t>(Stated in millions)</w:t>
            </w:r>
          </w:p>
        </w:tc>
        <w:tc>
          <w:tcPr>
            <w:tcW w:w="0" w:type="dxa"/>
            <w:vAlign w:val="bottom"/>
          </w:tcPr>
          <w:p>
            <w:pPr>
              <w:spacing w:after="0"/>
              <w:rPr>
                <w:sz w:val="1"/>
                <w:szCs w:val="1"/>
                <w:color w:val="auto"/>
              </w:rPr>
            </w:pPr>
          </w:p>
        </w:tc>
      </w:tr>
      <w:tr>
        <w:trPr>
          <w:trHeight w:val="145"/>
        </w:trPr>
        <w:tc>
          <w:tcPr>
            <w:tcW w:w="4760" w:type="dxa"/>
            <w:vAlign w:val="bottom"/>
          </w:tcPr>
          <w:p>
            <w:pPr>
              <w:spacing w:after="0"/>
              <w:rPr>
                <w:sz w:val="12"/>
                <w:szCs w:val="12"/>
                <w:color w:val="auto"/>
              </w:rPr>
            </w:pPr>
          </w:p>
        </w:tc>
        <w:tc>
          <w:tcPr>
            <w:tcW w:w="2260" w:type="dxa"/>
            <w:vAlign w:val="bottom"/>
            <w:gridSpan w:val="2"/>
            <w:vMerge w:val="continue"/>
          </w:tcPr>
          <w:p>
            <w:pPr>
              <w:spacing w:after="0"/>
              <w:rPr>
                <w:sz w:val="12"/>
                <w:szCs w:val="12"/>
                <w:color w:val="auto"/>
              </w:rPr>
            </w:pPr>
          </w:p>
        </w:tc>
        <w:tc>
          <w:tcPr>
            <w:tcW w:w="1660" w:type="dxa"/>
            <w:vAlign w:val="bottom"/>
            <w:gridSpan w:val="3"/>
          </w:tcPr>
          <w:p>
            <w:pPr>
              <w:jc w:val="right"/>
              <w:ind w:right="60"/>
              <w:spacing w:after="0" w:line="145" w:lineRule="exact"/>
              <w:rPr>
                <w:sz w:val="20"/>
                <w:szCs w:val="20"/>
                <w:color w:val="auto"/>
              </w:rPr>
            </w:pPr>
            <w:r>
              <w:rPr>
                <w:rFonts w:ascii="Arial" w:cs="Arial" w:eastAsia="Arial" w:hAnsi="Arial"/>
                <w:sz w:val="14"/>
                <w:szCs w:val="14"/>
                <w:color w:val="auto"/>
              </w:rPr>
              <w:t>Fourth Quarter</w:t>
            </w:r>
          </w:p>
        </w:tc>
        <w:tc>
          <w:tcPr>
            <w:tcW w:w="0" w:type="dxa"/>
            <w:vAlign w:val="bottom"/>
          </w:tcPr>
          <w:p>
            <w:pPr>
              <w:spacing w:after="0"/>
              <w:rPr>
                <w:sz w:val="1"/>
                <w:szCs w:val="1"/>
                <w:color w:val="auto"/>
              </w:rPr>
            </w:pPr>
          </w:p>
        </w:tc>
      </w:tr>
      <w:tr>
        <w:trPr>
          <w:trHeight w:val="171"/>
        </w:trPr>
        <w:tc>
          <w:tcPr>
            <w:tcW w:w="4760" w:type="dxa"/>
            <w:vAlign w:val="bottom"/>
          </w:tcPr>
          <w:p>
            <w:pPr>
              <w:spacing w:after="0"/>
              <w:rPr>
                <w:sz w:val="14"/>
                <w:szCs w:val="14"/>
                <w:color w:val="auto"/>
              </w:rPr>
            </w:pPr>
          </w:p>
        </w:tc>
        <w:tc>
          <w:tcPr>
            <w:tcW w:w="2260" w:type="dxa"/>
            <w:vAlign w:val="bottom"/>
            <w:gridSpan w:val="2"/>
          </w:tcPr>
          <w:p>
            <w:pPr>
              <w:jc w:val="right"/>
              <w:ind w:right="190"/>
              <w:spacing w:after="0"/>
              <w:rPr>
                <w:sz w:val="20"/>
                <w:szCs w:val="20"/>
                <w:color w:val="auto"/>
              </w:rPr>
            </w:pPr>
            <w:r>
              <w:rPr>
                <w:rFonts w:ascii="Arial" w:cs="Arial" w:eastAsia="Arial" w:hAnsi="Arial"/>
                <w:sz w:val="14"/>
                <w:szCs w:val="14"/>
                <w:b w:val="1"/>
                <w:bCs w:val="1"/>
                <w:color w:val="auto"/>
              </w:rPr>
              <w:t>2017</w:t>
            </w:r>
          </w:p>
        </w:tc>
        <w:tc>
          <w:tcPr>
            <w:tcW w:w="1600" w:type="dxa"/>
            <w:vAlign w:val="bottom"/>
            <w:gridSpan w:val="2"/>
          </w:tcPr>
          <w:p>
            <w:pPr>
              <w:jc w:val="right"/>
              <w:ind w:right="210"/>
              <w:spacing w:after="0"/>
              <w:rPr>
                <w:sz w:val="20"/>
                <w:szCs w:val="20"/>
                <w:color w:val="auto"/>
              </w:rPr>
            </w:pPr>
            <w:r>
              <w:rPr>
                <w:rFonts w:ascii="Arial" w:cs="Arial" w:eastAsia="Arial" w:hAnsi="Arial"/>
                <w:sz w:val="14"/>
                <w:szCs w:val="14"/>
                <w:color w:val="auto"/>
              </w:rPr>
              <w:t>2016</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7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Weighted average shares outstanding</w:t>
            </w:r>
          </w:p>
        </w:tc>
        <w:tc>
          <w:tcPr>
            <w:tcW w:w="144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1,393</w:t>
            </w:r>
          </w:p>
        </w:tc>
        <w:tc>
          <w:tcPr>
            <w:tcW w:w="74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1,391</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60" w:type="dxa"/>
            <w:vAlign w:val="bottom"/>
          </w:tcPr>
          <w:p>
            <w:pPr>
              <w:spacing w:after="0"/>
              <w:rPr>
                <w:sz w:val="20"/>
                <w:szCs w:val="20"/>
                <w:color w:val="auto"/>
              </w:rPr>
            </w:pPr>
            <w:r>
              <w:rPr>
                <w:rFonts w:ascii="Arial" w:cs="Arial" w:eastAsia="Arial" w:hAnsi="Arial"/>
                <w:sz w:val="18"/>
                <w:szCs w:val="18"/>
                <w:color w:val="auto"/>
              </w:rPr>
              <w:t>Assumed exercise of stock options</w:t>
            </w:r>
          </w:p>
        </w:tc>
        <w:tc>
          <w:tcPr>
            <w:tcW w:w="2260" w:type="dxa"/>
            <w:vAlign w:val="bottom"/>
            <w:gridSpan w:val="2"/>
          </w:tcPr>
          <w:p>
            <w:pPr>
              <w:jc w:val="right"/>
              <w:spacing w:after="0"/>
              <w:rPr>
                <w:sz w:val="20"/>
                <w:szCs w:val="20"/>
                <w:color w:val="auto"/>
              </w:rPr>
            </w:pPr>
            <w:r>
              <w:rPr>
                <w:rFonts w:ascii="Arial" w:cs="Arial" w:eastAsia="Arial" w:hAnsi="Arial"/>
                <w:sz w:val="18"/>
                <w:szCs w:val="18"/>
                <w:color w:val="auto"/>
              </w:rPr>
              <w:t>4</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Unvested restricted stock</w:t>
            </w:r>
          </w:p>
        </w:tc>
        <w:tc>
          <w:tcPr>
            <w:tcW w:w="2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760" w:type="dxa"/>
            <w:vAlign w:val="bottom"/>
          </w:tcPr>
          <w:p>
            <w:pPr>
              <w:spacing w:after="0"/>
              <w:rPr>
                <w:sz w:val="20"/>
                <w:szCs w:val="20"/>
                <w:color w:val="auto"/>
              </w:rPr>
            </w:pPr>
            <w:r>
              <w:rPr>
                <w:rFonts w:ascii="Arial" w:cs="Arial" w:eastAsia="Arial" w:hAnsi="Arial"/>
                <w:sz w:val="18"/>
                <w:szCs w:val="18"/>
                <w:color w:val="auto"/>
              </w:rPr>
              <w:t>Average shares outstanding, assuming dilution</w:t>
            </w:r>
          </w:p>
        </w:tc>
        <w:tc>
          <w:tcPr>
            <w:tcW w:w="1440" w:type="dxa"/>
            <w:vAlign w:val="bottom"/>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1,402</w:t>
            </w:r>
          </w:p>
        </w:tc>
        <w:tc>
          <w:tcPr>
            <w:tcW w:w="740" w:type="dxa"/>
            <w:vAlign w:val="bottom"/>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1,401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7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7" w:lineRule="exact"/>
        <w:rPr>
          <w:sz w:val="20"/>
          <w:szCs w:val="20"/>
          <w:color w:val="auto"/>
        </w:rPr>
      </w:pPr>
    </w:p>
    <w:p>
      <w:pPr>
        <w:ind w:left="452" w:hanging="452"/>
        <w:spacing w:after="0"/>
        <w:tabs>
          <w:tab w:leader="none" w:pos="452"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What was the amount of WesternGeco multiclient sales in the first quarter of 2017?</w:t>
      </w:r>
    </w:p>
    <w:p>
      <w:pPr>
        <w:spacing w:after="0" w:line="121" w:lineRule="exact"/>
        <w:rPr>
          <w:rFonts w:ascii="Arial" w:cs="Arial" w:eastAsia="Arial" w:hAnsi="Arial"/>
          <w:sz w:val="18"/>
          <w:szCs w:val="18"/>
          <w:b w:val="1"/>
          <w:bCs w:val="1"/>
          <w:color w:val="auto"/>
        </w:rPr>
      </w:pPr>
    </w:p>
    <w:p>
      <w:pPr>
        <w:ind w:left="452"/>
        <w:spacing w:after="0"/>
        <w:rPr>
          <w:rFonts w:ascii="Arial" w:cs="Arial" w:eastAsia="Arial" w:hAnsi="Arial"/>
          <w:sz w:val="18"/>
          <w:szCs w:val="18"/>
          <w:b w:val="1"/>
          <w:bCs w:val="1"/>
          <w:color w:val="auto"/>
        </w:rPr>
      </w:pPr>
      <w:r>
        <w:rPr>
          <w:rFonts w:ascii="Arial" w:cs="Arial" w:eastAsia="Arial" w:hAnsi="Arial"/>
          <w:sz w:val="18"/>
          <w:szCs w:val="18"/>
          <w:color w:val="auto"/>
        </w:rPr>
        <w:t>Multiclient sales, including transfer fees, were $138 million in the first quarter of 2017 and $143 million in the fourth quarter of 2016.</w:t>
      </w:r>
    </w:p>
    <w:p>
      <w:pPr>
        <w:spacing w:after="0" w:line="126" w:lineRule="exact"/>
        <w:rPr>
          <w:rFonts w:ascii="Arial" w:cs="Arial" w:eastAsia="Arial" w:hAnsi="Arial"/>
          <w:sz w:val="18"/>
          <w:szCs w:val="18"/>
          <w:b w:val="1"/>
          <w:bCs w:val="1"/>
          <w:color w:val="auto"/>
        </w:rPr>
      </w:pPr>
    </w:p>
    <w:p>
      <w:pPr>
        <w:ind w:left="452" w:hanging="452"/>
        <w:spacing w:after="0"/>
        <w:tabs>
          <w:tab w:leader="none" w:pos="452"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What was the WesternGeco backlog at the end of the first quarter of 2017?</w:t>
      </w:r>
    </w:p>
    <w:p>
      <w:pPr>
        <w:spacing w:after="0" w:line="121" w:lineRule="exact"/>
        <w:rPr>
          <w:rFonts w:ascii="Arial" w:cs="Arial" w:eastAsia="Arial" w:hAnsi="Arial"/>
          <w:sz w:val="18"/>
          <w:szCs w:val="18"/>
          <w:b w:val="1"/>
          <w:bCs w:val="1"/>
          <w:color w:val="auto"/>
        </w:rPr>
      </w:pPr>
    </w:p>
    <w:p>
      <w:pPr>
        <w:ind w:left="452"/>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WesternGeco backlog, which is based on signed contracts with customers, was $613 million at the end of the first quarter of 2017. It was $759 million at the end of the fourth quarter of 2016.</w:t>
      </w:r>
    </w:p>
    <w:p>
      <w:pPr>
        <w:spacing w:after="0" w:line="71" w:lineRule="exact"/>
        <w:rPr>
          <w:rFonts w:ascii="Arial" w:cs="Arial" w:eastAsia="Arial" w:hAnsi="Arial"/>
          <w:sz w:val="18"/>
          <w:szCs w:val="18"/>
          <w:b w:val="1"/>
          <w:bCs w:val="1"/>
          <w:color w:val="auto"/>
        </w:rPr>
      </w:pPr>
    </w:p>
    <w:p>
      <w:pPr>
        <w:ind w:left="452" w:right="2940" w:hanging="452"/>
        <w:spacing w:after="0" w:line="407" w:lineRule="auto"/>
        <w:tabs>
          <w:tab w:leader="none" w:pos="441"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What were the orders and backlogs for Cameron Group’s OneSubsea and Drilling Systems businesses? </w:t>
      </w:r>
      <w:r>
        <w:rPr>
          <w:rFonts w:ascii="Arial" w:cs="Arial" w:eastAsia="Arial" w:hAnsi="Arial"/>
          <w:sz w:val="18"/>
          <w:szCs w:val="18"/>
          <w:color w:val="auto"/>
        </w:rPr>
        <w:t>OneSubsea and Drilling Systems orders and backlogs were as follows:</w:t>
      </w:r>
    </w:p>
    <w:p>
      <w:pPr>
        <w:spacing w:after="0" w:line="68" w:lineRule="exact"/>
        <w:rPr>
          <w:sz w:val="20"/>
          <w:szCs w:val="20"/>
          <w:color w:val="auto"/>
        </w:rPr>
      </w:pPr>
    </w:p>
    <w:tbl>
      <w:tblPr>
        <w:tblLayout w:type="fixed"/>
        <w:tblInd w:w="1372" w:type="dxa"/>
        <w:tblCellMar>
          <w:top w:w="0" w:type="dxa"/>
          <w:left w:w="0" w:type="dxa"/>
          <w:bottom w:w="0" w:type="dxa"/>
          <w:right w:w="0" w:type="dxa"/>
        </w:tblCellMar>
      </w:tblPr>
      <w:tr>
        <w:trPr>
          <w:trHeight w:val="161"/>
        </w:trPr>
        <w:tc>
          <w:tcPr>
            <w:tcW w:w="3220" w:type="dxa"/>
            <w:vAlign w:val="bottom"/>
          </w:tcPr>
          <w:p>
            <w:pPr>
              <w:spacing w:after="0"/>
              <w:rPr>
                <w:sz w:val="14"/>
                <w:szCs w:val="14"/>
                <w:color w:val="auto"/>
              </w:rPr>
            </w:pPr>
          </w:p>
        </w:tc>
        <w:tc>
          <w:tcPr>
            <w:tcW w:w="3800" w:type="dxa"/>
            <w:vAlign w:val="bottom"/>
            <w:gridSpan w:val="3"/>
            <w:vMerge w:val="restart"/>
          </w:tcPr>
          <w:p>
            <w:pPr>
              <w:ind w:left="2960"/>
              <w:spacing w:after="0"/>
              <w:rPr>
                <w:sz w:val="20"/>
                <w:szCs w:val="20"/>
                <w:color w:val="auto"/>
              </w:rPr>
            </w:pPr>
            <w:r>
              <w:rPr>
                <w:rFonts w:ascii="Arial" w:cs="Arial" w:eastAsia="Arial" w:hAnsi="Arial"/>
                <w:sz w:val="14"/>
                <w:szCs w:val="14"/>
                <w:b w:val="1"/>
                <w:bCs w:val="1"/>
                <w:color w:val="auto"/>
                <w:w w:val="96"/>
              </w:rPr>
              <w:t>First Quarter</w:t>
            </w:r>
          </w:p>
        </w:tc>
        <w:tc>
          <w:tcPr>
            <w:tcW w:w="1660" w:type="dxa"/>
            <w:vAlign w:val="bottom"/>
            <w:gridSpan w:val="4"/>
          </w:tcPr>
          <w:p>
            <w:pPr>
              <w:ind w:left="480"/>
              <w:spacing w:after="0"/>
              <w:rPr>
                <w:sz w:val="20"/>
                <w:szCs w:val="20"/>
                <w:color w:val="auto"/>
              </w:rPr>
            </w:pPr>
            <w:r>
              <w:rPr>
                <w:rFonts w:ascii="Arial" w:cs="Arial" w:eastAsia="Arial" w:hAnsi="Arial"/>
                <w:sz w:val="14"/>
                <w:szCs w:val="14"/>
                <w:color w:val="auto"/>
              </w:rPr>
              <w:t>(Stated in millions)</w:t>
            </w:r>
          </w:p>
        </w:tc>
        <w:tc>
          <w:tcPr>
            <w:tcW w:w="0" w:type="dxa"/>
            <w:vAlign w:val="bottom"/>
          </w:tcPr>
          <w:p>
            <w:pPr>
              <w:spacing w:after="0"/>
              <w:rPr>
                <w:sz w:val="1"/>
                <w:szCs w:val="1"/>
                <w:color w:val="auto"/>
              </w:rPr>
            </w:pPr>
          </w:p>
        </w:tc>
      </w:tr>
      <w:tr>
        <w:trPr>
          <w:trHeight w:val="145"/>
        </w:trPr>
        <w:tc>
          <w:tcPr>
            <w:tcW w:w="3220" w:type="dxa"/>
            <w:vAlign w:val="bottom"/>
          </w:tcPr>
          <w:p>
            <w:pPr>
              <w:spacing w:after="0"/>
              <w:rPr>
                <w:sz w:val="12"/>
                <w:szCs w:val="12"/>
                <w:color w:val="auto"/>
              </w:rPr>
            </w:pPr>
          </w:p>
        </w:tc>
        <w:tc>
          <w:tcPr>
            <w:tcW w:w="3800" w:type="dxa"/>
            <w:vAlign w:val="bottom"/>
            <w:gridSpan w:val="3"/>
            <w:vMerge w:val="continue"/>
          </w:tcPr>
          <w:p>
            <w:pPr>
              <w:spacing w:after="0"/>
              <w:rPr>
                <w:sz w:val="12"/>
                <w:szCs w:val="12"/>
                <w:color w:val="auto"/>
              </w:rPr>
            </w:pPr>
          </w:p>
        </w:tc>
        <w:tc>
          <w:tcPr>
            <w:tcW w:w="1660" w:type="dxa"/>
            <w:vAlign w:val="bottom"/>
            <w:gridSpan w:val="4"/>
          </w:tcPr>
          <w:p>
            <w:pPr>
              <w:ind w:left="740"/>
              <w:spacing w:after="0" w:line="145" w:lineRule="exact"/>
              <w:rPr>
                <w:sz w:val="20"/>
                <w:szCs w:val="20"/>
                <w:color w:val="auto"/>
              </w:rPr>
            </w:pPr>
            <w:r>
              <w:rPr>
                <w:rFonts w:ascii="Arial" w:cs="Arial" w:eastAsia="Arial" w:hAnsi="Arial"/>
                <w:sz w:val="14"/>
                <w:szCs w:val="14"/>
                <w:color w:val="auto"/>
                <w:w w:val="97"/>
              </w:rPr>
              <w:t>Fourth Quarter</w:t>
            </w:r>
          </w:p>
        </w:tc>
        <w:tc>
          <w:tcPr>
            <w:tcW w:w="0" w:type="dxa"/>
            <w:vAlign w:val="bottom"/>
          </w:tcPr>
          <w:p>
            <w:pPr>
              <w:spacing w:after="0"/>
              <w:rPr>
                <w:sz w:val="1"/>
                <w:szCs w:val="1"/>
                <w:color w:val="auto"/>
              </w:rPr>
            </w:pPr>
          </w:p>
        </w:tc>
      </w:tr>
      <w:tr>
        <w:trPr>
          <w:trHeight w:val="171"/>
        </w:trPr>
        <w:tc>
          <w:tcPr>
            <w:tcW w:w="3220" w:type="dxa"/>
            <w:vAlign w:val="bottom"/>
            <w:tcBorders>
              <w:bottom w:val="single" w:sz="8" w:color="CCEEFF"/>
            </w:tcBorders>
          </w:tcPr>
          <w:p>
            <w:pPr>
              <w:spacing w:after="0"/>
              <w:rPr>
                <w:sz w:val="14"/>
                <w:szCs w:val="14"/>
                <w:color w:val="auto"/>
              </w:rPr>
            </w:pPr>
          </w:p>
        </w:tc>
        <w:tc>
          <w:tcPr>
            <w:tcW w:w="296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2017</w:t>
            </w:r>
          </w:p>
        </w:tc>
        <w:tc>
          <w:tcPr>
            <w:tcW w:w="74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color w:val="auto"/>
              </w:rPr>
              <w:t>2016</w:t>
            </w:r>
          </w:p>
        </w:tc>
        <w:tc>
          <w:tcPr>
            <w:tcW w:w="6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322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Orders</w:t>
            </w:r>
          </w:p>
        </w:tc>
        <w:tc>
          <w:tcPr>
            <w:tcW w:w="29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220" w:type="dxa"/>
            <w:vAlign w:val="bottom"/>
          </w:tcPr>
          <w:p>
            <w:pPr>
              <w:spacing w:after="0"/>
              <w:rPr>
                <w:sz w:val="20"/>
                <w:szCs w:val="20"/>
                <w:color w:val="auto"/>
              </w:rPr>
            </w:pPr>
            <w:r>
              <w:rPr>
                <w:rFonts w:ascii="Arial" w:cs="Arial" w:eastAsia="Arial" w:hAnsi="Arial"/>
                <w:sz w:val="18"/>
                <w:szCs w:val="18"/>
                <w:color w:val="auto"/>
              </w:rPr>
              <w:t>OneSubsea</w:t>
            </w:r>
          </w:p>
        </w:tc>
        <w:tc>
          <w:tcPr>
            <w:tcW w:w="3140" w:type="dxa"/>
            <w:vAlign w:val="bottom"/>
            <w:gridSpan w:val="2"/>
          </w:tcPr>
          <w:p>
            <w:pPr>
              <w:ind w:left="2960"/>
              <w:spacing w:after="0"/>
              <w:rPr>
                <w:sz w:val="20"/>
                <w:szCs w:val="20"/>
                <w:color w:val="auto"/>
              </w:rPr>
            </w:pPr>
            <w:r>
              <w:rPr>
                <w:rFonts w:ascii="Arial" w:cs="Arial" w:eastAsia="Arial" w:hAnsi="Arial"/>
                <w:sz w:val="18"/>
                <w:szCs w:val="18"/>
                <w:b w:val="1"/>
                <w:bCs w:val="1"/>
                <w:color w:val="auto"/>
              </w:rPr>
              <w:t>$</w:t>
            </w:r>
          </w:p>
        </w:tc>
        <w:tc>
          <w:tcPr>
            <w:tcW w:w="660" w:type="dxa"/>
            <w:vAlign w:val="bottom"/>
          </w:tcPr>
          <w:p>
            <w:pPr>
              <w:jc w:val="right"/>
              <w:spacing w:after="0"/>
              <w:rPr>
                <w:sz w:val="20"/>
                <w:szCs w:val="20"/>
                <w:color w:val="auto"/>
              </w:rPr>
            </w:pPr>
            <w:r>
              <w:rPr>
                <w:rFonts w:ascii="Arial" w:cs="Arial" w:eastAsia="Arial" w:hAnsi="Arial"/>
                <w:sz w:val="18"/>
                <w:szCs w:val="18"/>
                <w:b w:val="1"/>
                <w:bCs w:val="1"/>
                <w:color w:val="auto"/>
              </w:rPr>
              <w:t>546</w:t>
            </w:r>
          </w:p>
        </w:tc>
        <w:tc>
          <w:tcPr>
            <w:tcW w:w="920" w:type="dxa"/>
            <w:vAlign w:val="bottom"/>
            <w:gridSpan w:val="2"/>
          </w:tcPr>
          <w:p>
            <w:pPr>
              <w:ind w:left="74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523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20" w:type="dxa"/>
            <w:vAlign w:val="bottom"/>
            <w:shd w:val="clear" w:color="auto" w:fill="CCEEFF"/>
          </w:tcPr>
          <w:p>
            <w:pPr>
              <w:spacing w:after="0"/>
              <w:rPr>
                <w:sz w:val="20"/>
                <w:szCs w:val="20"/>
                <w:color w:val="auto"/>
              </w:rPr>
            </w:pPr>
            <w:r>
              <w:rPr>
                <w:rFonts w:ascii="Arial" w:cs="Arial" w:eastAsia="Arial" w:hAnsi="Arial"/>
                <w:sz w:val="18"/>
                <w:szCs w:val="18"/>
                <w:color w:val="auto"/>
              </w:rPr>
              <w:t>Drilling Systems</w:t>
            </w:r>
          </w:p>
        </w:tc>
        <w:tc>
          <w:tcPr>
            <w:tcW w:w="3140" w:type="dxa"/>
            <w:vAlign w:val="bottom"/>
            <w:gridSpan w:val="2"/>
            <w:shd w:val="clear" w:color="auto" w:fill="CCEEFF"/>
          </w:tcPr>
          <w:p>
            <w:pPr>
              <w:ind w:left="2960"/>
              <w:spacing w:after="0"/>
              <w:rPr>
                <w:sz w:val="20"/>
                <w:szCs w:val="20"/>
                <w:color w:val="auto"/>
              </w:rPr>
            </w:pPr>
            <w:r>
              <w:rPr>
                <w:rFonts w:ascii="Arial" w:cs="Arial" w:eastAsia="Arial" w:hAnsi="Arial"/>
                <w:sz w:val="18"/>
                <w:szCs w:val="18"/>
                <w:b w:val="1"/>
                <w:bCs w:val="1"/>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174</w:t>
            </w:r>
          </w:p>
        </w:tc>
        <w:tc>
          <w:tcPr>
            <w:tcW w:w="920" w:type="dxa"/>
            <w:vAlign w:val="bottom"/>
            <w:gridSpan w:val="2"/>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3220" w:type="dxa"/>
            <w:vAlign w:val="bottom"/>
          </w:tcPr>
          <w:p>
            <w:pPr>
              <w:spacing w:after="0"/>
              <w:rPr>
                <w:sz w:val="20"/>
                <w:szCs w:val="20"/>
                <w:color w:val="auto"/>
              </w:rPr>
            </w:pPr>
            <w:r>
              <w:rPr>
                <w:rFonts w:ascii="Arial" w:cs="Arial" w:eastAsia="Arial" w:hAnsi="Arial"/>
                <w:sz w:val="18"/>
                <w:szCs w:val="18"/>
                <w:b w:val="1"/>
                <w:bCs w:val="1"/>
                <w:color w:val="auto"/>
              </w:rPr>
              <w:t xml:space="preserve">Backlog </w:t>
            </w:r>
            <w:r>
              <w:rPr>
                <w:rFonts w:ascii="Arial" w:cs="Arial" w:eastAsia="Arial" w:hAnsi="Arial"/>
                <w:sz w:val="18"/>
                <w:szCs w:val="18"/>
                <w:color w:val="auto"/>
              </w:rPr>
              <w:t>(at the end of period)</w:t>
            </w:r>
          </w:p>
        </w:tc>
        <w:tc>
          <w:tcPr>
            <w:tcW w:w="2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220" w:type="dxa"/>
            <w:vAlign w:val="bottom"/>
            <w:shd w:val="clear" w:color="auto" w:fill="CCEEFF"/>
          </w:tcPr>
          <w:p>
            <w:pPr>
              <w:spacing w:after="0"/>
              <w:rPr>
                <w:sz w:val="20"/>
                <w:szCs w:val="20"/>
                <w:color w:val="auto"/>
              </w:rPr>
            </w:pPr>
            <w:r>
              <w:rPr>
                <w:rFonts w:ascii="Arial" w:cs="Arial" w:eastAsia="Arial" w:hAnsi="Arial"/>
                <w:sz w:val="18"/>
                <w:szCs w:val="18"/>
                <w:color w:val="auto"/>
              </w:rPr>
              <w:t>OneSubsea</w:t>
            </w:r>
          </w:p>
        </w:tc>
        <w:tc>
          <w:tcPr>
            <w:tcW w:w="3140" w:type="dxa"/>
            <w:vAlign w:val="bottom"/>
            <w:gridSpan w:val="2"/>
            <w:shd w:val="clear" w:color="auto" w:fill="CCEEFF"/>
          </w:tcPr>
          <w:p>
            <w:pPr>
              <w:ind w:left="2960"/>
              <w:spacing w:after="0"/>
              <w:rPr>
                <w:sz w:val="20"/>
                <w:szCs w:val="20"/>
                <w:color w:val="auto"/>
              </w:rPr>
            </w:pPr>
            <w:r>
              <w:rPr>
                <w:rFonts w:ascii="Arial" w:cs="Arial" w:eastAsia="Arial" w:hAnsi="Arial"/>
                <w:sz w:val="18"/>
                <w:szCs w:val="18"/>
                <w:b w:val="1"/>
                <w:bCs w:val="1"/>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2,634</w:t>
            </w:r>
          </w:p>
        </w:tc>
        <w:tc>
          <w:tcPr>
            <w:tcW w:w="920" w:type="dxa"/>
            <w:vAlign w:val="bottom"/>
            <w:gridSpan w:val="2"/>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220" w:type="dxa"/>
            <w:vAlign w:val="bottom"/>
          </w:tcPr>
          <w:p>
            <w:pPr>
              <w:spacing w:after="0"/>
              <w:rPr>
                <w:sz w:val="20"/>
                <w:szCs w:val="20"/>
                <w:color w:val="auto"/>
              </w:rPr>
            </w:pPr>
            <w:r>
              <w:rPr>
                <w:rFonts w:ascii="Arial" w:cs="Arial" w:eastAsia="Arial" w:hAnsi="Arial"/>
                <w:sz w:val="18"/>
                <w:szCs w:val="18"/>
                <w:color w:val="auto"/>
              </w:rPr>
              <w:t>Drilling Systems</w:t>
            </w:r>
          </w:p>
        </w:tc>
        <w:tc>
          <w:tcPr>
            <w:tcW w:w="3140" w:type="dxa"/>
            <w:vAlign w:val="bottom"/>
            <w:gridSpan w:val="2"/>
          </w:tcPr>
          <w:p>
            <w:pPr>
              <w:ind w:left="2960"/>
              <w:spacing w:after="0"/>
              <w:rPr>
                <w:sz w:val="20"/>
                <w:szCs w:val="20"/>
                <w:color w:val="auto"/>
              </w:rPr>
            </w:pPr>
            <w:r>
              <w:rPr>
                <w:rFonts w:ascii="Arial" w:cs="Arial" w:eastAsia="Arial" w:hAnsi="Arial"/>
                <w:sz w:val="18"/>
                <w:szCs w:val="18"/>
                <w:b w:val="1"/>
                <w:bCs w:val="1"/>
                <w:color w:val="auto"/>
              </w:rPr>
              <w:t>$</w:t>
            </w:r>
          </w:p>
        </w:tc>
        <w:tc>
          <w:tcPr>
            <w:tcW w:w="660" w:type="dxa"/>
            <w:vAlign w:val="bottom"/>
          </w:tcPr>
          <w:p>
            <w:pPr>
              <w:jc w:val="right"/>
              <w:spacing w:after="0"/>
              <w:rPr>
                <w:sz w:val="20"/>
                <w:szCs w:val="20"/>
                <w:color w:val="auto"/>
              </w:rPr>
            </w:pPr>
            <w:r>
              <w:rPr>
                <w:rFonts w:ascii="Arial" w:cs="Arial" w:eastAsia="Arial" w:hAnsi="Arial"/>
                <w:sz w:val="18"/>
                <w:szCs w:val="18"/>
                <w:b w:val="1"/>
                <w:bCs w:val="1"/>
                <w:color w:val="auto"/>
              </w:rPr>
              <w:t>608</w:t>
            </w:r>
          </w:p>
        </w:tc>
        <w:tc>
          <w:tcPr>
            <w:tcW w:w="920" w:type="dxa"/>
            <w:vAlign w:val="bottom"/>
            <w:gridSpan w:val="2"/>
          </w:tcPr>
          <w:p>
            <w:pPr>
              <w:ind w:left="74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607</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6"/>
        </w:trPr>
        <w:tc>
          <w:tcPr>
            <w:tcW w:w="3220" w:type="dxa"/>
            <w:vAlign w:val="bottom"/>
          </w:tcPr>
          <w:p>
            <w:pPr>
              <w:spacing w:after="0"/>
              <w:rPr>
                <w:sz w:val="24"/>
                <w:szCs w:val="24"/>
                <w:color w:val="auto"/>
              </w:rPr>
            </w:pPr>
          </w:p>
        </w:tc>
        <w:tc>
          <w:tcPr>
            <w:tcW w:w="2960" w:type="dxa"/>
            <w:vAlign w:val="bottom"/>
          </w:tcPr>
          <w:p>
            <w:pPr>
              <w:ind w:left="1020"/>
              <w:spacing w:after="0"/>
              <w:rPr>
                <w:sz w:val="20"/>
                <w:szCs w:val="20"/>
                <w:color w:val="auto"/>
              </w:rPr>
            </w:pPr>
            <w:r>
              <w:rPr>
                <w:rFonts w:ascii="Arial" w:cs="Arial" w:eastAsia="Arial" w:hAnsi="Arial"/>
                <w:sz w:val="18"/>
                <w:szCs w:val="18"/>
                <w:color w:val="auto"/>
              </w:rPr>
              <w:t>17</w:t>
            </w: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92"/>
          </w:cols>
          <w:pgMar w:left="248" w:top="270" w:right="35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About Schlumberger</w:t>
      </w:r>
    </w:p>
    <w:p>
      <w:pPr>
        <w:spacing w:after="0" w:line="12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Schlumberger is the world’s leading provider of technology for reservoir characterization, drilling, production, and processing to the oil and gas industry. Working in more than 85 countries and employing approximately 100,000 people who represent over 140 nationalities, Schlumberger supplies the industry’s most comprehensive range of products and services, from exploration through production, and integrated pore-to-pipeline solutions that optimize hydrocarbon recovery to deliver reservoir performance.</w:t>
      </w:r>
    </w:p>
    <w:p>
      <w:pPr>
        <w:spacing w:after="0" w:line="187" w:lineRule="exact"/>
        <w:rPr>
          <w:sz w:val="20"/>
          <w:szCs w:val="20"/>
          <w:color w:val="auto"/>
        </w:rPr>
      </w:pPr>
    </w:p>
    <w:p>
      <w:pPr>
        <w:ind w:right="940"/>
        <w:spacing w:after="0" w:line="277" w:lineRule="auto"/>
        <w:rPr>
          <w:sz w:val="20"/>
          <w:szCs w:val="20"/>
          <w:color w:val="auto"/>
        </w:rPr>
      </w:pPr>
      <w:r>
        <w:rPr>
          <w:rFonts w:ascii="Arial" w:cs="Arial" w:eastAsia="Arial" w:hAnsi="Arial"/>
          <w:sz w:val="18"/>
          <w:szCs w:val="18"/>
          <w:color w:val="auto"/>
        </w:rPr>
        <w:t>Schlumberger Limited has principal offices in Paris, Houston, London and The Hague, and reported revenues of $27.81 billion in 2016. For more information, visit www.slb.com.</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  Mark of Schlumberger or of Schlumberger companies.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w:t>
      </w:r>
    </w:p>
    <w:p>
      <w:pPr>
        <w:spacing w:after="0" w:line="121"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Schlumberger will hold a conference call to discuss the earnings press release and business outlook on Friday, April 21, 2017. The call is scheduled to begin at 8:30 a.m. US Eastern Time. To access the call, which is open to the public, please contact the conference call operator at +1 (800) 288-8967 within North America, or +1 (612) 333-4911 outside North America, approximately 10 minutes prior to the call’s scheduled start time. Ask for the “Schlumberger Earnings Conference Call.” At the conclusion of the conference call an audio replay will be available until May 21, 2017 by dialing +1 (800) 475-6701 within North America, or +1 (320) 365-3844 outside North America, and providing the access code 417634.</w:t>
      </w:r>
    </w:p>
    <w:p>
      <w:pPr>
        <w:spacing w:after="0" w:line="173"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The conference call will be webcast simultaneously at www.slb.com/irwebcast on a listen-only basis. A replay of the webcast will also be available at the same web site until May 30, 2017.</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more information, contact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Simon Farrant – Schlumberger Limited, Vice President of Investor Relations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Joy V. Domingo – Schlumberger Limited, Manager of Investor Relations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Office +1 (713) 375-3535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investor-relations@slb.com</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p>
    <w:p>
      <w:pPr>
        <w:spacing w:after="0" w:line="211"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This first-quarter 2017 earnings release, as well as other statements we make, contain “forward-looking statements” within the meaning of the federal securities laws, which include any statements that are not historical facts, such as our forecasts or expectations regarding business outlook; growth for Schlumberger as a whole and for each of its segments (and for specified products or geographic areas within each segment); oil and natural gas demand and production growth; oil and natural gas prices; improvements in operating procedures and technology, including our transformation program; capital expenditures by Schlumberger and the oil and gas industry; the business strategies of Schlumberger’s customers; the anticipated benefits of the Cameron transaction; the success of Schlumberger’s joint ventures and alliances; future global economic conditions; and future results of operations. These statements are subject to risks and uncertainties, including, but not limited to, global economic conditions; changes in exploration and production spending by Schlumberger’s customers and changes in the level of oil and natural gas exploration and development; general economic, political and business conditions in key regions of the world; foreign currency risk; pricing pressure; weather and seasonal factors; operational modifications, delays or cancellations; production declines; changes in government regulations and regulatory requirements, including those related to offshore oil and gas exploration, radioactive sources, explosives, chemicals, hydraulic fracturing services and climate-related initiatives; the inability of technology to meet new challenges in exploration; the inability to integrate the Cameron business and to realize expected synergies; the inability to retain key employees; and other risks and uncertainties detailed in this first-quarter 2017 earnings release and our most recent Forms 10-K, 10-Q, and 8-K filed with or furnished to the Securities and Exchange Commission. If one or more of these or other risks or uncertainties materialize (or the consequences of any such development changes), or should our underlying assumptions prove incorrect, actual outcomes may vary materially from those reflected in our forward-looking statements. Schlumberger disclaims any intention or obligation to update publicly or revise such statements, whether as a result of new information, future events or otherwise.</w:t>
      </w:r>
    </w:p>
    <w:p>
      <w:pPr>
        <w:spacing w:after="0" w:line="178"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18</w:t>
      </w:r>
    </w:p>
    <w:sectPr>
      <w:pgSz w:w="11900" w:h="16838" w:orient="portrait"/>
      <w:cols w:equalWidth="0" w:num="1">
        <w:col w:w="11420"/>
      </w:cols>
      <w:pgMar w:left="240" w:top="27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abstractNum>
  <w:abstractNum w:abstractNumId="1">
    <w:nsid w:val="3D1B58BA"/>
    <w:multiLevelType w:val="hybridMultilevel"/>
    <w:lvl w:ilvl="0">
      <w:lvlJc w:val="left"/>
      <w:lvlText w:val="•"/>
      <w:numFmt w:val="bullet"/>
      <w:start w:val="1"/>
    </w:lvl>
  </w:abstractNum>
  <w:abstractNum w:abstractNumId="2">
    <w:nsid w:val="507ED7AB"/>
    <w:multiLevelType w:val="hybridMultilevel"/>
    <w:lvl w:ilvl="0">
      <w:lvlJc w:val="left"/>
      <w:lvlText w:val="*"/>
      <w:numFmt w:val="bullet"/>
      <w:start w:val="1"/>
    </w:lvl>
  </w:abstractNum>
  <w:abstractNum w:abstractNumId="3">
    <w:nsid w:val="2EB141F2"/>
    <w:multiLevelType w:val="hybridMultilevel"/>
    <w:lvl w:ilvl="0">
      <w:lvlJc w:val="left"/>
      <w:lvlText w:val="(%1)"/>
      <w:numFmt w:val="decimal"/>
      <w:start w:val="1"/>
    </w:lvl>
  </w:abstractNum>
  <w:abstractNum w:abstractNumId="4">
    <w:nsid w:val="41B71EFB"/>
    <w:multiLevelType w:val="hybridMultilevel"/>
    <w:lvl w:ilvl="0">
      <w:lvlJc w:val="left"/>
      <w:lvlText w:val="(%1)"/>
      <w:numFmt w:val="decimal"/>
      <w:start w:val="1"/>
    </w:lvl>
  </w:abstractNum>
  <w:abstractNum w:abstractNumId="5">
    <w:nsid w:val="79E2A9E3"/>
    <w:multiLevelType w:val="hybridMultilevel"/>
    <w:lvl w:ilvl="0">
      <w:lvlJc w:val="left"/>
      <w:lvlText w:val="(%1)"/>
      <w:numFmt w:val="decimal"/>
      <w:start w:val="1"/>
    </w:lvl>
  </w:abstractNum>
  <w:abstractNum w:abstractNumId="6">
    <w:nsid w:val="7545E146"/>
    <w:multiLevelType w:val="hybridMultilevel"/>
    <w:lvl w:ilvl="0">
      <w:lvlJc w:val="left"/>
      <w:lvlText w:val="%1)"/>
      <w:numFmt w:val="decimal"/>
      <w:start w:val="1"/>
    </w:lvl>
  </w:abstractNum>
  <w:abstractNum w:abstractNumId="7">
    <w:nsid w:val="515F007C"/>
    <w:multiLevelType w:val="hybridMultilevel"/>
    <w:lvl w:ilvl="0">
      <w:lvlJc w:val="left"/>
      <w:lvlText w:val="%1)"/>
      <w:numFmt w:val="decimal"/>
      <w:start w:val="8"/>
    </w:lvl>
  </w:abstractNum>
  <w:abstractNum w:abstractNumId="8">
    <w:nsid w:val="5BD062C2"/>
    <w:multiLevelType w:val="hybridMultilevel"/>
    <w:lvl w:ilvl="0">
      <w:lvlJc w:val="left"/>
      <w:lvlText w:val="%1)"/>
      <w:numFmt w:val="decimal"/>
      <w:start w:val="9"/>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2019-12-05T06:51:27Z</dcterms:created>
  <dcterms:modified xsi:type="dcterms:W3CDTF">2019-12-05T06:51:27Z</dcterms:modified>
</cp:coreProperties>
</file>