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230"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r>
        <w:rPr>
          <w:rFonts w:ascii="Arial" w:cs="Arial" w:eastAsia="Arial" w:hAnsi="Arial"/>
          <w:sz w:val="16"/>
          <w:szCs w:val="16"/>
          <w:b w:val="1"/>
          <w:bCs w:val="1"/>
          <w:color w:val="auto"/>
        </w:rPr>
        <w:t>.</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23, 2015, Paal Kibsgaard, Chief Executive Officer of Schlumberger Limited (“Schlumberger”), presented at the Howard Weil 43</w:t>
      </w:r>
      <w:r>
        <w:rPr>
          <w:rFonts w:ascii="Arial" w:cs="Arial" w:eastAsia="Arial" w:hAnsi="Arial"/>
          <w:sz w:val="15"/>
          <w:szCs w:val="15"/>
          <w:color w:val="auto"/>
        </w:rPr>
        <w:t>rd</w:t>
      </w:r>
      <w:r>
        <w:rPr>
          <w:rFonts w:ascii="Arial" w:cs="Arial" w:eastAsia="Arial" w:hAnsi="Arial"/>
          <w:sz w:val="18"/>
          <w:szCs w:val="18"/>
          <w:color w:val="auto"/>
        </w:rPr>
        <w:t xml:space="preserve"> Annual Energy Conference in New Orleans, Louisiana, to discuss, among other things, the current business outlook. The slide presentation is available on the Schlumberger Investor Relations website at http://investorcenter.slb.com/phoenix.zhtml?c=97513&amp;p=irol-presentations and at http://www.slb.com/news/presentations.aspx.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by their nature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or reductions, in North America and internationally; oil and natural gas prices; improvements in operating procedures and technology; capital expenditures by Schlumberger and the oil and gas industry; the business strategies of Schlumberger’s customers; demand for our integrated services; the success of Schlumberger’s joint ventures and alliances and its integration of acquired companies; introduction of new technologies; future global economic conditions; and future results of operations, in North America and internationally.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the success of Schlumberger’s transformation efforts; general economic, political and business conditions in key regions of the world, including in Russia and the Ukraine; pricing erosion; weather and seasonal factors; operational delays; production declines; inability to acquire target companies or integrate new acquisitions;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 10-K filed with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2015</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2019-12-05T15:18:59Z</dcterms:created>
  <dcterms:modified xsi:type="dcterms:W3CDTF">2019-12-05T15:18:59Z</dcterms:modified>
</cp:coreProperties>
</file>