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184785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203835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December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191135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193675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1920" w:type="dxa"/>
            <w:vAlign w:val="bottom"/>
          </w:tcPr>
          <w:p>
            <w:pPr>
              <w:jc w:val="center"/>
              <w:ind w:right="182"/>
              <w:spacing w:after="0"/>
              <w:rPr>
                <w:sz w:val="20"/>
                <w:szCs w:val="20"/>
                <w:color w:val="auto"/>
              </w:rPr>
            </w:pPr>
            <w:r>
              <w:rPr>
                <w:rFonts w:ascii="Arial" w:cs="Arial" w:eastAsia="Arial" w:hAnsi="Arial"/>
                <w:sz w:val="18"/>
                <w:szCs w:val="18"/>
                <w:b w:val="1"/>
                <w:bCs w:val="1"/>
                <w:color w:val="auto"/>
                <w:w w:val="91"/>
              </w:rPr>
              <w:t>Curaçao</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92"/>
              </w:rPr>
              <w:t>1-4601</w:t>
            </w:r>
          </w:p>
        </w:tc>
        <w:tc>
          <w:tcPr>
            <w:tcW w:w="1560" w:type="dxa"/>
            <w:vAlign w:val="bottom"/>
          </w:tcPr>
          <w:p>
            <w:pPr>
              <w:jc w:val="center"/>
              <w:ind w:left="362"/>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1920" w:type="dxa"/>
            <w:vAlign w:val="bottom"/>
          </w:tcPr>
          <w:p>
            <w:pPr>
              <w:jc w:val="center"/>
              <w:ind w:right="20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(Commission</w:t>
            </w:r>
          </w:p>
        </w:tc>
        <w:tc>
          <w:tcPr>
            <w:tcW w:w="156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20" w:type="dxa"/>
            <w:vAlign w:val="bottom"/>
          </w:tcPr>
          <w:p>
            <w:pPr>
              <w:jc w:val="center"/>
              <w:ind w:right="202"/>
              <w:spacing w:after="0"/>
              <w:rPr>
                <w:sz w:val="20"/>
                <w:szCs w:val="20"/>
                <w:color w:val="auto"/>
              </w:rPr>
            </w:pPr>
            <w:r>
              <w:rPr>
                <w:rFonts w:ascii="Arial" w:cs="Arial" w:eastAsia="Arial" w:hAnsi="Arial"/>
                <w:sz w:val="14"/>
                <w:szCs w:val="14"/>
                <w:b w:val="1"/>
                <w:bCs w:val="1"/>
                <w:color w:val="auto"/>
                <w:w w:val="92"/>
              </w:rPr>
              <w:t>of incorporation)</w:t>
            </w: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8"/>
              </w:rPr>
              <w:t>File Number)</w:t>
            </w:r>
          </w:p>
        </w:tc>
        <w:tc>
          <w:tcPr>
            <w:tcW w:w="1560" w:type="dxa"/>
            <w:vAlign w:val="bottom"/>
          </w:tcPr>
          <w:p>
            <w:pPr>
              <w:jc w:val="center"/>
              <w:ind w:left="362"/>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1920" w:type="dxa"/>
            <w:vAlign w:val="bottom"/>
          </w:tcPr>
          <w:p>
            <w:pPr>
              <w:spacing w:after="0"/>
              <w:rPr>
                <w:sz w:val="24"/>
                <w:szCs w:val="24"/>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560" w:type="dxa"/>
            <w:vAlign w:val="bottom"/>
          </w:tcPr>
          <w:p>
            <w:pPr>
              <w:spacing w:after="0"/>
              <w:rPr>
                <w:sz w:val="24"/>
                <w:szCs w:val="24"/>
                <w:color w:val="auto"/>
              </w:rPr>
            </w:pPr>
          </w:p>
        </w:tc>
      </w:tr>
      <w:tr>
        <w:trPr>
          <w:trHeight w:val="216"/>
        </w:trPr>
        <w:tc>
          <w:tcPr>
            <w:tcW w:w="1920" w:type="dxa"/>
            <w:vAlign w:val="bottom"/>
          </w:tcPr>
          <w:p>
            <w:pPr>
              <w:spacing w:after="0"/>
              <w:rPr>
                <w:sz w:val="18"/>
                <w:szCs w:val="18"/>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89"/>
              </w:rPr>
              <w:t>5599 San Felipe, Houston, Texas U.S.A. 77056</w:t>
            </w:r>
          </w:p>
        </w:tc>
        <w:tc>
          <w:tcPr>
            <w:tcW w:w="156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5300" w:type="dxa"/>
            <w:vAlign w:val="bottom"/>
          </w:tcPr>
          <w:p>
            <w:pPr>
              <w:jc w:val="center"/>
              <w:ind w:right="117"/>
              <w:spacing w:after="0"/>
              <w:rPr>
                <w:sz w:val="20"/>
                <w:szCs w:val="20"/>
                <w:color w:val="auto"/>
              </w:rPr>
            </w:pPr>
            <w:r>
              <w:rPr>
                <w:rFonts w:ascii="Arial" w:cs="Arial" w:eastAsia="Arial" w:hAnsi="Arial"/>
                <w:sz w:val="18"/>
                <w:szCs w:val="18"/>
                <w:b w:val="1"/>
                <w:bCs w:val="1"/>
                <w:color w:val="auto"/>
                <w:w w:val="92"/>
              </w:rPr>
              <w:t>62 Buckingham Gate, London, United Kingdom SW1E 6AJ</w:t>
            </w:r>
          </w:p>
        </w:tc>
        <w:tc>
          <w:tcPr>
            <w:tcW w:w="1560" w:type="dxa"/>
            <w:vAlign w:val="bottom"/>
          </w:tcPr>
          <w:p>
            <w:pPr>
              <w:spacing w:after="0"/>
              <w:rPr>
                <w:sz w:val="18"/>
                <w:szCs w:val="18"/>
                <w:color w:val="auto"/>
              </w:rPr>
            </w:pPr>
          </w:p>
        </w:tc>
      </w:tr>
      <w:tr>
        <w:trPr>
          <w:trHeight w:val="212"/>
        </w:trPr>
        <w:tc>
          <w:tcPr>
            <w:tcW w:w="1920" w:type="dxa"/>
            <w:vAlign w:val="bottom"/>
          </w:tcPr>
          <w:p>
            <w:pPr>
              <w:spacing w:after="0"/>
              <w:rPr>
                <w:sz w:val="18"/>
                <w:szCs w:val="18"/>
                <w:color w:val="auto"/>
              </w:rPr>
            </w:pPr>
          </w:p>
        </w:tc>
        <w:tc>
          <w:tcPr>
            <w:tcW w:w="5300" w:type="dxa"/>
            <w:vAlign w:val="bottom"/>
          </w:tcPr>
          <w:p>
            <w:pPr>
              <w:jc w:val="center"/>
              <w:ind w:right="97"/>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560" w:type="dxa"/>
            <w:vAlign w:val="bottom"/>
          </w:tcPr>
          <w:p>
            <w:pPr>
              <w:spacing w:after="0"/>
              <w:rPr>
                <w:sz w:val="18"/>
                <w:szCs w:val="18"/>
                <w:color w:val="auto"/>
              </w:rPr>
            </w:pPr>
          </w:p>
        </w:tc>
      </w:tr>
      <w:tr>
        <w:trPr>
          <w:trHeight w:val="186"/>
        </w:trPr>
        <w:tc>
          <w:tcPr>
            <w:tcW w:w="1920" w:type="dxa"/>
            <w:vAlign w:val="bottom"/>
          </w:tcPr>
          <w:p>
            <w:pPr>
              <w:spacing w:after="0"/>
              <w:rPr>
                <w:sz w:val="16"/>
                <w:szCs w:val="16"/>
                <w:color w:val="auto"/>
              </w:rPr>
            </w:pPr>
          </w:p>
        </w:tc>
        <w:tc>
          <w:tcPr>
            <w:tcW w:w="5300" w:type="dxa"/>
            <w:vAlign w:val="bottom"/>
          </w:tcPr>
          <w:p>
            <w:pPr>
              <w:jc w:val="center"/>
              <w:ind w:right="117"/>
              <w:spacing w:after="0"/>
              <w:rPr>
                <w:sz w:val="20"/>
                <w:szCs w:val="20"/>
                <w:color w:val="auto"/>
              </w:rPr>
            </w:pPr>
            <w:r>
              <w:rPr>
                <w:rFonts w:ascii="Arial" w:cs="Arial" w:eastAsia="Arial" w:hAnsi="Arial"/>
                <w:sz w:val="14"/>
                <w:szCs w:val="14"/>
                <w:b w:val="1"/>
                <w:bCs w:val="1"/>
                <w:color w:val="auto"/>
                <w:w w:val="90"/>
              </w:rPr>
              <w:t>(Addresses of principal executive offices and zip or postal codes)</w:t>
            </w:r>
          </w:p>
        </w:tc>
        <w:tc>
          <w:tcPr>
            <w:tcW w:w="1560" w:type="dxa"/>
            <w:vAlign w:val="bottom"/>
          </w:tcPr>
          <w:p>
            <w:pPr>
              <w:spacing w:after="0"/>
              <w:rPr>
                <w:sz w:val="16"/>
                <w:szCs w:val="16"/>
                <w:color w:val="auto"/>
              </w:rPr>
            </w:pP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197485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common stock, par value $0.01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ind w:left="1100" w:right="98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Principal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117"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On December 5, 2019, Simon Ayat indicated that he will step down as Executive Vice President and Chief Financial Officer of Schlumberger Limited (“Schlumberger” or the “Company”), effective as of January 22, 2020, following the Company’s filing of its Annual Report on Form 10-K. Mr. Ayat, who joined Schlumberger in 1982, will serve as Senior Strategic Advisor to the Company’s Chief Executive Officer for a period of two years, under an agreement described below.</w:t>
      </w:r>
    </w:p>
    <w:p>
      <w:pPr>
        <w:spacing w:after="0" w:line="187"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In addition, Schlumberger’s Board of Directors (the “Board”) has appointed Stephane Biguet, 51, as the Company’s Executive Vice President and Chief Financial Officer, effective upon Mr. Ayat’s transition. Mr. Biguet has been an employee of Schlumberger for 24 years, most recently as Vice President, Finance of Schlumberger, since December 2017. From December 2016 to November 2017, Mr. Biguet served as Vice President and Treasurer of Schlumberger. From November 2013 to November 2016, he served as Vice President, Controller, Operations of Schlumberger. Upon appointment to his new role, Mr. Biguet’s annual base salary will be $770,000. In connection with his appointment, the Compensation Committee of the Board approved an award of performance share units (“PSUs”) with a target value of $2,500,000. The PSUs will be based on metrics and targets to be approved by the Compensation Committee at its January 2020 meeting.</w:t>
      </w:r>
    </w:p>
    <w:p>
      <w:pPr>
        <w:spacing w:after="0" w:line="178"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In connection with Mr. Ayat’s new role, Schlumberger and Mr. Ayat entered into an agreement (the “Agreement”), effective as of January 22, 2020, setting forth, among other things, (a) Mr. Ayat’s agreement to serve as Senior Strategic Advisor to the Company’s Chief Executive Officer through January 21, 2022 (the “Term”) to help foster an orderly transition, and (b) a three-year non-competition covenant.</w:t>
      </w:r>
    </w:p>
    <w:p>
      <w:pPr>
        <w:spacing w:after="0" w:line="166"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Under the Agreement, Mr. Ayat will receive payments and benefits during the Term consisting of (1) annual salary of $1,000,000, to be paid in accordance with the Company’s standard payroll practices for employees; (2) continued participation in Schlumberger’s health, welfare and insurance plans on a basis comparable to that of other U.S. employees; and (3) an award of PSUs in January 2020, the target LTI dollar value of which will be equal to 100% of Mr. Ayat’s aggregate PSU target dollar grant in January 2019, and which will be on the same terms and conditions as the January 2020 PSU grants to the Company’s named executive officers. Mr. Ayat will not participate in the Company’s annual cash incentive program during his service as Senior Strategic Advisor. In addition, Mr. Ayat will receive his annual cash incentive program payout for his 2019 performance based on achievement of previously-established personal and financial performance targets, and will receive a cash payment for his accrued and unused vacation as of January 22, 2020.</w:t>
      </w:r>
    </w:p>
    <w:p>
      <w:pPr>
        <w:spacing w:after="0" w:line="192"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During the Term, Mr. Ayat will generally continue to vest in stock options, PSU awards and restricted stock unit awards previously granted to him, in accordance with the terms of the applicable award agreements and Schlumberger’s omnibus stock incentive plans, and will continue to accrue benefits under Schlumberger’s qualified pension plans and qualified profit-sharing plans based on his annual salary. Except for termination of Mr. Ayat’s employment for cause, Mr. Ayat will, with respect to outstanding and vested stock options at termination of the Agreement, have 60 months or the term of the applicable options, whichever period is shorter, to exercise such options. In addition, any PSUs that are outstanding upon termination of the Agreement will continue to vest as if Mr. Ayat were employed through the end of the performance period applicable to those PSUs.</w:t>
      </w:r>
    </w:p>
    <w:p>
      <w:pPr>
        <w:sectPr>
          <w:pgSz w:w="11900" w:h="16838" w:orient="portrait"/>
          <w:cols w:equalWidth="0" w:num="1">
            <w:col w:w="11020"/>
          </w:cols>
          <w:pgMar w:left="440" w:top="297" w:right="439" w:bottom="1440" w:gutter="0" w:footer="0" w:header="0"/>
        </w:sectPr>
      </w:pPr>
    </w:p>
    <w:bookmarkStart w:id="2" w:name="page3"/>
    <w:bookmarkEnd w:id="2"/>
    <w:p>
      <w:pPr>
        <w:jc w:val="both"/>
        <w:ind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The Agreement contains other provisions that would apply in the event of termination of Mr. Ayat’s employment. The Agreement also contains confidentiality, non-disparagement, non-solicitation and noncompetition covenants. In connection with the Agreement, Mr. Ayat entered into a release and waiver.</w:t>
      </w:r>
    </w:p>
    <w:p>
      <w:pPr>
        <w:spacing w:after="0" w:line="181" w:lineRule="exact"/>
        <w:rPr>
          <w:sz w:val="20"/>
          <w:szCs w:val="20"/>
          <w:color w:val="auto"/>
        </w:rPr>
      </w:pPr>
    </w:p>
    <w:p>
      <w:pPr>
        <w:ind w:right="300" w:firstLine="441"/>
        <w:spacing w:after="0" w:line="342" w:lineRule="auto"/>
        <w:rPr>
          <w:sz w:val="20"/>
          <w:szCs w:val="20"/>
          <w:color w:val="auto"/>
        </w:rPr>
      </w:pPr>
      <w:r>
        <w:rPr>
          <w:rFonts w:ascii="Arial" w:cs="Arial" w:eastAsia="Arial" w:hAnsi="Arial"/>
          <w:sz w:val="16"/>
          <w:szCs w:val="16"/>
          <w:color w:val="auto"/>
        </w:rPr>
        <w:t>The foregoing description of the Agreement is not complete and is subject to, and qualified in its entirety by reference to, the full text of the Agreement, which will be filed as an exhibit to Schlumberger’s Annual Report on Form 10-K for the fiscal year ending December 31, 2019.</w:t>
      </w:r>
    </w:p>
    <w:p>
      <w:pPr>
        <w:spacing w:after="0" w:line="22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On December 10, 2019, the Company issued a press release announcing, among other things, the retirement of Mr. Ayat as Executive Vice President and Chief Financial Officer and the appointment of Mr. Biguet as Executive Vice President and Chief Financial Officer. A copy of the press release is included with this Form 8-K as Exhibit 99 and incorporated into this Item 7.01 by reference.</w:t>
      </w:r>
    </w:p>
    <w:p>
      <w:pPr>
        <w:spacing w:after="0" w:line="2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225" w:lineRule="exact"/>
        <w:rPr>
          <w:sz w:val="20"/>
          <w:szCs w:val="20"/>
          <w:color w:val="auto"/>
        </w:rPr>
      </w:pPr>
    </w:p>
    <w:p>
      <w:pPr>
        <w:ind w:left="820" w:hanging="762"/>
        <w:spacing w:after="0"/>
        <w:tabs>
          <w:tab w:leader="none" w:pos="820" w:val="left"/>
        </w:tabs>
        <w:numPr>
          <w:ilvl w:val="0"/>
          <w:numId w:val="2"/>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of Schlumberger Limited dated December 10, 2019.</w:t>
        </w:r>
      </w:hyperlink>
    </w:p>
    <w:p>
      <w:pPr>
        <w:spacing w:after="0" w:line="117"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00"/>
          </w:cols>
          <w:pgMar w:left="440" w:top="301" w:right="65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 December 10, 2019</w:t>
      </w:r>
    </w:p>
    <w:p>
      <w:pPr>
        <w:sectPr>
          <w:pgSz w:w="11900" w:h="16838" w:orient="portrait"/>
          <w:cols w:equalWidth="0" w:num="1">
            <w:col w:w="10780"/>
          </w:cols>
          <w:pgMar w:left="440" w:top="297" w:right="6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Announces CFO Succession</w:t>
      </w:r>
    </w:p>
    <w:p>
      <w:pPr>
        <w:spacing w:after="0" w:line="225" w:lineRule="exact"/>
        <w:rPr>
          <w:sz w:val="20"/>
          <w:szCs w:val="20"/>
          <w:color w:val="auto"/>
        </w:rPr>
      </w:pPr>
    </w:p>
    <w:p>
      <w:pPr>
        <w:ind w:right="640"/>
        <w:spacing w:after="0" w:line="289" w:lineRule="auto"/>
        <w:rPr>
          <w:sz w:val="20"/>
          <w:szCs w:val="20"/>
          <w:color w:val="auto"/>
        </w:rPr>
      </w:pPr>
      <w:r>
        <w:rPr>
          <w:rFonts w:ascii="Arial" w:cs="Arial" w:eastAsia="Arial" w:hAnsi="Arial"/>
          <w:sz w:val="17"/>
          <w:szCs w:val="17"/>
          <w:b w:val="1"/>
          <w:bCs w:val="1"/>
          <w:color w:val="auto"/>
        </w:rPr>
        <w:t>HOUSTON, December 10, 2019</w:t>
      </w:r>
      <w:r>
        <w:rPr>
          <w:rFonts w:ascii="Arial" w:cs="Arial" w:eastAsia="Arial" w:hAnsi="Arial"/>
          <w:sz w:val="17"/>
          <w:szCs w:val="17"/>
          <w:color w:val="auto"/>
        </w:rPr>
        <w:t>—Schlumberger Limited (NYSE:SLB) announced today that Simon Ayat, Executive Vice President and Chief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Officer, will step down from this position effective January 22, 2020. Mr. Ayat, who joined the Company in 1982, will remain with Schlumberger as Senior Strategic Advisor to the Company’s Chief Executive Officer for a period of two years.</w:t>
      </w:r>
    </w:p>
    <w:p>
      <w:pPr>
        <w:spacing w:after="0" w:line="1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Schlumberger CEO Olivier Le Peuch commented, “On behalf of the Company and its Board of Directors, I would like to take this opportunity to congratulate Simon for his unique career and critical contributions as Chief Financial Officer over the last 12 years, and I look forward to his continuing advice and support.”</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Mr. Ayat will be replaced by Mr. Stephane Biguet as the Company’s Executive Vice President and Chief Financial Officer. In a 24-year career with Schlumberger, Biguet has held senior positions in finance and operations at the field and headquarters levels. Prior to his current assignment he held the position of Vice President, Finance of Schlumberger Limited.</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Olivier Le Peuch commented, “Stephane brings an in-depth knowledge of the financial function, has developed a close relationship with the executive leadership team and has critically contributed to the new Performance strategy, leading in particular the capital stewardship program.”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Schlumberger is the world’s leading provider of technology for reservoir characterization, drilling, production, and processing to the oil and gas industry. With product sales and services in more than 120 countries and employing approximately 105,000 people who represent over 140 nationalities, Schlumberger supplies the industry’s most comprehensive range of products and services, from exploration through production, and integrated pore-to-pipeline solutions that optimize hydrocarbon recovery to deliver reservoir performance.</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Schlumberger Limited has executive offices in Paris, Houston, London and The Hague, and reported revenues of $32.82 billion in 2018. For more information, visit www.slb.com.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Director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Joao Felix – Director of Corporate Communication,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communication@slb.com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2019-12-28T01:03:38Z</dcterms:created>
  <dcterms:modified xsi:type="dcterms:W3CDTF">2019-12-28T01:03:38Z</dcterms:modified>
</cp:coreProperties>
</file>